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52" w:rsidRDefault="00B06745" w:rsidP="00CA348E">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341F7487" wp14:editId="35C63C68">
                <wp:simplePos x="0" y="0"/>
                <wp:positionH relativeFrom="column">
                  <wp:posOffset>-2540</wp:posOffset>
                </wp:positionH>
                <wp:positionV relativeFrom="paragraph">
                  <wp:posOffset>393065</wp:posOffset>
                </wp:positionV>
                <wp:extent cx="1958340" cy="297180"/>
                <wp:effectExtent l="6985" t="12065" r="6350"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97180"/>
                        </a:xfrm>
                        <a:prstGeom prst="rect">
                          <a:avLst/>
                        </a:prstGeom>
                        <a:solidFill>
                          <a:srgbClr val="FFFFFF"/>
                        </a:solidFill>
                        <a:ln w="9525">
                          <a:solidFill>
                            <a:srgbClr val="000000"/>
                          </a:solidFill>
                          <a:miter lim="800000"/>
                          <a:headEnd/>
                          <a:tailEnd/>
                        </a:ln>
                      </wps:spPr>
                      <wps:txbx>
                        <w:txbxContent>
                          <w:p w:rsidR="001119BB" w:rsidRPr="000D1B0D" w:rsidRDefault="001119BB">
                            <w:pPr>
                              <w:rPr>
                                <w:rFonts w:ascii="Calibri" w:hAnsi="Calibri"/>
                                <w:b/>
                                <w:sz w:val="22"/>
                                <w:szCs w:val="22"/>
                              </w:rPr>
                            </w:pPr>
                            <w:r w:rsidRPr="000D1B0D">
                              <w:rPr>
                                <w:rFonts w:ascii="Calibri" w:hAnsi="Calibri"/>
                                <w:b/>
                                <w:sz w:val="22"/>
                                <w:szCs w:val="22"/>
                              </w:rPr>
                              <w:t>Agenda Item</w:t>
                            </w:r>
                            <w:r w:rsidR="009576AC">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pt;margin-top:30.95pt;width:154.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">
                <v:textbox>
                  <w:txbxContent>
                    <w:p w:rsidR="001119BB" w:rsidRPr="000D1B0D" w:rsidRDefault="001119BB">
                      <w:pPr>
                        <w:rPr>
                          <w:rFonts w:ascii="Calibri" w:hAnsi="Calibri"/>
                          <w:b/>
                          <w:sz w:val="22"/>
                          <w:szCs w:val="22"/>
                        </w:rPr>
                      </w:pPr>
                      <w:r w:rsidRPr="000D1B0D">
                        <w:rPr>
                          <w:rFonts w:ascii="Calibri" w:hAnsi="Calibri"/>
                          <w:b/>
                          <w:sz w:val="22"/>
                          <w:szCs w:val="22"/>
                        </w:rPr>
                        <w:t>Agenda Item</w:t>
                      </w:r>
                      <w:r w:rsidR="009576AC">
                        <w:rPr>
                          <w:rFonts w:ascii="Calibri" w:hAnsi="Calibri"/>
                          <w:b/>
                          <w:sz w:val="22"/>
                          <w:szCs w:val="22"/>
                        </w:rPr>
                        <w:t xml:space="preserve"> 05</w:t>
                      </w:r>
                    </w:p>
                  </w:txbxContent>
                </v:textbox>
              </v:rect>
            </w:pict>
          </mc:Fallback>
        </mc:AlternateContent>
      </w:r>
      <w:r w:rsidR="003D7845" w:rsidRPr="003D7845">
        <w:t xml:space="preserve"> </w:t>
      </w:r>
      <w:r>
        <w:rPr>
          <w:noProof/>
          <w:lang w:eastAsia="en-GB"/>
        </w:rPr>
        <w:drawing>
          <wp:inline distT="0" distB="0" distL="0" distR="0" wp14:anchorId="11082D33" wp14:editId="01BABD5F">
            <wp:extent cx="2006600" cy="52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B06745"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192" behindDoc="0" locked="0" layoutInCell="1" allowOverlap="1" wp14:anchorId="73FF8FB2" wp14:editId="2E38839F">
                <wp:simplePos x="0" y="0"/>
                <wp:positionH relativeFrom="column">
                  <wp:posOffset>-2540</wp:posOffset>
                </wp:positionH>
                <wp:positionV relativeFrom="paragraph">
                  <wp:posOffset>148590</wp:posOffset>
                </wp:positionV>
                <wp:extent cx="6294120" cy="1371600"/>
                <wp:effectExtent l="26035" t="24765" r="23495"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371600"/>
                        </a:xfrm>
                        <a:prstGeom prst="rect">
                          <a:avLst/>
                        </a:prstGeom>
                        <a:solidFill>
                          <a:srgbClr val="FFFFFF"/>
                        </a:solidFill>
                        <a:ln w="38100" cmpd="dbl">
                          <a:solidFill>
                            <a:srgbClr val="000000"/>
                          </a:solidFill>
                          <a:miter lim="800000"/>
                          <a:headEnd/>
                          <a:tailEnd/>
                        </a:ln>
                      </wps:spPr>
                      <wps:txbx>
                        <w:txbxContent>
                          <w:p w:rsidR="001119BB" w:rsidRPr="000D1B0D" w:rsidRDefault="001119BB">
                            <w:pPr>
                              <w:rPr>
                                <w:rFonts w:ascii="Calibri" w:hAnsi="Calibri"/>
                                <w:sz w:val="22"/>
                                <w:szCs w:val="22"/>
                              </w:rPr>
                            </w:pPr>
                            <w:r w:rsidRPr="000D1B0D">
                              <w:rPr>
                                <w:rFonts w:ascii="Calibri" w:hAnsi="Calibri"/>
                                <w:sz w:val="22"/>
                                <w:szCs w:val="22"/>
                              </w:rPr>
                              <w:t>Report to (Board/Sub-Committee):</w:t>
                            </w:r>
                            <w:r>
                              <w:rPr>
                                <w:rFonts w:ascii="Calibri" w:hAnsi="Calibri"/>
                                <w:sz w:val="22"/>
                                <w:szCs w:val="22"/>
                              </w:rPr>
                              <w:t xml:space="preserve">  </w:t>
                            </w:r>
                            <w:r w:rsidRPr="00FD4B9E">
                              <w:rPr>
                                <w:rFonts w:ascii="Calibri" w:hAnsi="Calibri"/>
                                <w:b/>
                                <w:sz w:val="22"/>
                                <w:szCs w:val="22"/>
                              </w:rPr>
                              <w:t>NEL Partnership Board</w:t>
                            </w:r>
                          </w:p>
                          <w:p w:rsidR="001119BB" w:rsidRPr="000D1B0D" w:rsidRDefault="001119BB">
                            <w:pPr>
                              <w:rPr>
                                <w:rFonts w:ascii="Calibri" w:hAnsi="Calibri"/>
                                <w:sz w:val="22"/>
                                <w:szCs w:val="22"/>
                              </w:rPr>
                            </w:pPr>
                          </w:p>
                          <w:p w:rsidR="001119BB" w:rsidRPr="000D1B0D" w:rsidRDefault="001119BB">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w:t>
                            </w:r>
                            <w:r w:rsidRPr="00FD4B9E">
                              <w:rPr>
                                <w:rFonts w:ascii="Calibri" w:hAnsi="Calibri"/>
                                <w:b/>
                                <w:sz w:val="22"/>
                                <w:szCs w:val="22"/>
                              </w:rPr>
                              <w:t>1</w:t>
                            </w:r>
                            <w:r>
                              <w:rPr>
                                <w:rFonts w:ascii="Calibri" w:hAnsi="Calibri"/>
                                <w:b/>
                                <w:sz w:val="22"/>
                                <w:szCs w:val="22"/>
                              </w:rPr>
                              <w:t>4</w:t>
                            </w:r>
                            <w:r w:rsidRPr="00FD4B9E">
                              <w:rPr>
                                <w:rFonts w:ascii="Calibri" w:hAnsi="Calibri"/>
                                <w:b/>
                                <w:sz w:val="22"/>
                                <w:szCs w:val="22"/>
                                <w:vertAlign w:val="superscript"/>
                              </w:rPr>
                              <w:t>th</w:t>
                            </w:r>
                            <w:r w:rsidRPr="00FD4B9E">
                              <w:rPr>
                                <w:rFonts w:ascii="Calibri" w:hAnsi="Calibri"/>
                                <w:b/>
                                <w:sz w:val="22"/>
                                <w:szCs w:val="22"/>
                              </w:rPr>
                              <w:t xml:space="preserve"> </w:t>
                            </w:r>
                            <w:r>
                              <w:rPr>
                                <w:rFonts w:ascii="Calibri" w:hAnsi="Calibri"/>
                                <w:b/>
                                <w:sz w:val="22"/>
                                <w:szCs w:val="22"/>
                              </w:rPr>
                              <w:t>September</w:t>
                            </w:r>
                            <w:r w:rsidRPr="00FD4B9E">
                              <w:rPr>
                                <w:rFonts w:ascii="Calibri" w:hAnsi="Calibri"/>
                                <w:b/>
                                <w:sz w:val="22"/>
                                <w:szCs w:val="22"/>
                              </w:rPr>
                              <w:t xml:space="preserve"> 201</w:t>
                            </w:r>
                            <w:r>
                              <w:rPr>
                                <w:rFonts w:ascii="Calibri" w:hAnsi="Calibri"/>
                                <w:b/>
                                <w:sz w:val="22"/>
                                <w:szCs w:val="22"/>
                              </w:rPr>
                              <w:t>7</w:t>
                            </w:r>
                          </w:p>
                          <w:p w:rsidR="001119BB" w:rsidRPr="000D1B0D" w:rsidRDefault="001119BB">
                            <w:pPr>
                              <w:rPr>
                                <w:rFonts w:ascii="Calibri" w:hAnsi="Calibri"/>
                                <w:sz w:val="22"/>
                                <w:szCs w:val="22"/>
                              </w:rPr>
                            </w:pPr>
                          </w:p>
                          <w:p w:rsidR="001119BB" w:rsidRPr="000D1B0D" w:rsidRDefault="001119BB">
                            <w:pPr>
                              <w:rPr>
                                <w:rFonts w:ascii="Calibri" w:hAnsi="Calibri"/>
                                <w:sz w:val="22"/>
                                <w:szCs w:val="22"/>
                              </w:rPr>
                            </w:pPr>
                            <w:r w:rsidRPr="000D1B0D">
                              <w:rPr>
                                <w:rFonts w:ascii="Calibri" w:hAnsi="Calibri"/>
                                <w:sz w:val="22"/>
                                <w:szCs w:val="22"/>
                              </w:rPr>
                              <w:t>Subject:</w:t>
                            </w:r>
                            <w:r>
                              <w:rPr>
                                <w:rFonts w:ascii="Calibri" w:hAnsi="Calibri"/>
                                <w:sz w:val="22"/>
                                <w:szCs w:val="22"/>
                              </w:rPr>
                              <w:t xml:space="preserve"> </w:t>
                            </w:r>
                            <w:r w:rsidRPr="00FD4B9E">
                              <w:rPr>
                                <w:rFonts w:ascii="Calibri" w:hAnsi="Calibri"/>
                                <w:b/>
                                <w:sz w:val="22"/>
                                <w:szCs w:val="22"/>
                              </w:rPr>
                              <w:t>Resilience Planning</w:t>
                            </w:r>
                            <w:r w:rsidR="009576AC">
                              <w:rPr>
                                <w:rFonts w:ascii="Calibri" w:hAnsi="Calibri"/>
                                <w:b/>
                                <w:sz w:val="22"/>
                                <w:szCs w:val="22"/>
                              </w:rPr>
                              <w:t xml:space="preserve"> Report</w:t>
                            </w:r>
                          </w:p>
                          <w:p w:rsidR="001119BB" w:rsidRPr="000D1B0D" w:rsidRDefault="001119BB">
                            <w:pPr>
                              <w:rPr>
                                <w:rFonts w:ascii="Calibri" w:hAnsi="Calibri"/>
                                <w:sz w:val="22"/>
                                <w:szCs w:val="22"/>
                              </w:rPr>
                            </w:pPr>
                          </w:p>
                          <w:p w:rsidR="001119BB" w:rsidRPr="000D1B0D" w:rsidRDefault="001119BB">
                            <w:pPr>
                              <w:rPr>
                                <w:rFonts w:ascii="Calibri" w:hAnsi="Calibri"/>
                                <w:sz w:val="22"/>
                                <w:szCs w:val="22"/>
                              </w:rPr>
                            </w:pPr>
                            <w:r w:rsidRPr="000D1B0D">
                              <w:rPr>
                                <w:rFonts w:ascii="Calibri" w:hAnsi="Calibri"/>
                                <w:sz w:val="22"/>
                                <w:szCs w:val="22"/>
                              </w:rPr>
                              <w:t>Presented by:</w:t>
                            </w:r>
                            <w:r>
                              <w:rPr>
                                <w:rFonts w:ascii="Calibri" w:hAnsi="Calibri"/>
                                <w:sz w:val="22"/>
                                <w:szCs w:val="22"/>
                              </w:rPr>
                              <w:t xml:space="preserve"> </w:t>
                            </w:r>
                            <w:r w:rsidR="00C03A9C">
                              <w:rPr>
                                <w:rFonts w:ascii="Calibri" w:hAnsi="Calibri"/>
                                <w:b/>
                                <w:sz w:val="22"/>
                                <w:szCs w:val="22"/>
                              </w:rPr>
                              <w:t>Andy Ombler</w:t>
                            </w:r>
                          </w:p>
                          <w:p w:rsidR="001119BB" w:rsidRPr="000D1B0D" w:rsidRDefault="001119B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pt;margin-top:11.7pt;width:495.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" strokeweight="3pt">
                <v:stroke linestyle="thinThin"/>
                <v:textbox>
                  <w:txbxContent>
                    <w:p w:rsidR="001119BB" w:rsidRPr="000D1B0D" w:rsidRDefault="001119BB">
                      <w:pPr>
                        <w:rPr>
                          <w:rFonts w:ascii="Calibri" w:hAnsi="Calibri"/>
                          <w:sz w:val="22"/>
                          <w:szCs w:val="22"/>
                        </w:rPr>
                      </w:pPr>
                      <w:r w:rsidRPr="000D1B0D">
                        <w:rPr>
                          <w:rFonts w:ascii="Calibri" w:hAnsi="Calibri"/>
                          <w:sz w:val="22"/>
                          <w:szCs w:val="22"/>
                        </w:rPr>
                        <w:t>Report to (Board/Sub-Committee):</w:t>
                      </w:r>
                      <w:r>
                        <w:rPr>
                          <w:rFonts w:ascii="Calibri" w:hAnsi="Calibri"/>
                          <w:sz w:val="22"/>
                          <w:szCs w:val="22"/>
                        </w:rPr>
                        <w:t xml:space="preserve">  </w:t>
                      </w:r>
                      <w:r w:rsidRPr="00FD4B9E">
                        <w:rPr>
                          <w:rFonts w:ascii="Calibri" w:hAnsi="Calibri"/>
                          <w:b/>
                          <w:sz w:val="22"/>
                          <w:szCs w:val="22"/>
                        </w:rPr>
                        <w:t>NEL Partnership Board</w:t>
                      </w:r>
                    </w:p>
                    <w:p w:rsidR="001119BB" w:rsidRPr="000D1B0D" w:rsidRDefault="001119BB">
                      <w:pPr>
                        <w:rPr>
                          <w:rFonts w:ascii="Calibri" w:hAnsi="Calibri"/>
                          <w:sz w:val="22"/>
                          <w:szCs w:val="22"/>
                        </w:rPr>
                      </w:pPr>
                    </w:p>
                    <w:p w:rsidR="001119BB" w:rsidRPr="000D1B0D" w:rsidRDefault="001119BB">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w:t>
                      </w:r>
                      <w:r w:rsidRPr="00FD4B9E">
                        <w:rPr>
                          <w:rFonts w:ascii="Calibri" w:hAnsi="Calibri"/>
                          <w:b/>
                          <w:sz w:val="22"/>
                          <w:szCs w:val="22"/>
                        </w:rPr>
                        <w:t>1</w:t>
                      </w:r>
                      <w:r>
                        <w:rPr>
                          <w:rFonts w:ascii="Calibri" w:hAnsi="Calibri"/>
                          <w:b/>
                          <w:sz w:val="22"/>
                          <w:szCs w:val="22"/>
                        </w:rPr>
                        <w:t>4</w:t>
                      </w:r>
                      <w:r w:rsidRPr="00FD4B9E">
                        <w:rPr>
                          <w:rFonts w:ascii="Calibri" w:hAnsi="Calibri"/>
                          <w:b/>
                          <w:sz w:val="22"/>
                          <w:szCs w:val="22"/>
                          <w:vertAlign w:val="superscript"/>
                        </w:rPr>
                        <w:t>th</w:t>
                      </w:r>
                      <w:r w:rsidRPr="00FD4B9E">
                        <w:rPr>
                          <w:rFonts w:ascii="Calibri" w:hAnsi="Calibri"/>
                          <w:b/>
                          <w:sz w:val="22"/>
                          <w:szCs w:val="22"/>
                        </w:rPr>
                        <w:t xml:space="preserve"> </w:t>
                      </w:r>
                      <w:r>
                        <w:rPr>
                          <w:rFonts w:ascii="Calibri" w:hAnsi="Calibri"/>
                          <w:b/>
                          <w:sz w:val="22"/>
                          <w:szCs w:val="22"/>
                        </w:rPr>
                        <w:t>September</w:t>
                      </w:r>
                      <w:r w:rsidRPr="00FD4B9E">
                        <w:rPr>
                          <w:rFonts w:ascii="Calibri" w:hAnsi="Calibri"/>
                          <w:b/>
                          <w:sz w:val="22"/>
                          <w:szCs w:val="22"/>
                        </w:rPr>
                        <w:t xml:space="preserve"> 201</w:t>
                      </w:r>
                      <w:r>
                        <w:rPr>
                          <w:rFonts w:ascii="Calibri" w:hAnsi="Calibri"/>
                          <w:b/>
                          <w:sz w:val="22"/>
                          <w:szCs w:val="22"/>
                        </w:rPr>
                        <w:t>7</w:t>
                      </w:r>
                    </w:p>
                    <w:p w:rsidR="001119BB" w:rsidRPr="000D1B0D" w:rsidRDefault="001119BB">
                      <w:pPr>
                        <w:rPr>
                          <w:rFonts w:ascii="Calibri" w:hAnsi="Calibri"/>
                          <w:sz w:val="22"/>
                          <w:szCs w:val="22"/>
                        </w:rPr>
                      </w:pPr>
                    </w:p>
                    <w:p w:rsidR="001119BB" w:rsidRPr="000D1B0D" w:rsidRDefault="001119BB">
                      <w:pPr>
                        <w:rPr>
                          <w:rFonts w:ascii="Calibri" w:hAnsi="Calibri"/>
                          <w:sz w:val="22"/>
                          <w:szCs w:val="22"/>
                        </w:rPr>
                      </w:pPr>
                      <w:r w:rsidRPr="000D1B0D">
                        <w:rPr>
                          <w:rFonts w:ascii="Calibri" w:hAnsi="Calibri"/>
                          <w:sz w:val="22"/>
                          <w:szCs w:val="22"/>
                        </w:rPr>
                        <w:t>Subject:</w:t>
                      </w:r>
                      <w:r>
                        <w:rPr>
                          <w:rFonts w:ascii="Calibri" w:hAnsi="Calibri"/>
                          <w:sz w:val="22"/>
                          <w:szCs w:val="22"/>
                        </w:rPr>
                        <w:t xml:space="preserve"> </w:t>
                      </w:r>
                      <w:r w:rsidRPr="00FD4B9E">
                        <w:rPr>
                          <w:rFonts w:ascii="Calibri" w:hAnsi="Calibri"/>
                          <w:b/>
                          <w:sz w:val="22"/>
                          <w:szCs w:val="22"/>
                        </w:rPr>
                        <w:t>Resilience Planning</w:t>
                      </w:r>
                      <w:r w:rsidR="009576AC">
                        <w:rPr>
                          <w:rFonts w:ascii="Calibri" w:hAnsi="Calibri"/>
                          <w:b/>
                          <w:sz w:val="22"/>
                          <w:szCs w:val="22"/>
                        </w:rPr>
                        <w:t xml:space="preserve"> Report</w:t>
                      </w:r>
                    </w:p>
                    <w:p w:rsidR="001119BB" w:rsidRPr="000D1B0D" w:rsidRDefault="001119BB">
                      <w:pPr>
                        <w:rPr>
                          <w:rFonts w:ascii="Calibri" w:hAnsi="Calibri"/>
                          <w:sz w:val="22"/>
                          <w:szCs w:val="22"/>
                        </w:rPr>
                      </w:pPr>
                    </w:p>
                    <w:p w:rsidR="001119BB" w:rsidRPr="000D1B0D" w:rsidRDefault="001119BB">
                      <w:pPr>
                        <w:rPr>
                          <w:rFonts w:ascii="Calibri" w:hAnsi="Calibri"/>
                          <w:sz w:val="22"/>
                          <w:szCs w:val="22"/>
                        </w:rPr>
                      </w:pPr>
                      <w:r w:rsidRPr="000D1B0D">
                        <w:rPr>
                          <w:rFonts w:ascii="Calibri" w:hAnsi="Calibri"/>
                          <w:sz w:val="22"/>
                          <w:szCs w:val="22"/>
                        </w:rPr>
                        <w:t>Presented by:</w:t>
                      </w:r>
                      <w:r>
                        <w:rPr>
                          <w:rFonts w:ascii="Calibri" w:hAnsi="Calibri"/>
                          <w:sz w:val="22"/>
                          <w:szCs w:val="22"/>
                        </w:rPr>
                        <w:t xml:space="preserve"> </w:t>
                      </w:r>
                      <w:r w:rsidR="00C03A9C">
                        <w:rPr>
                          <w:rFonts w:ascii="Calibri" w:hAnsi="Calibri"/>
                          <w:b/>
                          <w:sz w:val="22"/>
                          <w:szCs w:val="22"/>
                        </w:rPr>
                        <w:t>Andy Ombler</w:t>
                      </w:r>
                    </w:p>
                    <w:p w:rsidR="001119BB" w:rsidRPr="000D1B0D" w:rsidRDefault="001119BB">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B06745"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216" behindDoc="0" locked="0" layoutInCell="1" allowOverlap="1" wp14:anchorId="491E4127" wp14:editId="28B65F91">
                <wp:simplePos x="0" y="0"/>
                <wp:positionH relativeFrom="column">
                  <wp:posOffset>-2540</wp:posOffset>
                </wp:positionH>
                <wp:positionV relativeFrom="paragraph">
                  <wp:posOffset>137795</wp:posOffset>
                </wp:positionV>
                <wp:extent cx="6294120" cy="1348740"/>
                <wp:effectExtent l="6985" t="13970" r="13970"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348740"/>
                        </a:xfrm>
                        <a:prstGeom prst="rect">
                          <a:avLst/>
                        </a:prstGeom>
                        <a:solidFill>
                          <a:srgbClr val="FFFFFF"/>
                        </a:solidFill>
                        <a:ln w="9525">
                          <a:solidFill>
                            <a:srgbClr val="000000"/>
                          </a:solidFill>
                          <a:miter lim="800000"/>
                          <a:headEnd/>
                          <a:tailEnd/>
                        </a:ln>
                      </wps:spPr>
                      <wps:txbx>
                        <w:txbxContent>
                          <w:p w:rsidR="001119BB" w:rsidRPr="000D1B0D" w:rsidRDefault="001119BB" w:rsidP="007C526F">
                            <w:pPr>
                              <w:rPr>
                                <w:rFonts w:ascii="Calibri" w:hAnsi="Calibri"/>
                                <w:b/>
                                <w:sz w:val="22"/>
                                <w:szCs w:val="22"/>
                              </w:rPr>
                            </w:pPr>
                            <w:r w:rsidRPr="000D1B0D">
                              <w:rPr>
                                <w:rFonts w:ascii="Calibri" w:hAnsi="Calibri"/>
                                <w:b/>
                                <w:sz w:val="22"/>
                                <w:szCs w:val="22"/>
                              </w:rPr>
                              <w:t>STATUS OF THE REPORT</w:t>
                            </w:r>
                          </w:p>
                          <w:p w:rsidR="001119BB" w:rsidRPr="000D1B0D" w:rsidRDefault="001119BB">
                            <w:pPr>
                              <w:rPr>
                                <w:rFonts w:ascii="Calibri" w:hAnsi="Calibri"/>
                                <w:sz w:val="22"/>
                                <w:szCs w:val="22"/>
                              </w:rPr>
                            </w:pPr>
                          </w:p>
                          <w:p w:rsidR="001119BB" w:rsidRPr="000D1B0D" w:rsidRDefault="001119BB"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FD4B9E">
                              <w:rPr>
                                <w:rFonts w:ascii="Calibri" w:hAnsi="Calibri"/>
                                <w:b/>
                                <w:noProof/>
                                <w:szCs w:val="24"/>
                                <w:lang w:eastAsia="en-GB"/>
                              </w:rPr>
                              <w:t>X</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119BB" w:rsidRPr="000D1B0D" w:rsidRDefault="001119BB"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noProof/>
                                <w:sz w:val="22"/>
                                <w:szCs w:val="22"/>
                                <w:lang w:eastAsia="en-GB"/>
                              </w:rPr>
                              <w:drawing>
                                <wp:inline distT="0" distB="0" distL="0" distR="0" wp14:anchorId="52567FD1" wp14:editId="5B724EFD">
                                  <wp:extent cx="1524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119BB" w:rsidRPr="000D1B0D" w:rsidRDefault="001119BB"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r w:rsidRPr="00FD4B9E">
                              <w:rPr>
                                <w:rFonts w:ascii="Calibri" w:hAnsi="Calibri"/>
                                <w:b/>
                                <w:noProof/>
                                <w:szCs w:val="24"/>
                                <w:lang w:eastAsia="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pt;margin-top:10.85pt;width:495.6pt;height:1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">
                <v:textbox>
                  <w:txbxContent>
                    <w:p w:rsidR="001119BB" w:rsidRPr="000D1B0D" w:rsidRDefault="001119BB" w:rsidP="007C526F">
                      <w:pPr>
                        <w:rPr>
                          <w:rFonts w:ascii="Calibri" w:hAnsi="Calibri"/>
                          <w:b/>
                          <w:sz w:val="22"/>
                          <w:szCs w:val="22"/>
                        </w:rPr>
                      </w:pPr>
                      <w:r w:rsidRPr="000D1B0D">
                        <w:rPr>
                          <w:rFonts w:ascii="Calibri" w:hAnsi="Calibri"/>
                          <w:b/>
                          <w:sz w:val="22"/>
                          <w:szCs w:val="22"/>
                        </w:rPr>
                        <w:t>STATUS OF THE REPORT</w:t>
                      </w:r>
                    </w:p>
                    <w:p w:rsidR="001119BB" w:rsidRPr="000D1B0D" w:rsidRDefault="001119BB">
                      <w:pPr>
                        <w:rPr>
                          <w:rFonts w:ascii="Calibri" w:hAnsi="Calibri"/>
                          <w:sz w:val="22"/>
                          <w:szCs w:val="22"/>
                        </w:rPr>
                      </w:pPr>
                    </w:p>
                    <w:p w:rsidR="001119BB" w:rsidRPr="000D1B0D" w:rsidRDefault="001119BB"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FD4B9E">
                        <w:rPr>
                          <w:rFonts w:ascii="Calibri" w:hAnsi="Calibri"/>
                          <w:b/>
                          <w:noProof/>
                          <w:szCs w:val="24"/>
                          <w:lang w:eastAsia="en-GB"/>
                        </w:rPr>
                        <w:t>X</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119BB" w:rsidRPr="000D1B0D" w:rsidRDefault="001119BB"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noProof/>
                          <w:sz w:val="22"/>
                          <w:szCs w:val="22"/>
                          <w:lang w:eastAsia="en-GB"/>
                        </w:rPr>
                        <w:drawing>
                          <wp:inline distT="0" distB="0" distL="0" distR="0" wp14:anchorId="52567FD1" wp14:editId="5B724EFD">
                            <wp:extent cx="1524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119BB" w:rsidRPr="000D1B0D" w:rsidRDefault="001119BB"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r w:rsidRPr="00FD4B9E">
                        <w:rPr>
                          <w:rFonts w:ascii="Calibri" w:hAnsi="Calibri"/>
                          <w:b/>
                          <w:noProof/>
                          <w:szCs w:val="24"/>
                          <w:lang w:eastAsia="en-GB"/>
                        </w:rPr>
                        <w:t>X</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977"/>
      </w:tblGrid>
      <w:tr w:rsidR="009D4EDC" w:rsidRPr="000D1B0D" w:rsidTr="007663C8">
        <w:tc>
          <w:tcPr>
            <w:tcW w:w="2103" w:type="dxa"/>
            <w:tcBorders>
              <w:bottom w:val="single" w:sz="4" w:space="0" w:color="auto"/>
            </w:tcBorders>
            <w:shd w:val="clear" w:color="auto" w:fill="auto"/>
          </w:tcPr>
          <w:p w:rsidR="009D4EDC" w:rsidRPr="000D1B0D"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E76606" w:rsidRDefault="00FD4B9E" w:rsidP="00F9178A">
            <w:pPr>
              <w:pStyle w:val="Default"/>
              <w:rPr>
                <w:rFonts w:ascii="Calibri" w:hAnsi="Calibri" w:cs="Calibri"/>
                <w:sz w:val="20"/>
                <w:szCs w:val="20"/>
              </w:rPr>
            </w:pPr>
            <w:r>
              <w:rPr>
                <w:bCs/>
                <w:sz w:val="22"/>
                <w:szCs w:val="22"/>
              </w:rPr>
              <w:t>To update the Partnership Board with a summary of the NEL CCG Resilience Planning  activities in relation to winter planning and national emergency resilience planning arrangements</w:t>
            </w:r>
          </w:p>
          <w:p w:rsidR="00246EFA" w:rsidRPr="000D1B0D" w:rsidRDefault="00246EFA"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tc>
      </w:tr>
      <w:tr w:rsidR="009D4EDC" w:rsidRPr="000D1B0D" w:rsidTr="007663C8">
        <w:tc>
          <w:tcPr>
            <w:tcW w:w="2103" w:type="dxa"/>
            <w:shd w:val="clear" w:color="auto" w:fill="595959"/>
          </w:tcPr>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7977" w:type="dxa"/>
            <w:shd w:val="clear" w:color="auto" w:fill="auto"/>
          </w:tcPr>
          <w:p w:rsidR="00FD4B9E" w:rsidRDefault="00FD4B9E" w:rsidP="00FD4B9E">
            <w:pPr>
              <w:rPr>
                <w:rFonts w:ascii="Arial" w:hAnsi="Arial" w:cs="Arial"/>
                <w:bCs/>
                <w:sz w:val="22"/>
                <w:szCs w:val="22"/>
                <w:lang w:eastAsia="en-GB"/>
              </w:rPr>
            </w:pPr>
            <w:r w:rsidRPr="00FD4B9E">
              <w:rPr>
                <w:rFonts w:ascii="Arial" w:hAnsi="Arial" w:cs="Arial"/>
                <w:bCs/>
                <w:sz w:val="22"/>
                <w:szCs w:val="22"/>
                <w:lang w:eastAsia="en-GB"/>
              </w:rPr>
              <w:t xml:space="preserve">The Board is asked to note this update </w:t>
            </w:r>
            <w:r w:rsidR="008B1E08">
              <w:rPr>
                <w:rFonts w:ascii="Arial" w:hAnsi="Arial" w:cs="Arial"/>
                <w:bCs/>
                <w:sz w:val="22"/>
                <w:szCs w:val="22"/>
                <w:lang w:eastAsia="en-GB"/>
              </w:rPr>
              <w:t>on Winter</w:t>
            </w:r>
            <w:r w:rsidR="00F9178A">
              <w:rPr>
                <w:rFonts w:ascii="Arial" w:hAnsi="Arial" w:cs="Arial"/>
                <w:bCs/>
                <w:sz w:val="22"/>
                <w:szCs w:val="22"/>
                <w:lang w:eastAsia="en-GB"/>
              </w:rPr>
              <w:t xml:space="preserve"> resilience</w:t>
            </w:r>
            <w:r w:rsidR="008B1E08">
              <w:rPr>
                <w:rFonts w:ascii="Arial" w:hAnsi="Arial" w:cs="Arial"/>
                <w:bCs/>
                <w:sz w:val="22"/>
                <w:szCs w:val="22"/>
                <w:lang w:eastAsia="en-GB"/>
              </w:rPr>
              <w:t xml:space="preserve"> and</w:t>
            </w:r>
            <w:r w:rsidR="005B6427">
              <w:rPr>
                <w:rFonts w:ascii="Arial" w:hAnsi="Arial" w:cs="Arial"/>
                <w:bCs/>
                <w:sz w:val="22"/>
                <w:szCs w:val="22"/>
                <w:lang w:eastAsia="en-GB"/>
              </w:rPr>
              <w:t xml:space="preserve"> Emergency Planning Resilience and Response</w:t>
            </w:r>
            <w:r w:rsidR="008B1E08">
              <w:rPr>
                <w:rFonts w:ascii="Arial" w:hAnsi="Arial" w:cs="Arial"/>
                <w:bCs/>
                <w:sz w:val="22"/>
                <w:szCs w:val="22"/>
                <w:lang w:eastAsia="en-GB"/>
              </w:rPr>
              <w:t xml:space="preserve"> </w:t>
            </w:r>
            <w:r w:rsidR="005B6427">
              <w:rPr>
                <w:rFonts w:ascii="Arial" w:hAnsi="Arial" w:cs="Arial"/>
                <w:bCs/>
                <w:sz w:val="22"/>
                <w:szCs w:val="22"/>
                <w:lang w:eastAsia="en-GB"/>
              </w:rPr>
              <w:t>(</w:t>
            </w:r>
            <w:r w:rsidR="008B1E08">
              <w:rPr>
                <w:rFonts w:ascii="Arial" w:hAnsi="Arial" w:cs="Arial"/>
                <w:bCs/>
                <w:sz w:val="22"/>
                <w:szCs w:val="22"/>
                <w:lang w:eastAsia="en-GB"/>
              </w:rPr>
              <w:t>EPRR</w:t>
            </w:r>
            <w:r w:rsidR="005B6427">
              <w:rPr>
                <w:rFonts w:ascii="Arial" w:hAnsi="Arial" w:cs="Arial"/>
                <w:bCs/>
                <w:sz w:val="22"/>
                <w:szCs w:val="22"/>
                <w:lang w:eastAsia="en-GB"/>
              </w:rPr>
              <w:t>)</w:t>
            </w:r>
            <w:r w:rsidR="008B1E08">
              <w:rPr>
                <w:rFonts w:ascii="Arial" w:hAnsi="Arial" w:cs="Arial"/>
                <w:bCs/>
                <w:sz w:val="22"/>
                <w:szCs w:val="22"/>
                <w:lang w:eastAsia="en-GB"/>
              </w:rPr>
              <w:t xml:space="preserve"> </w:t>
            </w:r>
            <w:r w:rsidRPr="00FD4B9E">
              <w:rPr>
                <w:rFonts w:ascii="Arial" w:hAnsi="Arial" w:cs="Arial"/>
                <w:bCs/>
                <w:sz w:val="22"/>
                <w:szCs w:val="22"/>
                <w:lang w:eastAsia="en-GB"/>
              </w:rPr>
              <w:t>for information</w:t>
            </w:r>
            <w:r w:rsidR="008B1E08">
              <w:rPr>
                <w:rFonts w:ascii="Arial" w:hAnsi="Arial" w:cs="Arial"/>
                <w:bCs/>
                <w:sz w:val="22"/>
                <w:szCs w:val="22"/>
                <w:lang w:eastAsia="en-GB"/>
              </w:rPr>
              <w:t xml:space="preserve">. Further the Board is asked to </w:t>
            </w:r>
            <w:r w:rsidR="00F9178A">
              <w:rPr>
                <w:rFonts w:ascii="Arial" w:hAnsi="Arial" w:cs="Arial"/>
                <w:bCs/>
                <w:sz w:val="22"/>
                <w:szCs w:val="22"/>
                <w:lang w:eastAsia="en-GB"/>
              </w:rPr>
              <w:t>approve the EPRR level of compliance declared following self-assessment against the assurance criteria.</w:t>
            </w:r>
          </w:p>
          <w:p w:rsidR="00914BF5" w:rsidRDefault="00914BF5" w:rsidP="00FD4B9E">
            <w:pPr>
              <w:rPr>
                <w:rFonts w:ascii="Arial" w:hAnsi="Arial" w:cs="Arial"/>
                <w:bCs/>
                <w:sz w:val="22"/>
                <w:szCs w:val="22"/>
                <w:lang w:eastAsia="en-GB"/>
              </w:rPr>
            </w:pPr>
          </w:p>
          <w:p w:rsidR="009D4EDC" w:rsidRPr="000D1B0D" w:rsidRDefault="009D4EDC" w:rsidP="00F9178A">
            <w:pPr>
              <w:rPr>
                <w:rFonts w:ascii="Calibri" w:hAnsi="Calibri" w:cs="Calibri"/>
                <w:sz w:val="20"/>
              </w:rPr>
            </w:pPr>
          </w:p>
        </w:tc>
      </w:tr>
      <w:tr w:rsidR="009D4EDC" w:rsidRPr="000D1B0D" w:rsidTr="007663C8">
        <w:tc>
          <w:tcPr>
            <w:tcW w:w="2103" w:type="dxa"/>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B971B9" w:rsidRPr="00F9178A" w:rsidRDefault="008B1E08" w:rsidP="00F9178A">
            <w:pPr>
              <w:pStyle w:val="Default"/>
              <w:rPr>
                <w:sz w:val="22"/>
                <w:szCs w:val="22"/>
              </w:rPr>
            </w:pPr>
            <w:r w:rsidRPr="00F9178A">
              <w:rPr>
                <w:sz w:val="22"/>
                <w:szCs w:val="22"/>
              </w:rPr>
              <w:t xml:space="preserve">EPRR activities, including the national assurance process, have been discussed at the NEL Delivery Assurance Committee (DAC). The DAC will oversee the </w:t>
            </w:r>
            <w:r w:rsidR="000A4729" w:rsidRPr="00F9178A">
              <w:rPr>
                <w:sz w:val="22"/>
                <w:szCs w:val="22"/>
              </w:rPr>
              <w:t xml:space="preserve">delivery of the </w:t>
            </w:r>
            <w:r w:rsidRPr="00F9178A">
              <w:rPr>
                <w:sz w:val="22"/>
                <w:szCs w:val="22"/>
              </w:rPr>
              <w:t xml:space="preserve">EPRR </w:t>
            </w:r>
            <w:proofErr w:type="gramStart"/>
            <w:r w:rsidR="000A4729" w:rsidRPr="00F9178A">
              <w:rPr>
                <w:sz w:val="22"/>
                <w:szCs w:val="22"/>
              </w:rPr>
              <w:t xml:space="preserve">work </w:t>
            </w:r>
            <w:r w:rsidRPr="00F9178A">
              <w:rPr>
                <w:sz w:val="22"/>
                <w:szCs w:val="22"/>
              </w:rPr>
              <w:t xml:space="preserve"> plan</w:t>
            </w:r>
            <w:proofErr w:type="gramEnd"/>
            <w:r w:rsidR="000A4729" w:rsidRPr="00F9178A">
              <w:rPr>
                <w:sz w:val="22"/>
                <w:szCs w:val="22"/>
              </w:rPr>
              <w:t xml:space="preserve"> which includes the action plan produced to address areas of non-compliance with the </w:t>
            </w:r>
            <w:r w:rsidR="00481971" w:rsidRPr="00F9178A">
              <w:rPr>
                <w:sz w:val="22"/>
                <w:szCs w:val="22"/>
              </w:rPr>
              <w:t>assurance framework.</w:t>
            </w:r>
            <w:r w:rsidRPr="00F9178A">
              <w:rPr>
                <w:sz w:val="22"/>
                <w:szCs w:val="22"/>
              </w:rPr>
              <w:t xml:space="preserve"> </w:t>
            </w:r>
          </w:p>
          <w:p w:rsidR="00246EFA" w:rsidRPr="00F9178A" w:rsidRDefault="00246EFA" w:rsidP="000D1B0D">
            <w:pPr>
              <w:pStyle w:val="Default"/>
              <w:jc w:val="both"/>
              <w:rPr>
                <w:sz w:val="22"/>
                <w:szCs w:val="22"/>
              </w:rPr>
            </w:pP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473CC5" w:rsidRPr="000D1B0D" w:rsidTr="007663C8">
        <w:tc>
          <w:tcPr>
            <w:tcW w:w="2103" w:type="dxa"/>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7977" w:type="dxa"/>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0D1B0D" w:rsidRDefault="007E1C2F" w:rsidP="009D4EDC">
            <w:pPr>
              <w:pStyle w:val="Default"/>
              <w:rPr>
                <w:rFonts w:ascii="Calibri" w:hAnsi="Calibri" w:cs="Calibri"/>
                <w:b/>
                <w:sz w:val="20"/>
                <w:szCs w:val="20"/>
              </w:rPr>
            </w:pPr>
          </w:p>
        </w:tc>
        <w:tc>
          <w:tcPr>
            <w:tcW w:w="7977" w:type="dxa"/>
            <w:shd w:val="clear" w:color="auto" w:fill="auto"/>
          </w:tcPr>
          <w:p w:rsidR="00246EFA" w:rsidRPr="005156B5" w:rsidRDefault="00F9178A" w:rsidP="005156B5">
            <w:pPr>
              <w:pStyle w:val="Default"/>
              <w:rPr>
                <w:color w:val="auto"/>
                <w:sz w:val="22"/>
                <w:szCs w:val="22"/>
              </w:rPr>
            </w:pPr>
            <w:r w:rsidRPr="005156B5">
              <w:rPr>
                <w:color w:val="auto"/>
                <w:sz w:val="22"/>
                <w:szCs w:val="22"/>
              </w:rPr>
              <w:t xml:space="preserve">For EPRR Assurance, </w:t>
            </w:r>
            <w:r w:rsidR="005156B5" w:rsidRPr="005156B5">
              <w:rPr>
                <w:color w:val="auto"/>
                <w:sz w:val="22"/>
                <w:szCs w:val="22"/>
              </w:rPr>
              <w:t xml:space="preserve">risks associated with compliance with the EPRR standards are being mitigated through the EPRR Improvement Plan with oversight by the Delivery Assurance Committee. </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7E1C2F" w:rsidRPr="000D1B0D" w:rsidRDefault="007E1C2F" w:rsidP="009D4EDC">
            <w:pPr>
              <w:pStyle w:val="Default"/>
              <w:rPr>
                <w:rFonts w:ascii="Calibri" w:hAnsi="Calibri" w:cs="Calibri"/>
                <w:b/>
                <w:sz w:val="20"/>
                <w:szCs w:val="20"/>
              </w:rPr>
            </w:pPr>
          </w:p>
        </w:tc>
        <w:tc>
          <w:tcPr>
            <w:tcW w:w="7977" w:type="dxa"/>
            <w:shd w:val="clear" w:color="auto" w:fill="auto"/>
          </w:tcPr>
          <w:p w:rsidR="00246EFA" w:rsidRPr="007663C8" w:rsidRDefault="007663C8" w:rsidP="000D1B0D">
            <w:pPr>
              <w:pStyle w:val="Default"/>
              <w:jc w:val="both"/>
              <w:rPr>
                <w:rFonts w:ascii="Calibri" w:hAnsi="Calibri" w:cs="Calibri"/>
                <w:i/>
                <w:sz w:val="20"/>
                <w:szCs w:val="20"/>
              </w:rPr>
            </w:pPr>
            <w:r w:rsidRPr="007663C8">
              <w:rPr>
                <w:rFonts w:ascii="Calibri" w:hAnsi="Calibri" w:cs="Calibri"/>
                <w:i/>
                <w:sz w:val="20"/>
                <w:szCs w:val="20"/>
              </w:rPr>
              <w:t>Summarise key legal issues / legislation relevant to the report.</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7E1C2F" w:rsidRDefault="005F27AD" w:rsidP="000D1B0D">
            <w:pPr>
              <w:pStyle w:val="Default"/>
              <w:jc w:val="both"/>
              <w:rPr>
                <w:rFonts w:ascii="Calibri" w:hAnsi="Calibri" w:cs="Calibri"/>
                <w:i/>
                <w:sz w:val="20"/>
                <w:szCs w:val="20"/>
              </w:rPr>
            </w:pPr>
            <w:proofErr w:type="gramStart"/>
            <w:r>
              <w:rPr>
                <w:rFonts w:ascii="Calibri" w:hAnsi="Calibri" w:cs="Calibri"/>
                <w:i/>
                <w:sz w:val="20"/>
                <w:szCs w:val="20"/>
              </w:rPr>
              <w:lastRenderedPageBreak/>
              <w:t>Is</w:t>
            </w:r>
            <w:proofErr w:type="gramEnd"/>
            <w:r>
              <w:rPr>
                <w:rFonts w:ascii="Calibri" w:hAnsi="Calibri" w:cs="Calibri"/>
                <w:i/>
                <w:sz w:val="20"/>
                <w:szCs w:val="20"/>
              </w:rPr>
              <w:t xml:space="preserve"> a</w:t>
            </w:r>
            <w:r w:rsidR="00473CC5" w:rsidRPr="00BB40A8">
              <w:rPr>
                <w:rFonts w:ascii="Calibri" w:hAnsi="Calibri" w:cs="Calibri"/>
                <w:i/>
                <w:sz w:val="20"/>
                <w:szCs w:val="20"/>
              </w:rPr>
              <w:t>n Equality Impact Analysis / Assessment required for this report. Yes/ No</w:t>
            </w:r>
            <w:r w:rsidR="00FD4B9E">
              <w:rPr>
                <w:rFonts w:ascii="Calibri" w:hAnsi="Calibri" w:cs="Calibri"/>
                <w:i/>
                <w:sz w:val="20"/>
                <w:szCs w:val="20"/>
              </w:rPr>
              <w:t xml:space="preserve"> </w:t>
            </w:r>
            <w:proofErr w:type="spellStart"/>
            <w:r w:rsidR="00FD4B9E" w:rsidRPr="00FD4B9E">
              <w:rPr>
                <w:rFonts w:ascii="Calibri" w:hAnsi="Calibri" w:cs="Calibri"/>
                <w:b/>
                <w:i/>
                <w:sz w:val="20"/>
                <w:szCs w:val="20"/>
              </w:rPr>
              <w:t>No</w:t>
            </w:r>
            <w:proofErr w:type="spellEnd"/>
          </w:p>
          <w:p w:rsidR="00BB40A8" w:rsidRPr="00BB40A8" w:rsidRDefault="00BB40A8" w:rsidP="000D1B0D">
            <w:pPr>
              <w:pStyle w:val="Default"/>
              <w:jc w:val="both"/>
              <w:rPr>
                <w:rFonts w:ascii="Calibri" w:hAnsi="Calibri" w:cs="Calibri"/>
                <w:i/>
                <w:sz w:val="20"/>
                <w:szCs w:val="20"/>
              </w:rPr>
            </w:pPr>
          </w:p>
          <w:p w:rsidR="00473CC5" w:rsidRPr="000D1B0D" w:rsidRDefault="00BB40A8" w:rsidP="000D1B0D">
            <w:pPr>
              <w:pStyle w:val="Default"/>
              <w:jc w:val="both"/>
              <w:rPr>
                <w:rFonts w:ascii="Calibri" w:hAnsi="Calibri" w:cs="Calibri"/>
                <w:sz w:val="20"/>
                <w:szCs w:val="20"/>
              </w:rPr>
            </w:pPr>
            <w:r>
              <w:rPr>
                <w:rFonts w:ascii="Calibri" w:hAnsi="Calibri" w:cs="Calibri"/>
                <w:sz w:val="20"/>
                <w:szCs w:val="20"/>
              </w:rPr>
              <w:t>If Yes:</w:t>
            </w:r>
          </w:p>
          <w:p w:rsidR="00473CC5" w:rsidRPr="00BB40A8" w:rsidRDefault="00473CC5" w:rsidP="000D1B0D">
            <w:pPr>
              <w:pStyle w:val="Default"/>
              <w:jc w:val="both"/>
              <w:rPr>
                <w:rFonts w:ascii="Calibri" w:hAnsi="Calibri" w:cs="Calibri"/>
                <w:b/>
                <w:i/>
                <w:sz w:val="20"/>
                <w:szCs w:val="20"/>
              </w:rPr>
            </w:pPr>
            <w:r w:rsidRPr="00BB40A8">
              <w:rPr>
                <w:rFonts w:ascii="Calibri" w:hAnsi="Calibri" w:cs="Calibri"/>
                <w:i/>
                <w:sz w:val="20"/>
                <w:szCs w:val="20"/>
              </w:rPr>
              <w:lastRenderedPageBreak/>
              <w:t xml:space="preserve">An Equality Impact Analysis / Assessment </w:t>
            </w:r>
            <w:proofErr w:type="gramStart"/>
            <w:r w:rsidRPr="00BB40A8">
              <w:rPr>
                <w:rFonts w:ascii="Calibri" w:hAnsi="Calibri" w:cs="Calibri"/>
                <w:i/>
                <w:sz w:val="20"/>
                <w:szCs w:val="20"/>
              </w:rPr>
              <w:t>has</w:t>
            </w:r>
            <w:proofErr w:type="gramEnd"/>
            <w:r w:rsidRPr="00BB40A8">
              <w:rPr>
                <w:rFonts w:ascii="Calibri" w:hAnsi="Calibri" w:cs="Calibri"/>
                <w:i/>
                <w:sz w:val="20"/>
                <w:szCs w:val="20"/>
              </w:rPr>
              <w:t xml:space="preserve"> been completed </w:t>
            </w:r>
            <w:r w:rsidR="00BB40A8" w:rsidRPr="00BB40A8">
              <w:rPr>
                <w:rFonts w:ascii="Calibri" w:hAnsi="Calibri" w:cs="Calibri"/>
                <w:i/>
                <w:sz w:val="20"/>
                <w:szCs w:val="20"/>
              </w:rPr>
              <w:t>in accordance with CCG policy</w:t>
            </w:r>
            <w:r w:rsidRPr="00BB40A8">
              <w:rPr>
                <w:rFonts w:ascii="Calibri" w:hAnsi="Calibri" w:cs="Calibri"/>
                <w:i/>
                <w:sz w:val="20"/>
                <w:szCs w:val="20"/>
              </w:rPr>
              <w:t xml:space="preserve">. </w:t>
            </w:r>
            <w:r w:rsidRPr="00BB40A8">
              <w:rPr>
                <w:rFonts w:ascii="Calibri" w:hAnsi="Calibri" w:cs="Calibri"/>
                <w:b/>
                <w:i/>
                <w:sz w:val="20"/>
                <w:szCs w:val="20"/>
              </w:rPr>
              <w:t>Yes /No</w:t>
            </w:r>
          </w:p>
          <w:p w:rsidR="00FB449C" w:rsidRDefault="00FB449C" w:rsidP="000D1B0D">
            <w:pPr>
              <w:pStyle w:val="Default"/>
              <w:jc w:val="both"/>
              <w:rPr>
                <w:rFonts w:ascii="Calibri" w:hAnsi="Calibri" w:cs="Calibri"/>
                <w:b/>
                <w:sz w:val="20"/>
                <w:szCs w:val="20"/>
              </w:rPr>
            </w:pPr>
          </w:p>
          <w:p w:rsidR="00BB40A8" w:rsidRDefault="00BB40A8" w:rsidP="00BB40A8">
            <w:pPr>
              <w:pStyle w:val="Default"/>
              <w:numPr>
                <w:ilvl w:val="0"/>
                <w:numId w:val="5"/>
              </w:numPr>
              <w:ind w:left="360"/>
              <w:jc w:val="both"/>
              <w:rPr>
                <w:rFonts w:ascii="Calibri" w:hAnsi="Calibri" w:cs="Calibri"/>
                <w:i/>
                <w:sz w:val="20"/>
                <w:szCs w:val="20"/>
              </w:rPr>
            </w:pPr>
            <w:r>
              <w:rPr>
                <w:rFonts w:ascii="Calibri" w:hAnsi="Calibri" w:cs="Calibri"/>
                <w:i/>
                <w:sz w:val="20"/>
                <w:szCs w:val="20"/>
              </w:rPr>
              <w:t>There are no actions arising from the analysis / assessment</w:t>
            </w:r>
          </w:p>
          <w:p w:rsidR="00BB40A8" w:rsidRDefault="00BB40A8" w:rsidP="00BB40A8">
            <w:pPr>
              <w:pStyle w:val="Default"/>
              <w:ind w:left="360"/>
              <w:jc w:val="both"/>
              <w:rPr>
                <w:rFonts w:ascii="Calibri" w:hAnsi="Calibri" w:cs="Calibri"/>
                <w:i/>
                <w:sz w:val="20"/>
                <w:szCs w:val="20"/>
              </w:rPr>
            </w:pPr>
          </w:p>
          <w:p w:rsidR="00BB40A8" w:rsidRPr="00BB40A8" w:rsidRDefault="00BB40A8" w:rsidP="00BB40A8">
            <w:pPr>
              <w:pStyle w:val="Default"/>
              <w:numPr>
                <w:ilvl w:val="0"/>
                <w:numId w:val="5"/>
              </w:numPr>
              <w:ind w:left="360"/>
              <w:jc w:val="both"/>
              <w:rPr>
                <w:rFonts w:ascii="Calibri" w:hAnsi="Calibri" w:cs="Calibri"/>
                <w:i/>
                <w:sz w:val="20"/>
                <w:szCs w:val="20"/>
              </w:rPr>
            </w:pPr>
            <w:r w:rsidRPr="00BB40A8">
              <w:rPr>
                <w:rFonts w:ascii="Calibri" w:hAnsi="Calibri" w:cs="Calibri"/>
                <w:i/>
                <w:sz w:val="20"/>
                <w:szCs w:val="20"/>
              </w:rPr>
              <w:t>There are actions arising for the analysis / assessment which are included in section     in the enclosed report</w:t>
            </w:r>
          </w:p>
          <w:p w:rsidR="00473CC5" w:rsidRPr="000D1B0D" w:rsidRDefault="00473CC5" w:rsidP="000D1B0D">
            <w:pPr>
              <w:pStyle w:val="Default"/>
              <w:jc w:val="both"/>
              <w:rPr>
                <w:rFonts w:ascii="Calibri" w:hAnsi="Calibri" w:cs="Calibri"/>
                <w:sz w:val="20"/>
                <w:szCs w:val="20"/>
              </w:rPr>
            </w:pPr>
          </w:p>
        </w:tc>
      </w:tr>
      <w:tr w:rsidR="00473CC5" w:rsidRPr="000D1B0D" w:rsidTr="007663C8">
        <w:tc>
          <w:tcPr>
            <w:tcW w:w="2103"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473CC5" w:rsidRPr="00E61AF0" w:rsidRDefault="00E61AF0" w:rsidP="000D1B0D">
            <w:pPr>
              <w:pStyle w:val="Default"/>
              <w:jc w:val="both"/>
              <w:rPr>
                <w:rFonts w:ascii="Calibri" w:hAnsi="Calibri" w:cs="Calibri"/>
                <w:i/>
                <w:sz w:val="20"/>
                <w:szCs w:val="20"/>
              </w:rPr>
            </w:pPr>
            <w:r w:rsidRPr="00E61AF0">
              <w:rPr>
                <w:rFonts w:ascii="Calibri" w:hAnsi="Calibri" w:cs="Calibri"/>
                <w:i/>
                <w:sz w:val="20"/>
                <w:szCs w:val="20"/>
              </w:rPr>
              <w:t>Summarise key financial issues relevant to the report.</w:t>
            </w:r>
          </w:p>
          <w:p w:rsidR="00246EFA" w:rsidRPr="0023786F" w:rsidRDefault="00246EFA" w:rsidP="000D1B0D">
            <w:pPr>
              <w:pStyle w:val="Default"/>
              <w:jc w:val="both"/>
              <w:rPr>
                <w:color w:val="FF0000"/>
                <w:sz w:val="20"/>
                <w:szCs w:val="20"/>
              </w:rPr>
            </w:pPr>
          </w:p>
          <w:p w:rsidR="0023786F" w:rsidRPr="0023786F" w:rsidRDefault="0023786F" w:rsidP="0023786F">
            <w:pPr>
              <w:pStyle w:val="Default"/>
              <w:rPr>
                <w:color w:val="FF0000"/>
                <w:sz w:val="22"/>
                <w:szCs w:val="22"/>
              </w:rPr>
            </w:pPr>
            <w:r w:rsidRPr="0023786F">
              <w:rPr>
                <w:color w:val="auto"/>
                <w:sz w:val="22"/>
                <w:szCs w:val="22"/>
              </w:rPr>
              <w:t xml:space="preserve">No Finance implications </w:t>
            </w:r>
            <w:r w:rsidRPr="0023786F">
              <w:rPr>
                <w:sz w:val="22"/>
                <w:szCs w:val="22"/>
              </w:rPr>
              <w:t>relevant to this report</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473CC5" w:rsidRPr="000D1B0D" w:rsidTr="007663C8">
        <w:tc>
          <w:tcPr>
            <w:tcW w:w="2103"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246EFA" w:rsidRDefault="00E61AF0" w:rsidP="000D1B0D">
            <w:pPr>
              <w:pStyle w:val="Default"/>
              <w:jc w:val="both"/>
              <w:rPr>
                <w:rFonts w:ascii="Calibri" w:hAnsi="Calibri" w:cs="Calibri"/>
                <w:i/>
                <w:sz w:val="20"/>
                <w:szCs w:val="20"/>
              </w:rPr>
            </w:pPr>
            <w:r w:rsidRPr="00E61AF0">
              <w:rPr>
                <w:rFonts w:ascii="Calibri" w:hAnsi="Calibri" w:cs="Calibri"/>
                <w:i/>
                <w:sz w:val="20"/>
                <w:szCs w:val="20"/>
              </w:rPr>
              <w:t>Summarise key quality issues relevant to the report.</w:t>
            </w:r>
          </w:p>
          <w:p w:rsidR="0023786F" w:rsidRDefault="0023786F" w:rsidP="000D1B0D">
            <w:pPr>
              <w:pStyle w:val="Default"/>
              <w:jc w:val="both"/>
              <w:rPr>
                <w:rFonts w:ascii="Calibri" w:hAnsi="Calibri" w:cs="Calibri"/>
                <w:i/>
                <w:sz w:val="20"/>
                <w:szCs w:val="20"/>
              </w:rPr>
            </w:pPr>
          </w:p>
          <w:p w:rsidR="0023786F" w:rsidRPr="0023786F" w:rsidRDefault="0023786F" w:rsidP="000D1B0D">
            <w:pPr>
              <w:pStyle w:val="Default"/>
              <w:jc w:val="both"/>
              <w:rPr>
                <w:color w:val="auto"/>
                <w:sz w:val="22"/>
                <w:szCs w:val="22"/>
              </w:rPr>
            </w:pPr>
            <w:r w:rsidRPr="0023786F">
              <w:rPr>
                <w:color w:val="auto"/>
                <w:sz w:val="22"/>
                <w:szCs w:val="22"/>
              </w:rPr>
              <w:t>No Quality implications relevant to this report</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9D4EDC" w:rsidRPr="000D1B0D" w:rsidTr="007663C8">
        <w:tc>
          <w:tcPr>
            <w:tcW w:w="2103" w:type="dxa"/>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246EFA" w:rsidRDefault="0023786F" w:rsidP="00E61AF0">
            <w:pPr>
              <w:pStyle w:val="Default"/>
              <w:jc w:val="both"/>
              <w:rPr>
                <w:rFonts w:ascii="Calibri" w:hAnsi="Calibri" w:cs="Calibri"/>
                <w:i/>
                <w:sz w:val="20"/>
                <w:szCs w:val="20"/>
              </w:rPr>
            </w:pPr>
            <w:r>
              <w:rPr>
                <w:rFonts w:ascii="Calibri" w:hAnsi="Calibri" w:cs="Calibri"/>
                <w:i/>
                <w:sz w:val="20"/>
                <w:szCs w:val="20"/>
              </w:rPr>
              <w:t>I</w:t>
            </w:r>
            <w:r w:rsidR="00E61AF0" w:rsidRPr="00E61AF0">
              <w:rPr>
                <w:rFonts w:ascii="Calibri" w:hAnsi="Calibri" w:cs="Calibri"/>
                <w:i/>
                <w:sz w:val="20"/>
                <w:szCs w:val="20"/>
              </w:rPr>
              <w:t>nclude the proposed /chosen procurement route to market.</w:t>
            </w:r>
          </w:p>
          <w:p w:rsidR="0023786F" w:rsidRDefault="0023786F" w:rsidP="00E61AF0">
            <w:pPr>
              <w:pStyle w:val="Default"/>
              <w:jc w:val="both"/>
              <w:rPr>
                <w:rFonts w:ascii="Calibri" w:hAnsi="Calibri" w:cs="Calibri"/>
                <w:i/>
                <w:sz w:val="20"/>
                <w:szCs w:val="20"/>
              </w:rPr>
            </w:pPr>
          </w:p>
          <w:p w:rsidR="0023786F" w:rsidRPr="0023786F" w:rsidRDefault="0023786F" w:rsidP="0023786F">
            <w:pPr>
              <w:pStyle w:val="Default"/>
              <w:jc w:val="both"/>
              <w:rPr>
                <w:color w:val="auto"/>
                <w:sz w:val="22"/>
                <w:szCs w:val="22"/>
              </w:rPr>
            </w:pPr>
            <w:r w:rsidRPr="0023786F">
              <w:rPr>
                <w:color w:val="auto"/>
                <w:sz w:val="22"/>
                <w:szCs w:val="22"/>
              </w:rPr>
              <w:t xml:space="preserve">No </w:t>
            </w:r>
            <w:r>
              <w:rPr>
                <w:color w:val="auto"/>
                <w:sz w:val="22"/>
                <w:szCs w:val="22"/>
              </w:rPr>
              <w:t>Procurement</w:t>
            </w:r>
            <w:r w:rsidRPr="0023786F">
              <w:rPr>
                <w:color w:val="auto"/>
                <w:sz w:val="22"/>
                <w:szCs w:val="22"/>
              </w:rPr>
              <w:t xml:space="preserve"> implications relevant to this report</w:t>
            </w:r>
          </w:p>
          <w:p w:rsidR="0023786F" w:rsidRPr="00E61AF0" w:rsidRDefault="0023786F" w:rsidP="00E61AF0">
            <w:pPr>
              <w:pStyle w:val="Default"/>
              <w:jc w:val="both"/>
              <w:rPr>
                <w:rFonts w:ascii="Calibri" w:hAnsi="Calibri" w:cs="Calibri"/>
                <w:i/>
                <w:sz w:val="20"/>
                <w:szCs w:val="20"/>
              </w:rPr>
            </w:pPr>
          </w:p>
        </w:tc>
      </w:tr>
      <w:tr w:rsidR="00473CC5" w:rsidRPr="000D1B0D" w:rsidTr="007663C8">
        <w:tc>
          <w:tcPr>
            <w:tcW w:w="2103"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7977" w:type="dxa"/>
            <w:shd w:val="clear" w:color="auto" w:fill="auto"/>
          </w:tcPr>
          <w:p w:rsidR="00473CC5" w:rsidRPr="00B971B9" w:rsidRDefault="00B971B9" w:rsidP="000D1B0D">
            <w:pPr>
              <w:pStyle w:val="Default"/>
              <w:jc w:val="both"/>
              <w:rPr>
                <w:rFonts w:ascii="Calibri" w:hAnsi="Calibri" w:cs="Calibri"/>
                <w:i/>
                <w:color w:val="auto"/>
                <w:sz w:val="20"/>
                <w:szCs w:val="20"/>
              </w:rPr>
            </w:pPr>
            <w:r>
              <w:rPr>
                <w:rFonts w:ascii="Calibri" w:hAnsi="Calibri" w:cs="Calibri"/>
                <w:i/>
                <w:color w:val="auto"/>
                <w:sz w:val="20"/>
                <w:szCs w:val="20"/>
              </w:rPr>
              <w:t>Please state any p</w:t>
            </w:r>
            <w:r w:rsidRPr="00B971B9">
              <w:rPr>
                <w:rFonts w:ascii="Calibri" w:hAnsi="Calibri" w:cs="Calibri"/>
                <w:i/>
                <w:color w:val="auto"/>
                <w:sz w:val="20"/>
                <w:szCs w:val="20"/>
              </w:rPr>
              <w:t>ast engagement activities and any future engagement activities</w:t>
            </w:r>
            <w:r w:rsidR="0054308A">
              <w:rPr>
                <w:rFonts w:ascii="Calibri" w:hAnsi="Calibri" w:cs="Calibri"/>
                <w:i/>
                <w:color w:val="auto"/>
                <w:sz w:val="20"/>
                <w:szCs w:val="20"/>
              </w:rPr>
              <w:t xml:space="preserve"> (distinguish between public and stakeholder engagement)</w:t>
            </w:r>
            <w:r w:rsidRPr="00B971B9">
              <w:rPr>
                <w:rFonts w:ascii="Calibri" w:hAnsi="Calibri" w:cs="Calibri"/>
                <w:i/>
                <w:color w:val="auto"/>
                <w:sz w:val="20"/>
                <w:szCs w:val="20"/>
              </w:rPr>
              <w:t>.</w:t>
            </w:r>
          </w:p>
          <w:p w:rsidR="0023786F" w:rsidRDefault="0023786F" w:rsidP="000D1B0D">
            <w:pPr>
              <w:pStyle w:val="Default"/>
              <w:jc w:val="both"/>
              <w:rPr>
                <w:rFonts w:ascii="Calibri" w:hAnsi="Calibri" w:cs="Calibri"/>
                <w:color w:val="FF0000"/>
                <w:sz w:val="20"/>
                <w:szCs w:val="20"/>
              </w:rPr>
            </w:pPr>
          </w:p>
          <w:p w:rsidR="00246EFA" w:rsidRPr="0023786F" w:rsidRDefault="0023786F" w:rsidP="0023786F">
            <w:pPr>
              <w:pStyle w:val="Default"/>
              <w:rPr>
                <w:color w:val="auto"/>
                <w:sz w:val="22"/>
                <w:szCs w:val="22"/>
              </w:rPr>
            </w:pPr>
            <w:r w:rsidRPr="0023786F">
              <w:rPr>
                <w:color w:val="auto"/>
                <w:sz w:val="22"/>
                <w:szCs w:val="22"/>
              </w:rPr>
              <w:t xml:space="preserve">No public engagement has been done or is planned. Engagement with provider stakeholders is inherent in the cooperative planning for Winter and EPRR resilience. </w:t>
            </w:r>
          </w:p>
          <w:p w:rsidR="00246EFA" w:rsidRPr="000D1B0D" w:rsidRDefault="00246EFA" w:rsidP="000D1B0D">
            <w:pPr>
              <w:pStyle w:val="Default"/>
              <w:jc w:val="both"/>
              <w:rPr>
                <w:rFonts w:ascii="Calibri" w:hAnsi="Calibri" w:cs="Calibri"/>
                <w:sz w:val="20"/>
                <w:szCs w:val="20"/>
              </w:rPr>
            </w:pPr>
          </w:p>
        </w:tc>
      </w:tr>
      <w:tr w:rsidR="00246EFA" w:rsidRPr="000D1B0D" w:rsidTr="007663C8">
        <w:trPr>
          <w:trHeight w:val="86"/>
        </w:trPr>
        <w:tc>
          <w:tcPr>
            <w:tcW w:w="2103" w:type="dxa"/>
            <w:shd w:val="clear" w:color="auto" w:fill="D9D9D9"/>
          </w:tcPr>
          <w:p w:rsidR="00246EFA" w:rsidRPr="000D1B0D" w:rsidRDefault="00246EFA" w:rsidP="000D1B0D">
            <w:pPr>
              <w:pStyle w:val="Default"/>
              <w:jc w:val="both"/>
              <w:rPr>
                <w:rFonts w:ascii="Calibri" w:hAnsi="Calibri" w:cs="Calibri"/>
                <w:b/>
                <w:sz w:val="20"/>
                <w:szCs w:val="20"/>
              </w:rPr>
            </w:pPr>
          </w:p>
        </w:tc>
        <w:tc>
          <w:tcPr>
            <w:tcW w:w="7977" w:type="dxa"/>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0D1B0D" w:rsidRDefault="007E1C2F" w:rsidP="007E1C2F">
            <w:pPr>
              <w:pStyle w:val="Default"/>
              <w:rPr>
                <w:rFonts w:ascii="Calibri" w:hAnsi="Calibri" w:cs="Calibri"/>
                <w:b/>
                <w:sz w:val="20"/>
                <w:szCs w:val="20"/>
              </w:rPr>
            </w:pPr>
          </w:p>
        </w:tc>
        <w:tc>
          <w:tcPr>
            <w:tcW w:w="7977" w:type="dxa"/>
            <w:shd w:val="clear" w:color="auto" w:fill="auto"/>
          </w:tcPr>
          <w:p w:rsidR="007E1C2F" w:rsidRDefault="00E61AF0" w:rsidP="000D1B0D">
            <w:pPr>
              <w:pStyle w:val="Default"/>
              <w:jc w:val="both"/>
              <w:rPr>
                <w:rFonts w:ascii="Calibri" w:hAnsi="Calibri" w:cs="Calibri"/>
                <w:sz w:val="20"/>
                <w:szCs w:val="20"/>
              </w:rPr>
            </w:pPr>
            <w:r w:rsidRPr="00E61AF0">
              <w:rPr>
                <w:rFonts w:ascii="Calibri" w:hAnsi="Calibri" w:cs="Calibri"/>
                <w:sz w:val="20"/>
                <w:szCs w:val="20"/>
                <w:highlight w:val="lightGray"/>
              </w:rPr>
              <w:t>Author to complete</w:t>
            </w:r>
          </w:p>
          <w:p w:rsidR="00E61AF0"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Yes /No. </w:t>
            </w:r>
            <w:r w:rsidR="00914BF5">
              <w:rPr>
                <w:rFonts w:ascii="Calibri" w:hAnsi="Calibri" w:cs="Calibri"/>
                <w:i/>
                <w:sz w:val="20"/>
                <w:szCs w:val="20"/>
              </w:rPr>
              <w:t>NA</w:t>
            </w:r>
          </w:p>
          <w:p w:rsidR="00006E07" w:rsidRPr="00E61AF0" w:rsidRDefault="00006E07" w:rsidP="000D1B0D">
            <w:pPr>
              <w:pStyle w:val="Default"/>
              <w:jc w:val="both"/>
              <w:rPr>
                <w:rFonts w:ascii="Calibri" w:hAnsi="Calibri" w:cs="Calibri"/>
                <w:i/>
                <w:sz w:val="20"/>
                <w:szCs w:val="20"/>
              </w:rPr>
            </w:pPr>
          </w:p>
          <w:p w:rsidR="00246EFA" w:rsidRDefault="00246EFA" w:rsidP="000D1B0D">
            <w:pPr>
              <w:pStyle w:val="Default"/>
              <w:jc w:val="both"/>
              <w:rPr>
                <w:rFonts w:ascii="Calibri" w:hAnsi="Calibri" w:cs="Calibri"/>
                <w:sz w:val="20"/>
                <w:szCs w:val="20"/>
              </w:rPr>
            </w:pPr>
          </w:p>
          <w:p w:rsidR="00006E07" w:rsidRPr="00006E07" w:rsidRDefault="00006E07" w:rsidP="000D1B0D">
            <w:pPr>
              <w:pStyle w:val="Default"/>
              <w:jc w:val="both"/>
              <w:rPr>
                <w:rFonts w:ascii="Calibri" w:hAnsi="Calibri" w:cs="Calibri"/>
                <w:i/>
                <w:sz w:val="20"/>
                <w:szCs w:val="20"/>
              </w:rPr>
            </w:pPr>
            <w:r w:rsidRPr="00006E07">
              <w:rPr>
                <w:rFonts w:ascii="Calibri" w:hAnsi="Calibri" w:cs="Calibri"/>
                <w:i/>
                <w:sz w:val="20"/>
                <w:szCs w:val="20"/>
              </w:rPr>
              <w:t>Please state ay conflicts that need to be brought to the attention of the meeting.</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7663C8" w:rsidRPr="000D1B0D" w:rsidTr="007663C8">
        <w:tc>
          <w:tcPr>
            <w:tcW w:w="2103" w:type="dxa"/>
            <w:vMerge w:val="restart"/>
            <w:shd w:val="clear" w:color="auto" w:fill="auto"/>
          </w:tcPr>
          <w:p w:rsidR="007663C8" w:rsidRDefault="007663C8" w:rsidP="000D1B0D">
            <w:pPr>
              <w:pStyle w:val="Default"/>
              <w:jc w:val="both"/>
              <w:rPr>
                <w:rFonts w:ascii="Calibri" w:hAnsi="Calibri" w:cs="Calibri"/>
                <w:b/>
                <w:sz w:val="20"/>
                <w:szCs w:val="20"/>
              </w:rPr>
            </w:pPr>
            <w:r>
              <w:rPr>
                <w:rFonts w:ascii="Calibri" w:hAnsi="Calibri" w:cs="Calibri"/>
                <w:b/>
                <w:sz w:val="20"/>
                <w:szCs w:val="20"/>
              </w:rPr>
              <w:t>Strategic Objectives</w:t>
            </w:r>
          </w:p>
          <w:p w:rsidR="007663C8" w:rsidRPr="007663C8" w:rsidRDefault="007663C8" w:rsidP="000D1B0D">
            <w:pPr>
              <w:pStyle w:val="Default"/>
              <w:jc w:val="both"/>
              <w:rPr>
                <w:rFonts w:ascii="Calibri" w:hAnsi="Calibri" w:cs="Calibri"/>
                <w:i/>
                <w:sz w:val="20"/>
                <w:szCs w:val="20"/>
              </w:rPr>
            </w:pPr>
            <w:r w:rsidRPr="007663C8">
              <w:rPr>
                <w:rFonts w:ascii="Calibri" w:hAnsi="Calibri" w:cs="Calibri"/>
                <w:i/>
                <w:sz w:val="20"/>
                <w:szCs w:val="20"/>
              </w:rPr>
              <w:t>Short summary as to how the report links to the CCG’s strategic objectives</w:t>
            </w:r>
          </w:p>
        </w:tc>
        <w:tc>
          <w:tcPr>
            <w:tcW w:w="7977" w:type="dxa"/>
            <w:shd w:val="clear" w:color="auto" w:fill="auto"/>
          </w:tcPr>
          <w:p w:rsidR="007663C8" w:rsidRPr="0016479A" w:rsidRDefault="007663C8" w:rsidP="00E61AF0">
            <w:pPr>
              <w:numPr>
                <w:ilvl w:val="0"/>
                <w:numId w:val="2"/>
              </w:numPr>
              <w:autoSpaceDE w:val="0"/>
              <w:autoSpaceDN w:val="0"/>
              <w:rPr>
                <w:rFonts w:ascii="Calibri" w:hAnsi="Calibri"/>
                <w:i/>
                <w:sz w:val="22"/>
                <w:szCs w:val="22"/>
              </w:rPr>
            </w:pPr>
            <w:r w:rsidRPr="0016479A">
              <w:rPr>
                <w:rFonts w:ascii="Calibri" w:hAnsi="Calibri"/>
                <w:i/>
                <w:sz w:val="22"/>
                <w:szCs w:val="22"/>
              </w:rPr>
              <w:t>Sustainable Services</w:t>
            </w:r>
          </w:p>
          <w:p w:rsidR="00E61AF0" w:rsidRPr="0016479A" w:rsidRDefault="00E61AF0" w:rsidP="00E61AF0">
            <w:pPr>
              <w:autoSpaceDE w:val="0"/>
              <w:autoSpaceDN w:val="0"/>
              <w:rPr>
                <w:rFonts w:ascii="Calibri" w:hAnsi="Calibri"/>
                <w:i/>
                <w:sz w:val="22"/>
                <w:szCs w:val="22"/>
              </w:rPr>
            </w:pPr>
          </w:p>
          <w:p w:rsidR="007663C8" w:rsidRPr="0016479A" w:rsidRDefault="007663C8" w:rsidP="007663C8">
            <w:pPr>
              <w:autoSpaceDE w:val="0"/>
              <w:autoSpaceDN w:val="0"/>
              <w:rPr>
                <w:rFonts w:ascii="Calibri" w:hAnsi="Calibri" w:cs="Calibri"/>
                <w:i/>
                <w:sz w:val="22"/>
                <w:szCs w:val="22"/>
              </w:rPr>
            </w:pPr>
            <w:r w:rsidRPr="0016479A">
              <w:rPr>
                <w:rFonts w:ascii="Calibri" w:hAnsi="Calibri"/>
                <w:i/>
                <w:sz w:val="22"/>
                <w:szCs w:val="22"/>
              </w:rPr>
              <w:t xml:space="preserve"> </w:t>
            </w: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Pr="0016479A" w:rsidRDefault="007663C8" w:rsidP="000D1B0D">
            <w:pPr>
              <w:pStyle w:val="Default"/>
              <w:jc w:val="both"/>
              <w:rPr>
                <w:rFonts w:ascii="Calibri" w:hAnsi="Calibri"/>
                <w:i/>
                <w:sz w:val="22"/>
                <w:szCs w:val="22"/>
              </w:rPr>
            </w:pPr>
            <w:r w:rsidRPr="0016479A">
              <w:rPr>
                <w:rFonts w:ascii="Calibri" w:hAnsi="Calibri" w:cs="Calibri"/>
                <w:i/>
                <w:sz w:val="22"/>
                <w:szCs w:val="22"/>
              </w:rPr>
              <w:t>2.</w:t>
            </w:r>
            <w:r w:rsidRPr="0016479A">
              <w:rPr>
                <w:rFonts w:ascii="Calibri" w:hAnsi="Calibri"/>
                <w:i/>
                <w:sz w:val="22"/>
                <w:szCs w:val="22"/>
              </w:rPr>
              <w:t xml:space="preserve"> Empowering People</w:t>
            </w:r>
          </w:p>
          <w:p w:rsidR="007663C8" w:rsidRPr="0016479A" w:rsidRDefault="007663C8" w:rsidP="000D1B0D">
            <w:pPr>
              <w:pStyle w:val="Default"/>
              <w:jc w:val="both"/>
              <w:rPr>
                <w:rFonts w:ascii="Calibri" w:hAnsi="Calibri"/>
                <w:i/>
                <w:sz w:val="22"/>
                <w:szCs w:val="22"/>
              </w:rPr>
            </w:pPr>
          </w:p>
          <w:p w:rsidR="007663C8" w:rsidRPr="0016479A" w:rsidRDefault="007663C8" w:rsidP="000D1B0D">
            <w:pPr>
              <w:pStyle w:val="Default"/>
              <w:jc w:val="both"/>
              <w:rPr>
                <w:rFonts w:ascii="Calibri" w:hAnsi="Calibri" w:cs="Calibri"/>
                <w:i/>
                <w:sz w:val="22"/>
                <w:szCs w:val="22"/>
              </w:rPr>
            </w:pP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Pr="0016479A" w:rsidRDefault="007663C8" w:rsidP="000D1B0D">
            <w:pPr>
              <w:pStyle w:val="Default"/>
              <w:jc w:val="both"/>
              <w:rPr>
                <w:rFonts w:ascii="Calibri" w:hAnsi="Calibri"/>
                <w:i/>
                <w:sz w:val="22"/>
                <w:szCs w:val="22"/>
              </w:rPr>
            </w:pPr>
            <w:r w:rsidRPr="0016479A">
              <w:rPr>
                <w:rFonts w:ascii="Calibri" w:hAnsi="Calibri" w:cs="Calibri"/>
                <w:i/>
                <w:sz w:val="22"/>
                <w:szCs w:val="22"/>
              </w:rPr>
              <w:t>3.</w:t>
            </w:r>
            <w:r w:rsidRPr="0016479A">
              <w:rPr>
                <w:rFonts w:ascii="Calibri" w:hAnsi="Calibri"/>
                <w:i/>
                <w:sz w:val="22"/>
                <w:szCs w:val="22"/>
              </w:rPr>
              <w:t xml:space="preserve"> Supporting Communities</w:t>
            </w:r>
          </w:p>
          <w:p w:rsidR="007663C8" w:rsidRPr="0016479A" w:rsidRDefault="007663C8" w:rsidP="000D1B0D">
            <w:pPr>
              <w:pStyle w:val="Default"/>
              <w:jc w:val="both"/>
              <w:rPr>
                <w:rFonts w:ascii="Calibri" w:hAnsi="Calibri"/>
                <w:i/>
                <w:sz w:val="22"/>
                <w:szCs w:val="22"/>
              </w:rPr>
            </w:pPr>
          </w:p>
          <w:p w:rsidR="007663C8" w:rsidRPr="0016479A" w:rsidRDefault="007663C8" w:rsidP="000D1B0D">
            <w:pPr>
              <w:pStyle w:val="Default"/>
              <w:jc w:val="both"/>
              <w:rPr>
                <w:rFonts w:ascii="Calibri" w:hAnsi="Calibri" w:cs="Calibri"/>
                <w:i/>
                <w:sz w:val="22"/>
                <w:szCs w:val="22"/>
              </w:rPr>
            </w:pP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Pr="0016479A" w:rsidRDefault="007663C8" w:rsidP="007663C8">
            <w:pPr>
              <w:autoSpaceDE w:val="0"/>
              <w:autoSpaceDN w:val="0"/>
              <w:rPr>
                <w:rFonts w:ascii="Calibri" w:hAnsi="Calibri"/>
                <w:i/>
                <w:sz w:val="22"/>
                <w:szCs w:val="22"/>
              </w:rPr>
            </w:pPr>
            <w:r w:rsidRPr="0016479A">
              <w:rPr>
                <w:rFonts w:ascii="Calibri" w:hAnsi="Calibri" w:cs="Calibri"/>
                <w:i/>
                <w:sz w:val="22"/>
                <w:szCs w:val="22"/>
              </w:rPr>
              <w:t>4.</w:t>
            </w:r>
            <w:r w:rsidRPr="0016479A">
              <w:rPr>
                <w:rFonts w:ascii="Calibri" w:hAnsi="Calibri"/>
                <w:i/>
                <w:sz w:val="22"/>
                <w:szCs w:val="22"/>
              </w:rPr>
              <w:t xml:space="preserve"> Delivering a fit for purpose organisation</w:t>
            </w:r>
          </w:p>
          <w:p w:rsidR="00B25F14" w:rsidRDefault="00180B8C" w:rsidP="00B25F14">
            <w:pPr>
              <w:rPr>
                <w:rFonts w:ascii="Arial" w:hAnsi="Arial" w:cs="Arial"/>
                <w:bCs/>
                <w:sz w:val="22"/>
                <w:szCs w:val="22"/>
                <w:lang w:eastAsia="en-GB"/>
              </w:rPr>
            </w:pPr>
            <w:r>
              <w:rPr>
                <w:rFonts w:ascii="Arial" w:hAnsi="Arial" w:cs="Arial"/>
                <w:bCs/>
                <w:sz w:val="22"/>
                <w:szCs w:val="22"/>
              </w:rPr>
              <w:t xml:space="preserve">This paper relates to operational arrangements in place or being established for </w:t>
            </w:r>
            <w:r w:rsidR="0023786F">
              <w:rPr>
                <w:rFonts w:ascii="Arial" w:hAnsi="Arial" w:cs="Arial"/>
                <w:bCs/>
                <w:sz w:val="22"/>
                <w:szCs w:val="22"/>
              </w:rPr>
              <w:t xml:space="preserve">winter resilience planning in the </w:t>
            </w:r>
            <w:r>
              <w:rPr>
                <w:rFonts w:ascii="Arial" w:hAnsi="Arial" w:cs="Arial"/>
                <w:bCs/>
                <w:sz w:val="22"/>
                <w:szCs w:val="22"/>
              </w:rPr>
              <w:t>period November 201</w:t>
            </w:r>
            <w:r w:rsidR="00A847E1">
              <w:rPr>
                <w:rFonts w:ascii="Arial" w:hAnsi="Arial" w:cs="Arial"/>
                <w:bCs/>
                <w:sz w:val="22"/>
                <w:szCs w:val="22"/>
              </w:rPr>
              <w:t>7</w:t>
            </w:r>
            <w:r>
              <w:rPr>
                <w:rFonts w:ascii="Arial" w:hAnsi="Arial" w:cs="Arial"/>
                <w:bCs/>
                <w:sz w:val="22"/>
                <w:szCs w:val="22"/>
              </w:rPr>
              <w:t xml:space="preserve"> to </w:t>
            </w:r>
            <w:r w:rsidR="00F72FC5">
              <w:rPr>
                <w:rFonts w:ascii="Arial" w:hAnsi="Arial" w:cs="Arial"/>
                <w:bCs/>
                <w:sz w:val="22"/>
                <w:szCs w:val="22"/>
              </w:rPr>
              <w:t>8</w:t>
            </w:r>
            <w:r w:rsidR="00F72FC5" w:rsidRPr="00F72FC5">
              <w:rPr>
                <w:rFonts w:ascii="Arial" w:hAnsi="Arial" w:cs="Arial"/>
                <w:bCs/>
                <w:sz w:val="22"/>
                <w:szCs w:val="22"/>
                <w:vertAlign w:val="superscript"/>
              </w:rPr>
              <w:t>th</w:t>
            </w:r>
            <w:r w:rsidR="00F72FC5">
              <w:rPr>
                <w:rFonts w:ascii="Arial" w:hAnsi="Arial" w:cs="Arial"/>
                <w:bCs/>
                <w:sz w:val="22"/>
                <w:szCs w:val="22"/>
              </w:rPr>
              <w:t xml:space="preserve"> April 2018 to include Easter 2018.</w:t>
            </w:r>
            <w:r>
              <w:rPr>
                <w:rFonts w:ascii="Arial" w:hAnsi="Arial" w:cs="Arial"/>
                <w:bCs/>
                <w:sz w:val="22"/>
                <w:szCs w:val="22"/>
              </w:rPr>
              <w:t xml:space="preserve"> </w:t>
            </w:r>
            <w:r w:rsidRPr="00180B8C">
              <w:rPr>
                <w:rFonts w:ascii="Arial" w:hAnsi="Arial" w:cs="Arial"/>
                <w:bCs/>
                <w:sz w:val="22"/>
                <w:szCs w:val="22"/>
                <w:lang w:eastAsia="en-GB"/>
              </w:rPr>
              <w:t xml:space="preserve">The CCG requires an effective approach to resilience planning, particularly with a focus on </w:t>
            </w:r>
            <w:r>
              <w:rPr>
                <w:rFonts w:ascii="Arial" w:hAnsi="Arial" w:cs="Arial"/>
                <w:bCs/>
                <w:sz w:val="22"/>
                <w:szCs w:val="22"/>
                <w:lang w:eastAsia="en-GB"/>
              </w:rPr>
              <w:t>s</w:t>
            </w:r>
            <w:r w:rsidRPr="00180B8C">
              <w:rPr>
                <w:rFonts w:ascii="Arial" w:hAnsi="Arial" w:cs="Arial"/>
                <w:bCs/>
                <w:sz w:val="22"/>
                <w:szCs w:val="22"/>
                <w:lang w:eastAsia="en-GB"/>
              </w:rPr>
              <w:t xml:space="preserve">upporting A&amp;E performance and to ensure effective measures are in place locally across the wider health and care system </w:t>
            </w:r>
            <w:r>
              <w:rPr>
                <w:rFonts w:ascii="Arial" w:hAnsi="Arial" w:cs="Arial"/>
                <w:bCs/>
                <w:sz w:val="22"/>
                <w:szCs w:val="22"/>
                <w:lang w:eastAsia="en-GB"/>
              </w:rPr>
              <w:t>t</w:t>
            </w:r>
            <w:r w:rsidR="00B25F14">
              <w:rPr>
                <w:rFonts w:ascii="Arial" w:hAnsi="Arial" w:cs="Arial"/>
                <w:bCs/>
                <w:sz w:val="22"/>
                <w:szCs w:val="22"/>
                <w:lang w:eastAsia="en-GB"/>
              </w:rPr>
              <w:t>o responds to winter pressures.</w:t>
            </w:r>
          </w:p>
          <w:p w:rsidR="007663C8" w:rsidRPr="0016479A" w:rsidRDefault="0023786F" w:rsidP="00B25F14">
            <w:pPr>
              <w:rPr>
                <w:rFonts w:ascii="Calibri" w:hAnsi="Calibri" w:cs="Calibri"/>
                <w:i/>
                <w:sz w:val="22"/>
                <w:szCs w:val="22"/>
              </w:rPr>
            </w:pPr>
            <w:r>
              <w:rPr>
                <w:rFonts w:ascii="Arial" w:hAnsi="Arial" w:cs="Arial"/>
                <w:bCs/>
                <w:sz w:val="22"/>
                <w:szCs w:val="22"/>
                <w:lang w:eastAsia="en-GB"/>
              </w:rPr>
              <w:t xml:space="preserve">This paper also relates to </w:t>
            </w:r>
            <w:r w:rsidR="00B25F14">
              <w:rPr>
                <w:rFonts w:ascii="Arial" w:hAnsi="Arial" w:cs="Arial"/>
                <w:bCs/>
                <w:sz w:val="22"/>
                <w:szCs w:val="22"/>
              </w:rPr>
              <w:t xml:space="preserve">operational arrangements in place or being established for </w:t>
            </w:r>
            <w:r>
              <w:rPr>
                <w:rFonts w:ascii="Arial" w:hAnsi="Arial" w:cs="Arial"/>
                <w:bCs/>
                <w:sz w:val="22"/>
                <w:szCs w:val="22"/>
                <w:lang w:eastAsia="en-GB"/>
              </w:rPr>
              <w:t xml:space="preserve">the on-going development and improvement of EPRR </w:t>
            </w:r>
            <w:r>
              <w:rPr>
                <w:rFonts w:ascii="Arial" w:hAnsi="Arial" w:cs="Arial"/>
                <w:bCs/>
                <w:sz w:val="22"/>
                <w:szCs w:val="22"/>
                <w:lang w:eastAsia="en-GB"/>
              </w:rPr>
              <w:lastRenderedPageBreak/>
              <w:t xml:space="preserve">resilience. The CCG requires an effective approach to planning for and responding as required to emergencies and incidents </w:t>
            </w:r>
            <w:r w:rsidR="00B25F14">
              <w:rPr>
                <w:rFonts w:ascii="Arial" w:hAnsi="Arial" w:cs="Arial"/>
                <w:bCs/>
                <w:sz w:val="22"/>
                <w:szCs w:val="22"/>
                <w:lang w:eastAsia="en-GB"/>
              </w:rPr>
              <w:t>impacting on NHS funded providers.</w:t>
            </w:r>
          </w:p>
        </w:tc>
      </w:tr>
      <w:tr w:rsidR="00473CC5" w:rsidRPr="000D1B0D" w:rsidTr="007663C8">
        <w:tc>
          <w:tcPr>
            <w:tcW w:w="2103"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lastRenderedPageBreak/>
              <w:t>NHS Constitution:</w:t>
            </w:r>
          </w:p>
          <w:p w:rsidR="00473CC5" w:rsidRPr="000D1B0D" w:rsidRDefault="00473CC5" w:rsidP="000D1B0D">
            <w:pPr>
              <w:pStyle w:val="Default"/>
              <w:jc w:val="both"/>
              <w:rPr>
                <w:rFonts w:ascii="Calibri" w:hAnsi="Calibri" w:cs="Calibri"/>
                <w:b/>
                <w:sz w:val="20"/>
                <w:szCs w:val="20"/>
              </w:rPr>
            </w:pPr>
          </w:p>
        </w:tc>
        <w:tc>
          <w:tcPr>
            <w:tcW w:w="7977" w:type="dxa"/>
            <w:shd w:val="clear" w:color="auto" w:fill="auto"/>
          </w:tcPr>
          <w:p w:rsidR="00006E07" w:rsidRDefault="00006E07" w:rsidP="000D1B0D">
            <w:pPr>
              <w:pStyle w:val="Default"/>
              <w:jc w:val="both"/>
              <w:rPr>
                <w:rFonts w:ascii="Calibri" w:hAnsi="Calibri" w:cs="Calibri"/>
                <w:sz w:val="20"/>
                <w:szCs w:val="20"/>
              </w:rPr>
            </w:pPr>
          </w:p>
          <w:p w:rsidR="00034CF6" w:rsidRDefault="00034CF6" w:rsidP="000D1B0D">
            <w:pPr>
              <w:pStyle w:val="Default"/>
              <w:jc w:val="both"/>
              <w:rPr>
                <w:rFonts w:ascii="Calibri" w:hAnsi="Calibri" w:cs="Calibri"/>
                <w:sz w:val="20"/>
                <w:szCs w:val="20"/>
              </w:rPr>
            </w:pPr>
          </w:p>
          <w:p w:rsidR="00006E07" w:rsidRDefault="00006E07" w:rsidP="000D1B0D">
            <w:pPr>
              <w:pStyle w:val="Default"/>
              <w:jc w:val="both"/>
              <w:rPr>
                <w:rFonts w:ascii="Calibri" w:hAnsi="Calibri" w:cs="Calibri"/>
                <w:i/>
                <w:sz w:val="20"/>
                <w:szCs w:val="20"/>
              </w:rPr>
            </w:pPr>
            <w:proofErr w:type="gramStart"/>
            <w:r w:rsidRPr="00006E07">
              <w:rPr>
                <w:rFonts w:ascii="Calibri" w:hAnsi="Calibri" w:cs="Calibri"/>
                <w:i/>
                <w:sz w:val="20"/>
                <w:szCs w:val="20"/>
              </w:rPr>
              <w:t>Does</w:t>
            </w:r>
            <w:proofErr w:type="gramEnd"/>
            <w:r w:rsidRPr="00006E07">
              <w:rPr>
                <w:rFonts w:ascii="Calibri" w:hAnsi="Calibri" w:cs="Calibri"/>
                <w:i/>
                <w:sz w:val="20"/>
                <w:szCs w:val="20"/>
              </w:rPr>
              <w:t xml:space="preserve"> the report and its recommendations comply with the requirements of the NHS constitution</w:t>
            </w:r>
            <w:r>
              <w:rPr>
                <w:rFonts w:ascii="Calibri" w:hAnsi="Calibri" w:cs="Calibri"/>
                <w:i/>
                <w:sz w:val="20"/>
                <w:szCs w:val="20"/>
              </w:rPr>
              <w:t xml:space="preserve">? </w:t>
            </w:r>
            <w:r w:rsidRPr="00006E07">
              <w:rPr>
                <w:rFonts w:ascii="Calibri" w:hAnsi="Calibri" w:cs="Calibri"/>
                <w:i/>
                <w:sz w:val="20"/>
                <w:szCs w:val="20"/>
              </w:rPr>
              <w:t>Yes / No</w:t>
            </w:r>
            <w:r w:rsidR="003B5302">
              <w:rPr>
                <w:rFonts w:ascii="Calibri" w:hAnsi="Calibri" w:cs="Calibri"/>
                <w:i/>
                <w:sz w:val="20"/>
                <w:szCs w:val="20"/>
              </w:rPr>
              <w:t xml:space="preserve">  - </w:t>
            </w:r>
            <w:r w:rsidR="003B5302" w:rsidRPr="003B5302">
              <w:rPr>
                <w:rFonts w:ascii="Calibri" w:hAnsi="Calibri" w:cs="Calibri"/>
                <w:b/>
                <w:i/>
                <w:color w:val="auto"/>
                <w:sz w:val="20"/>
                <w:szCs w:val="20"/>
              </w:rPr>
              <w:t>NA</w:t>
            </w:r>
          </w:p>
          <w:p w:rsidR="00006E07" w:rsidRDefault="00006E07" w:rsidP="000D1B0D">
            <w:pPr>
              <w:pStyle w:val="Default"/>
              <w:jc w:val="both"/>
              <w:rPr>
                <w:rFonts w:ascii="Calibri" w:hAnsi="Calibri" w:cs="Calibri"/>
                <w:i/>
                <w:sz w:val="20"/>
                <w:szCs w:val="20"/>
              </w:rPr>
            </w:pPr>
          </w:p>
          <w:p w:rsidR="00006E07" w:rsidRDefault="00006E07" w:rsidP="000D1B0D">
            <w:pPr>
              <w:pStyle w:val="Default"/>
              <w:jc w:val="both"/>
              <w:rPr>
                <w:rFonts w:ascii="Calibri" w:hAnsi="Calibri" w:cs="Calibri"/>
                <w:i/>
                <w:sz w:val="20"/>
                <w:szCs w:val="20"/>
              </w:rPr>
            </w:pPr>
            <w:r>
              <w:rPr>
                <w:rFonts w:ascii="Calibri" w:hAnsi="Calibri" w:cs="Calibri"/>
                <w:i/>
                <w:sz w:val="20"/>
                <w:szCs w:val="20"/>
              </w:rPr>
              <w:t xml:space="preserve">If </w:t>
            </w:r>
            <w:r w:rsidR="005F27AD">
              <w:rPr>
                <w:rFonts w:ascii="Calibri" w:hAnsi="Calibri" w:cs="Calibri"/>
                <w:i/>
                <w:sz w:val="20"/>
                <w:szCs w:val="20"/>
              </w:rPr>
              <w:t>No</w:t>
            </w:r>
            <w:r>
              <w:rPr>
                <w:rFonts w:ascii="Calibri" w:hAnsi="Calibri" w:cs="Calibri"/>
                <w:i/>
                <w:sz w:val="20"/>
                <w:szCs w:val="20"/>
              </w:rPr>
              <w:t>, please summarise key issues</w:t>
            </w:r>
          </w:p>
          <w:p w:rsidR="00006E07" w:rsidRPr="000D1B0D" w:rsidRDefault="00006E07"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Report exempt from Public Disclosure</w:t>
            </w:r>
          </w:p>
          <w:p w:rsidR="007E1C2F" w:rsidRPr="000D1B0D" w:rsidRDefault="007E1C2F" w:rsidP="007E1C2F">
            <w:pPr>
              <w:pStyle w:val="Default"/>
              <w:rPr>
                <w:rFonts w:ascii="Calibri" w:hAnsi="Calibri" w:cs="Calibri"/>
                <w:b/>
                <w:sz w:val="20"/>
                <w:szCs w:val="20"/>
              </w:rPr>
            </w:pPr>
          </w:p>
        </w:tc>
        <w:tc>
          <w:tcPr>
            <w:tcW w:w="7977" w:type="dxa"/>
            <w:shd w:val="clear" w:color="auto" w:fill="auto"/>
          </w:tcPr>
          <w:p w:rsidR="007E1C2F" w:rsidRPr="000D1B0D" w:rsidRDefault="007E1C2F" w:rsidP="000D1B0D">
            <w:pPr>
              <w:pStyle w:val="Default"/>
              <w:jc w:val="both"/>
              <w:rPr>
                <w:rFonts w:ascii="Calibri" w:hAnsi="Calibri" w:cs="Calibri"/>
                <w:sz w:val="20"/>
                <w:szCs w:val="20"/>
              </w:rPr>
            </w:pPr>
            <w:r w:rsidRPr="000D1B0D">
              <w:rPr>
                <w:rFonts w:ascii="Calibri" w:hAnsi="Calibri" w:cs="Calibri"/>
                <w:sz w:val="20"/>
                <w:szCs w:val="20"/>
              </w:rPr>
              <w:t>Yes / No</w:t>
            </w:r>
            <w:r w:rsidR="003B5302">
              <w:rPr>
                <w:rFonts w:ascii="Calibri" w:hAnsi="Calibri" w:cs="Calibri"/>
                <w:sz w:val="20"/>
                <w:szCs w:val="20"/>
              </w:rPr>
              <w:t xml:space="preserve"> - </w:t>
            </w:r>
            <w:r w:rsidR="003B5302" w:rsidRPr="003B5302">
              <w:rPr>
                <w:rFonts w:ascii="Calibri" w:hAnsi="Calibri" w:cs="Calibri"/>
                <w:b/>
                <w:sz w:val="20"/>
                <w:szCs w:val="20"/>
              </w:rPr>
              <w:t>No</w:t>
            </w:r>
          </w:p>
        </w:tc>
      </w:tr>
    </w:tbl>
    <w:p w:rsidR="009D4EDC" w:rsidRDefault="009D4EDC"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7E1C2F" w:rsidRPr="000D1B0D" w:rsidTr="00B658DC">
        <w:tc>
          <w:tcPr>
            <w:tcW w:w="2127" w:type="dxa"/>
            <w:shd w:val="clear" w:color="auto" w:fill="auto"/>
          </w:tcPr>
          <w:p w:rsidR="007E1C2F" w:rsidRPr="000D1B0D" w:rsidRDefault="007E1C2F" w:rsidP="00FB449C">
            <w:pPr>
              <w:pStyle w:val="Default"/>
              <w:rPr>
                <w:rFonts w:ascii="Calibri" w:hAnsi="Calibri" w:cs="Calibri"/>
                <w:b/>
                <w:sz w:val="20"/>
                <w:szCs w:val="20"/>
              </w:rPr>
            </w:pPr>
            <w:r w:rsidRPr="000D1B0D">
              <w:rPr>
                <w:rFonts w:ascii="Calibri" w:hAnsi="Calibri" w:cs="Calibri"/>
                <w:b/>
                <w:sz w:val="20"/>
                <w:szCs w:val="20"/>
              </w:rPr>
              <w:t>Appendices / attachments</w:t>
            </w:r>
          </w:p>
          <w:p w:rsidR="007E1C2F" w:rsidRPr="000D1B0D" w:rsidRDefault="007E1C2F" w:rsidP="000D1B0D">
            <w:pPr>
              <w:pStyle w:val="Default"/>
              <w:jc w:val="both"/>
              <w:rPr>
                <w:rFonts w:ascii="Calibri" w:hAnsi="Calibri" w:cs="Calibri"/>
                <w:sz w:val="20"/>
                <w:szCs w:val="20"/>
              </w:rPr>
            </w:pPr>
          </w:p>
        </w:tc>
        <w:tc>
          <w:tcPr>
            <w:tcW w:w="7938" w:type="dxa"/>
            <w:shd w:val="clear" w:color="auto" w:fill="auto"/>
          </w:tcPr>
          <w:p w:rsidR="007E1C2F" w:rsidRPr="000D1B0D" w:rsidRDefault="007E1C2F" w:rsidP="000D1B0D">
            <w:pPr>
              <w:pStyle w:val="Default"/>
              <w:jc w:val="both"/>
              <w:rPr>
                <w:rFonts w:ascii="Calibri" w:hAnsi="Calibri" w:cs="Calibri"/>
                <w:sz w:val="20"/>
                <w:szCs w:val="20"/>
              </w:rPr>
            </w:pPr>
          </w:p>
          <w:p w:rsidR="00FB449C" w:rsidRDefault="00C03A9C" w:rsidP="000D1B0D">
            <w:pPr>
              <w:pStyle w:val="Default"/>
              <w:jc w:val="both"/>
              <w:rPr>
                <w:rFonts w:ascii="Calibri" w:hAnsi="Calibri" w:cs="Calibri"/>
                <w:sz w:val="20"/>
                <w:szCs w:val="20"/>
              </w:rPr>
            </w:pPr>
            <w:r>
              <w:rPr>
                <w:rFonts w:ascii="Calibri" w:hAnsi="Calibri" w:cs="Calibri"/>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Word.Document.12" ShapeID="_x0000_i1025" DrawAspect="Icon" ObjectID="_1566383671" r:id="rId13">
                  <o:FieldCodes>\s</o:FieldCodes>
                </o:OLEObject>
              </w:object>
            </w:r>
            <w:r>
              <w:rPr>
                <w:rFonts w:ascii="Calibri" w:hAnsi="Calibri" w:cs="Calibri"/>
                <w:sz w:val="20"/>
                <w:szCs w:val="20"/>
              </w:rPr>
              <w:t xml:space="preserve">  </w:t>
            </w:r>
            <w:r w:rsidR="00F1222E">
              <w:rPr>
                <w:rFonts w:ascii="Calibri" w:hAnsi="Calibri" w:cs="Calibri"/>
                <w:sz w:val="20"/>
                <w:szCs w:val="20"/>
              </w:rPr>
              <w:object w:dxaOrig="2069" w:dyaOrig="1320">
                <v:shape id="_x0000_i1026" type="#_x0000_t75" style="width:103.2pt;height:66pt" o:ole="">
                  <v:imagedata r:id="rId14" o:title=""/>
                </v:shape>
                <o:OLEObject Type="Embed" ProgID="Excel.Sheet.12" ShapeID="_x0000_i1026" DrawAspect="Icon" ObjectID="_1566383672" r:id="rId15"/>
              </w:object>
            </w:r>
            <w:r>
              <w:rPr>
                <w:rFonts w:ascii="Calibri" w:hAnsi="Calibri" w:cs="Calibri"/>
                <w:sz w:val="20"/>
                <w:szCs w:val="20"/>
              </w:rPr>
              <w:object w:dxaOrig="1550" w:dyaOrig="991">
                <v:shape id="_x0000_i1027" type="#_x0000_t75" style="width:77.4pt;height:49.8pt" o:ole="">
                  <v:imagedata r:id="rId16" o:title=""/>
                </v:shape>
                <o:OLEObject Type="Embed" ProgID="Word.Document.12" ShapeID="_x0000_i1027" DrawAspect="Icon" ObjectID="_1566383673" r:id="rId17">
                  <o:FieldCodes>\s</o:FieldCodes>
                </o:OLEObject>
              </w:object>
            </w:r>
          </w:p>
          <w:p w:rsidR="00E61AF0" w:rsidRDefault="00C71D1C" w:rsidP="000D1B0D">
            <w:pPr>
              <w:pStyle w:val="Default"/>
              <w:jc w:val="both"/>
              <w:rPr>
                <w:rFonts w:ascii="Calibri" w:hAnsi="Calibri" w:cs="Calibri"/>
                <w:sz w:val="20"/>
                <w:szCs w:val="20"/>
              </w:rPr>
            </w:pPr>
            <w:r>
              <w:rPr>
                <w:rFonts w:ascii="Calibri" w:hAnsi="Calibri" w:cs="Calibri"/>
                <w:sz w:val="20"/>
                <w:szCs w:val="20"/>
              </w:rPr>
              <w:t xml:space="preserve">              </w:t>
            </w:r>
          </w:p>
          <w:p w:rsidR="00E61AF0" w:rsidRPr="000D1B0D" w:rsidRDefault="00E61AF0" w:rsidP="000D1B0D">
            <w:pPr>
              <w:pStyle w:val="Default"/>
              <w:jc w:val="both"/>
              <w:rPr>
                <w:rFonts w:ascii="Calibri" w:hAnsi="Calibri" w:cs="Calibri"/>
                <w:sz w:val="20"/>
                <w:szCs w:val="20"/>
              </w:rPr>
            </w:pPr>
          </w:p>
        </w:tc>
      </w:tr>
    </w:tbl>
    <w:p w:rsidR="00D107EA" w:rsidRDefault="00D107EA" w:rsidP="00D3211A">
      <w:pPr>
        <w:pStyle w:val="Default"/>
        <w:jc w:val="both"/>
        <w:rPr>
          <w:rFonts w:ascii="Calibri" w:hAnsi="Calibri" w:cs="Calibri"/>
          <w:sz w:val="20"/>
          <w:szCs w:val="20"/>
        </w:rPr>
      </w:pPr>
    </w:p>
    <w:p w:rsidR="00D107EA" w:rsidRDefault="00D107EA">
      <w:pPr>
        <w:rPr>
          <w:rFonts w:ascii="Calibri" w:eastAsia="MS Mincho" w:hAnsi="Calibri" w:cs="Calibri"/>
          <w:color w:val="000000"/>
          <w:sz w:val="20"/>
          <w:lang w:eastAsia="en-GB"/>
        </w:rPr>
      </w:pPr>
      <w:r>
        <w:rPr>
          <w:rFonts w:ascii="Calibri" w:hAnsi="Calibri" w:cs="Calibri"/>
          <w:sz w:val="20"/>
        </w:rPr>
        <w:br w:type="page"/>
      </w:r>
    </w:p>
    <w:p w:rsidR="00AB3B83" w:rsidRPr="00416A4E" w:rsidRDefault="00AB3B83" w:rsidP="00D107EA">
      <w:pPr>
        <w:spacing w:after="200" w:line="276" w:lineRule="auto"/>
        <w:rPr>
          <w:rFonts w:asciiTheme="minorHAnsi" w:eastAsiaTheme="minorHAnsi" w:hAnsiTheme="minorHAnsi" w:cstheme="minorBidi"/>
          <w:b/>
          <w:sz w:val="22"/>
          <w:szCs w:val="22"/>
        </w:rPr>
      </w:pPr>
    </w:p>
    <w:p w:rsidR="00D107EA" w:rsidRPr="00416A4E" w:rsidRDefault="00D107EA" w:rsidP="00D107EA">
      <w:pPr>
        <w:spacing w:after="200" w:line="276" w:lineRule="auto"/>
        <w:rPr>
          <w:rFonts w:asciiTheme="minorHAnsi" w:eastAsiaTheme="minorHAnsi" w:hAnsiTheme="minorHAnsi" w:cs="Arial"/>
          <w:b/>
          <w:sz w:val="36"/>
          <w:szCs w:val="36"/>
        </w:rPr>
      </w:pPr>
      <w:r w:rsidRPr="00416A4E">
        <w:rPr>
          <w:rFonts w:asciiTheme="minorHAnsi" w:eastAsiaTheme="minorHAnsi" w:hAnsiTheme="minorHAnsi" w:cs="Arial"/>
          <w:b/>
          <w:sz w:val="36"/>
          <w:szCs w:val="36"/>
        </w:rPr>
        <w:t>1</w:t>
      </w:r>
      <w:r w:rsidRPr="00416A4E">
        <w:rPr>
          <w:rFonts w:asciiTheme="minorHAnsi" w:eastAsiaTheme="minorHAnsi" w:hAnsiTheme="minorHAnsi" w:cs="Arial"/>
          <w:b/>
          <w:sz w:val="36"/>
          <w:szCs w:val="36"/>
        </w:rPr>
        <w:tab/>
        <w:t>EPRR</w:t>
      </w:r>
      <w:r w:rsidR="00A01FAB" w:rsidRPr="00416A4E">
        <w:rPr>
          <w:rFonts w:asciiTheme="minorHAnsi" w:eastAsiaTheme="minorHAnsi" w:hAnsiTheme="minorHAnsi" w:cs="Arial"/>
          <w:b/>
          <w:sz w:val="36"/>
          <w:szCs w:val="36"/>
        </w:rPr>
        <w:t xml:space="preserve"> Update</w:t>
      </w:r>
    </w:p>
    <w:p w:rsidR="00C829A0" w:rsidRPr="00416A4E" w:rsidRDefault="00C829A0" w:rsidP="00D107EA">
      <w:pPr>
        <w:spacing w:after="200" w:line="276" w:lineRule="auto"/>
        <w:rPr>
          <w:rFonts w:asciiTheme="minorHAnsi" w:eastAsiaTheme="minorHAnsi" w:hAnsiTheme="minorHAnsi" w:cs="Arial"/>
          <w:b/>
          <w:szCs w:val="24"/>
        </w:rPr>
      </w:pPr>
    </w:p>
    <w:p w:rsidR="00A01FAB" w:rsidRPr="00416A4E" w:rsidRDefault="00A01FAB" w:rsidP="00D107EA">
      <w:pPr>
        <w:spacing w:after="200" w:line="276" w:lineRule="auto"/>
        <w:rPr>
          <w:rFonts w:asciiTheme="minorHAnsi" w:eastAsiaTheme="minorHAnsi" w:hAnsiTheme="minorHAnsi" w:cs="Arial"/>
          <w:b/>
          <w:szCs w:val="24"/>
        </w:rPr>
      </w:pPr>
      <w:r w:rsidRPr="00416A4E">
        <w:rPr>
          <w:rFonts w:asciiTheme="minorHAnsi" w:eastAsiaTheme="minorHAnsi" w:hAnsiTheme="minorHAnsi" w:cs="Arial"/>
          <w:b/>
          <w:szCs w:val="24"/>
        </w:rPr>
        <w:t>National Context</w:t>
      </w:r>
    </w:p>
    <w:p w:rsidR="00D107EA" w:rsidRPr="00416A4E" w:rsidRDefault="00D107EA" w:rsidP="00630288">
      <w:pPr>
        <w:spacing w:after="200"/>
        <w:rPr>
          <w:rFonts w:asciiTheme="minorHAnsi" w:eastAsiaTheme="minorHAnsi" w:hAnsiTheme="minorHAnsi" w:cs="Arial"/>
          <w:szCs w:val="24"/>
        </w:rPr>
      </w:pPr>
      <w:r w:rsidRPr="00416A4E">
        <w:rPr>
          <w:rFonts w:asciiTheme="minorHAnsi" w:eastAsiaTheme="minorHAnsi" w:hAnsiTheme="minorHAnsi" w:cs="Arial"/>
          <w:szCs w:val="24"/>
        </w:rPr>
        <w:t>EPRR (Emergency Planning Resilience &amp; Response) is the framework by which the NHS assures itself that it is prepared for emergencies. This is distinct from activity surges and escalation pressures which are managed and assured through the NHSE Winter Planning and Assurance processes.</w:t>
      </w:r>
    </w:p>
    <w:p w:rsidR="00D107EA" w:rsidRPr="00416A4E" w:rsidRDefault="00D107EA" w:rsidP="00630288">
      <w:pPr>
        <w:spacing w:after="200"/>
        <w:rPr>
          <w:rFonts w:asciiTheme="minorHAnsi" w:eastAsiaTheme="minorHAnsi" w:hAnsiTheme="minorHAnsi" w:cs="Arial"/>
          <w:szCs w:val="24"/>
        </w:rPr>
      </w:pPr>
      <w:r w:rsidRPr="00416A4E">
        <w:rPr>
          <w:rFonts w:asciiTheme="minorHAnsi" w:eastAsiaTheme="minorHAnsi" w:hAnsiTheme="minorHAnsi" w:cs="Arial"/>
          <w:szCs w:val="24"/>
        </w:rPr>
        <w:t>CCGs and their NHS funded providers fall under the scope of EPPR.</w:t>
      </w:r>
    </w:p>
    <w:p w:rsidR="00D107EA" w:rsidRPr="00416A4E" w:rsidRDefault="00D107EA" w:rsidP="00630288">
      <w:pPr>
        <w:spacing w:after="200"/>
        <w:rPr>
          <w:rFonts w:asciiTheme="minorHAnsi" w:eastAsiaTheme="minorHAnsi" w:hAnsiTheme="minorHAnsi" w:cs="Arial"/>
          <w:szCs w:val="24"/>
        </w:rPr>
      </w:pPr>
      <w:r w:rsidRPr="00416A4E">
        <w:rPr>
          <w:rFonts w:asciiTheme="minorHAnsi" w:eastAsiaTheme="minorHAnsi" w:hAnsiTheme="minorHAnsi" w:cs="Arial"/>
          <w:szCs w:val="24"/>
        </w:rPr>
        <w:t xml:space="preserve">There is set of EPRR Core Standards covering organisations arrangements for governance, assessing risks, planning, command and control, cooperation and training. </w:t>
      </w:r>
    </w:p>
    <w:p w:rsidR="00D107EA" w:rsidRPr="00416A4E" w:rsidRDefault="00D107EA" w:rsidP="00630288">
      <w:pPr>
        <w:spacing w:after="200"/>
        <w:rPr>
          <w:rFonts w:asciiTheme="minorHAnsi" w:eastAsiaTheme="minorHAnsi" w:hAnsiTheme="minorHAnsi" w:cs="Arial"/>
          <w:szCs w:val="24"/>
        </w:rPr>
      </w:pPr>
      <w:r w:rsidRPr="00416A4E">
        <w:rPr>
          <w:rFonts w:asciiTheme="minorHAnsi" w:eastAsiaTheme="minorHAnsi" w:hAnsiTheme="minorHAnsi" w:cs="Arial"/>
          <w:szCs w:val="24"/>
        </w:rPr>
        <w:t>CCGs have a specific set of responsibilities in terms of tactical and operational coordination of local incident planning and response as well as its own organisational resilience to incidents.</w:t>
      </w:r>
    </w:p>
    <w:p w:rsidR="00D107EA" w:rsidRPr="00416A4E" w:rsidRDefault="00D107EA" w:rsidP="00630288">
      <w:pPr>
        <w:rPr>
          <w:rFonts w:asciiTheme="minorHAnsi" w:eastAsiaTheme="minorHAnsi" w:hAnsiTheme="minorHAnsi" w:cs="Arial"/>
          <w:szCs w:val="24"/>
        </w:rPr>
      </w:pPr>
      <w:r w:rsidRPr="00416A4E">
        <w:rPr>
          <w:rFonts w:asciiTheme="minorHAnsi" w:eastAsiaTheme="minorHAnsi" w:hAnsiTheme="minorHAnsi" w:cs="Arial"/>
          <w:szCs w:val="24"/>
        </w:rPr>
        <w:t>The EPRR framework includes an annual assurance process. This requires a self-assessment against the EPRR core standards, a declaration of the resultant compliance level with these standards and the creation of an action plan to redress any identified gaps.</w:t>
      </w:r>
    </w:p>
    <w:p w:rsidR="00C829A0" w:rsidRPr="00416A4E" w:rsidRDefault="00C829A0" w:rsidP="00D107EA">
      <w:pPr>
        <w:spacing w:after="200" w:line="276" w:lineRule="auto"/>
        <w:rPr>
          <w:rFonts w:asciiTheme="minorHAnsi" w:eastAsiaTheme="minorHAnsi" w:hAnsiTheme="minorHAnsi" w:cstheme="minorBidi"/>
          <w:sz w:val="22"/>
          <w:szCs w:val="22"/>
        </w:rPr>
      </w:pPr>
    </w:p>
    <w:p w:rsidR="00C829A0" w:rsidRPr="00416A4E" w:rsidRDefault="00C829A0" w:rsidP="00D107EA">
      <w:pPr>
        <w:spacing w:after="200" w:line="276" w:lineRule="auto"/>
        <w:rPr>
          <w:rFonts w:asciiTheme="minorHAnsi" w:eastAsiaTheme="minorHAnsi" w:hAnsiTheme="minorHAnsi" w:cs="Arial"/>
          <w:b/>
          <w:szCs w:val="24"/>
        </w:rPr>
      </w:pPr>
      <w:r w:rsidRPr="00416A4E">
        <w:rPr>
          <w:rFonts w:asciiTheme="minorHAnsi" w:eastAsiaTheme="minorHAnsi" w:hAnsiTheme="minorHAnsi" w:cs="Arial"/>
          <w:b/>
          <w:szCs w:val="24"/>
        </w:rPr>
        <w:t>NEL CCG activity</w:t>
      </w:r>
    </w:p>
    <w:p w:rsidR="0005658C" w:rsidRPr="00D4637D" w:rsidRDefault="003E3337" w:rsidP="00630288">
      <w:pPr>
        <w:spacing w:after="200"/>
        <w:rPr>
          <w:rFonts w:asciiTheme="minorHAnsi" w:eastAsiaTheme="minorHAnsi" w:hAnsiTheme="minorHAnsi" w:cs="Arial"/>
          <w:szCs w:val="24"/>
        </w:rPr>
      </w:pPr>
      <w:r w:rsidRPr="00D4637D">
        <w:rPr>
          <w:rFonts w:asciiTheme="minorHAnsi" w:eastAsiaTheme="minorHAnsi" w:hAnsiTheme="minorHAnsi" w:cs="Arial"/>
          <w:szCs w:val="24"/>
        </w:rPr>
        <w:t>Following work done against the 2016 Action Plan</w:t>
      </w:r>
      <w:r w:rsidR="0005658C" w:rsidRPr="00D4637D">
        <w:rPr>
          <w:rFonts w:asciiTheme="minorHAnsi" w:eastAsiaTheme="minorHAnsi" w:hAnsiTheme="minorHAnsi" w:cs="Arial"/>
          <w:szCs w:val="24"/>
        </w:rPr>
        <w:t xml:space="preserve"> and this year’s self-assessment, NEL CCG is declaring a compliance level of “Substantial” against the requirements. The action plan has been updated to detail the work required to achieve full compliance.</w:t>
      </w:r>
    </w:p>
    <w:p w:rsidR="0005658C" w:rsidRPr="00D4637D" w:rsidRDefault="0005658C" w:rsidP="00325694">
      <w:pPr>
        <w:spacing w:after="200"/>
        <w:rPr>
          <w:rFonts w:asciiTheme="minorHAnsi" w:eastAsiaTheme="minorHAnsi" w:hAnsiTheme="minorHAnsi" w:cs="Arial"/>
          <w:szCs w:val="24"/>
        </w:rPr>
      </w:pPr>
      <w:r w:rsidRPr="00D4637D">
        <w:rPr>
          <w:rFonts w:asciiTheme="minorHAnsi" w:eastAsiaTheme="minorHAnsi" w:hAnsiTheme="minorHAnsi" w:cs="Arial"/>
          <w:szCs w:val="24"/>
        </w:rPr>
        <w:t>The following are attached to this paper:</w:t>
      </w:r>
    </w:p>
    <w:p w:rsidR="0005658C" w:rsidRPr="00D4637D" w:rsidRDefault="0005658C" w:rsidP="00D4637D">
      <w:pPr>
        <w:pStyle w:val="ListParagraph"/>
        <w:numPr>
          <w:ilvl w:val="1"/>
          <w:numId w:val="24"/>
        </w:numPr>
        <w:rPr>
          <w:rFonts w:asciiTheme="minorHAnsi" w:eastAsiaTheme="minorHAnsi" w:hAnsiTheme="minorHAnsi" w:cs="Arial"/>
          <w:sz w:val="24"/>
          <w:szCs w:val="24"/>
        </w:rPr>
      </w:pPr>
      <w:r w:rsidRPr="00D4637D">
        <w:rPr>
          <w:rFonts w:asciiTheme="minorHAnsi" w:eastAsiaTheme="minorHAnsi" w:hAnsiTheme="minorHAnsi" w:cs="Arial"/>
          <w:sz w:val="24"/>
          <w:szCs w:val="24"/>
        </w:rPr>
        <w:t>EPRR Compliance Statement</w:t>
      </w:r>
    </w:p>
    <w:p w:rsidR="0005658C" w:rsidRPr="00D4637D" w:rsidRDefault="0005658C" w:rsidP="00D4637D">
      <w:pPr>
        <w:pStyle w:val="ListParagraph"/>
        <w:numPr>
          <w:ilvl w:val="1"/>
          <w:numId w:val="24"/>
        </w:numPr>
        <w:rPr>
          <w:rFonts w:asciiTheme="minorHAnsi" w:eastAsiaTheme="minorHAnsi" w:hAnsiTheme="minorHAnsi" w:cs="Arial"/>
          <w:sz w:val="24"/>
          <w:szCs w:val="24"/>
        </w:rPr>
      </w:pPr>
      <w:r w:rsidRPr="00D4637D">
        <w:rPr>
          <w:rFonts w:asciiTheme="minorHAnsi" w:eastAsiaTheme="minorHAnsi" w:hAnsiTheme="minorHAnsi" w:cs="Arial"/>
          <w:sz w:val="24"/>
          <w:szCs w:val="24"/>
        </w:rPr>
        <w:t>EPRR Self-Assessment against</w:t>
      </w:r>
      <w:r w:rsidR="00530846" w:rsidRPr="00D4637D">
        <w:rPr>
          <w:rFonts w:asciiTheme="minorHAnsi" w:eastAsiaTheme="minorHAnsi" w:hAnsiTheme="minorHAnsi" w:cs="Arial"/>
          <w:sz w:val="24"/>
          <w:szCs w:val="24"/>
        </w:rPr>
        <w:t xml:space="preserve"> </w:t>
      </w:r>
      <w:r w:rsidRPr="00D4637D">
        <w:rPr>
          <w:rFonts w:asciiTheme="minorHAnsi" w:eastAsiaTheme="minorHAnsi" w:hAnsiTheme="minorHAnsi" w:cs="Arial"/>
          <w:sz w:val="24"/>
          <w:szCs w:val="24"/>
        </w:rPr>
        <w:t>core standards</w:t>
      </w:r>
    </w:p>
    <w:p w:rsidR="0005658C" w:rsidRPr="00D4637D" w:rsidRDefault="0005658C" w:rsidP="00D4637D">
      <w:pPr>
        <w:pStyle w:val="ListParagraph"/>
        <w:numPr>
          <w:ilvl w:val="1"/>
          <w:numId w:val="24"/>
        </w:numPr>
        <w:rPr>
          <w:rFonts w:asciiTheme="minorHAnsi" w:eastAsiaTheme="minorHAnsi" w:hAnsiTheme="minorHAnsi" w:cs="Arial"/>
          <w:sz w:val="24"/>
          <w:szCs w:val="24"/>
        </w:rPr>
      </w:pPr>
      <w:r w:rsidRPr="00D4637D">
        <w:rPr>
          <w:rFonts w:asciiTheme="minorHAnsi" w:eastAsiaTheme="minorHAnsi" w:hAnsiTheme="minorHAnsi" w:cs="Arial"/>
          <w:sz w:val="24"/>
          <w:szCs w:val="24"/>
        </w:rPr>
        <w:t>Action Plan</w:t>
      </w:r>
    </w:p>
    <w:p w:rsidR="003C0D3F" w:rsidRPr="00D4637D" w:rsidRDefault="003C0D3F" w:rsidP="003C0D3F">
      <w:pPr>
        <w:rPr>
          <w:rFonts w:asciiTheme="minorHAnsi" w:hAnsiTheme="minorHAnsi"/>
          <w:szCs w:val="24"/>
        </w:rPr>
      </w:pPr>
      <w:r w:rsidRPr="00D4637D">
        <w:rPr>
          <w:rFonts w:asciiTheme="minorHAnsi" w:hAnsiTheme="minorHAnsi"/>
          <w:szCs w:val="24"/>
        </w:rPr>
        <w:t>The CCG has made significant progress against the EPRR Action Plan from last year’s assurance process.</w:t>
      </w:r>
    </w:p>
    <w:p w:rsidR="003C0D3F" w:rsidRPr="003C0D3F" w:rsidRDefault="003C0D3F" w:rsidP="003C0D3F">
      <w:pPr>
        <w:rPr>
          <w:rFonts w:asciiTheme="minorHAnsi" w:hAnsiTheme="minorHAnsi"/>
          <w:szCs w:val="24"/>
        </w:rPr>
      </w:pPr>
    </w:p>
    <w:p w:rsidR="003C0D3F" w:rsidRPr="003C0D3F" w:rsidRDefault="003C0D3F" w:rsidP="003C0D3F">
      <w:pPr>
        <w:rPr>
          <w:rFonts w:asciiTheme="minorHAnsi" w:hAnsiTheme="minorHAnsi"/>
          <w:szCs w:val="24"/>
        </w:rPr>
      </w:pPr>
      <w:r w:rsidRPr="003C0D3F">
        <w:rPr>
          <w:rFonts w:asciiTheme="minorHAnsi" w:hAnsiTheme="minorHAnsi"/>
          <w:szCs w:val="24"/>
        </w:rPr>
        <w:t>Last year’s self-assessment identified that greater focus on communication with partners and risk review was required to improve the CCG’s assurance.</w:t>
      </w:r>
    </w:p>
    <w:p w:rsidR="003C0D3F" w:rsidRPr="003C0D3F" w:rsidRDefault="003C0D3F" w:rsidP="003C0D3F">
      <w:pPr>
        <w:rPr>
          <w:rFonts w:asciiTheme="minorHAnsi" w:hAnsiTheme="minorHAnsi"/>
          <w:szCs w:val="24"/>
        </w:rPr>
      </w:pPr>
    </w:p>
    <w:p w:rsidR="003C0D3F" w:rsidRPr="003C0D3F" w:rsidRDefault="003C0D3F" w:rsidP="003C0D3F">
      <w:pPr>
        <w:rPr>
          <w:rFonts w:asciiTheme="minorHAnsi" w:hAnsiTheme="minorHAnsi"/>
          <w:szCs w:val="24"/>
        </w:rPr>
      </w:pPr>
      <w:r w:rsidRPr="003C0D3F">
        <w:rPr>
          <w:rFonts w:asciiTheme="minorHAnsi" w:hAnsiTheme="minorHAnsi"/>
          <w:szCs w:val="24"/>
        </w:rPr>
        <w:t>In response the CCG has established a single point of contact for incidents or emergencies out of hours via a single on-call phone number and email address. As a result compliance with guidance for communications has been achieved.</w:t>
      </w:r>
    </w:p>
    <w:p w:rsidR="003C0D3F" w:rsidRPr="003C0D3F" w:rsidRDefault="003C0D3F" w:rsidP="003C0D3F">
      <w:pPr>
        <w:rPr>
          <w:rFonts w:asciiTheme="minorHAnsi" w:hAnsiTheme="minorHAnsi"/>
          <w:szCs w:val="24"/>
        </w:rPr>
      </w:pPr>
    </w:p>
    <w:p w:rsidR="003C0D3F" w:rsidRPr="00D4637D" w:rsidRDefault="003C0D3F" w:rsidP="003C0D3F">
      <w:pPr>
        <w:rPr>
          <w:rFonts w:asciiTheme="minorHAnsi" w:hAnsiTheme="minorHAnsi"/>
          <w:szCs w:val="24"/>
        </w:rPr>
      </w:pPr>
      <w:r w:rsidRPr="003C0D3F">
        <w:rPr>
          <w:rFonts w:asciiTheme="minorHAnsi" w:hAnsiTheme="minorHAnsi"/>
          <w:szCs w:val="24"/>
        </w:rPr>
        <w:t>The CCG, through the Emergency Preparedness and Response Group (EPARG) has led on local health and social care sector planning for a number of exercises and reviews these include:</w:t>
      </w:r>
    </w:p>
    <w:p w:rsidR="003C0D3F" w:rsidRPr="00D4637D" w:rsidRDefault="003C0D3F" w:rsidP="00D4637D">
      <w:pPr>
        <w:pStyle w:val="ListParagraph"/>
        <w:numPr>
          <w:ilvl w:val="0"/>
          <w:numId w:val="22"/>
        </w:numPr>
        <w:rPr>
          <w:rFonts w:asciiTheme="minorHAnsi" w:hAnsiTheme="minorHAnsi"/>
          <w:sz w:val="24"/>
          <w:szCs w:val="24"/>
        </w:rPr>
      </w:pPr>
      <w:r w:rsidRPr="00D4637D">
        <w:rPr>
          <w:rFonts w:asciiTheme="minorHAnsi" w:hAnsiTheme="minorHAnsi"/>
          <w:sz w:val="24"/>
          <w:szCs w:val="24"/>
        </w:rPr>
        <w:t>Cold weather exercise in December which involved a desktop scenario based exercise of response of health and social care partners to a severe cold weather event. Particular focus was on communications between partners and mutual aid arrangements.</w:t>
      </w:r>
    </w:p>
    <w:p w:rsidR="003C0D3F" w:rsidRPr="00D4637D" w:rsidRDefault="003C0D3F" w:rsidP="00D4637D">
      <w:pPr>
        <w:pStyle w:val="ListParagraph"/>
        <w:numPr>
          <w:ilvl w:val="0"/>
          <w:numId w:val="22"/>
        </w:numPr>
        <w:rPr>
          <w:rFonts w:asciiTheme="minorHAnsi" w:hAnsiTheme="minorHAnsi"/>
          <w:sz w:val="24"/>
          <w:szCs w:val="24"/>
        </w:rPr>
      </w:pPr>
      <w:r w:rsidRPr="00D4637D">
        <w:rPr>
          <w:rFonts w:asciiTheme="minorHAnsi" w:hAnsiTheme="minorHAnsi"/>
          <w:sz w:val="24"/>
          <w:szCs w:val="24"/>
        </w:rPr>
        <w:t>Cyber-attack review exercise in June focused on lessons learned following the cyber-attack and how communications and resilience between partners could be improved particularly when systems are affected and usual communication routes disrupted. EMBED took a lead role in the review and actions arising.</w:t>
      </w:r>
    </w:p>
    <w:p w:rsidR="003C0D3F" w:rsidRPr="00D4637D" w:rsidRDefault="003C0D3F" w:rsidP="00D4637D">
      <w:pPr>
        <w:pStyle w:val="ListParagraph"/>
        <w:numPr>
          <w:ilvl w:val="0"/>
          <w:numId w:val="22"/>
        </w:numPr>
        <w:rPr>
          <w:rFonts w:asciiTheme="minorHAnsi" w:hAnsiTheme="minorHAnsi"/>
          <w:sz w:val="24"/>
          <w:szCs w:val="24"/>
        </w:rPr>
      </w:pPr>
      <w:r w:rsidRPr="00D4637D">
        <w:rPr>
          <w:rFonts w:asciiTheme="minorHAnsi" w:hAnsiTheme="minorHAnsi"/>
          <w:sz w:val="24"/>
          <w:szCs w:val="24"/>
        </w:rPr>
        <w:t>Humber Community Risk Register review exercise in July involved a presentation from emergency preparedness colleagues at NELC on the risks identified in the LRF register and the impact these risks would have on local health and social care service delivery.</w:t>
      </w:r>
    </w:p>
    <w:p w:rsidR="003C0D3F" w:rsidRPr="00D4637D" w:rsidRDefault="003C0D3F" w:rsidP="00D4637D">
      <w:pPr>
        <w:pStyle w:val="ListParagraph"/>
        <w:numPr>
          <w:ilvl w:val="0"/>
          <w:numId w:val="22"/>
        </w:numPr>
        <w:rPr>
          <w:rFonts w:asciiTheme="minorHAnsi" w:hAnsiTheme="minorHAnsi"/>
          <w:sz w:val="24"/>
          <w:szCs w:val="24"/>
        </w:rPr>
      </w:pPr>
      <w:r w:rsidRPr="00D4637D">
        <w:rPr>
          <w:rFonts w:asciiTheme="minorHAnsi" w:hAnsiTheme="minorHAnsi"/>
          <w:sz w:val="24"/>
          <w:szCs w:val="24"/>
        </w:rPr>
        <w:t>Pandemic flu exercise planned for October will focus on partner’s response to a large scale flu incident locally and particularly arrangements for vaccination of large groups of the local population and the impact of high rates of staff sickness on service delivery.</w:t>
      </w:r>
    </w:p>
    <w:p w:rsidR="003C0D3F" w:rsidRPr="003C0D3F" w:rsidRDefault="003C0D3F" w:rsidP="003C0D3F">
      <w:pPr>
        <w:rPr>
          <w:rFonts w:asciiTheme="minorHAnsi" w:hAnsiTheme="minorHAnsi"/>
          <w:szCs w:val="24"/>
        </w:rPr>
      </w:pPr>
    </w:p>
    <w:p w:rsidR="003C0D3F" w:rsidRDefault="003C0D3F" w:rsidP="003C0D3F">
      <w:pPr>
        <w:rPr>
          <w:rFonts w:asciiTheme="minorHAnsi" w:hAnsiTheme="minorHAnsi"/>
          <w:szCs w:val="24"/>
        </w:rPr>
      </w:pPr>
      <w:r w:rsidRPr="003C0D3F">
        <w:rPr>
          <w:rFonts w:asciiTheme="minorHAnsi" w:hAnsiTheme="minorHAnsi"/>
          <w:szCs w:val="24"/>
        </w:rPr>
        <w:t>Further the CCG has participated in a number of local exercises including an NLaG live decontamination exercise and a number of desktop exercises of local COMAH sites. North East Lincolnshire has a significant number of COMAH sites which are required to undertake an EPRR exercise every 2 years. The CCG will maintain an on-going involvement in the programme of COMAH exercises.</w:t>
      </w:r>
    </w:p>
    <w:p w:rsidR="00D4637D" w:rsidRPr="003C0D3F" w:rsidRDefault="00D4637D" w:rsidP="003C0D3F">
      <w:pPr>
        <w:rPr>
          <w:rFonts w:asciiTheme="minorHAnsi" w:hAnsiTheme="minorHAnsi"/>
          <w:szCs w:val="24"/>
        </w:rPr>
      </w:pPr>
    </w:p>
    <w:p w:rsidR="00D107EA" w:rsidRPr="00416A4E" w:rsidRDefault="003C0D3F" w:rsidP="00630288">
      <w:pPr>
        <w:spacing w:after="200"/>
        <w:rPr>
          <w:rFonts w:asciiTheme="minorHAnsi" w:eastAsiaTheme="minorHAnsi" w:hAnsiTheme="minorHAnsi" w:cs="Arial"/>
          <w:szCs w:val="24"/>
        </w:rPr>
      </w:pPr>
      <w:r>
        <w:rPr>
          <w:rFonts w:asciiTheme="minorHAnsi" w:eastAsiaTheme="minorHAnsi" w:hAnsiTheme="minorHAnsi" w:cs="Arial"/>
          <w:szCs w:val="24"/>
        </w:rPr>
        <w:t>A summ</w:t>
      </w:r>
      <w:r w:rsidR="00D107EA" w:rsidRPr="00416A4E">
        <w:rPr>
          <w:rFonts w:asciiTheme="minorHAnsi" w:eastAsiaTheme="minorHAnsi" w:hAnsiTheme="minorHAnsi" w:cs="Arial"/>
          <w:szCs w:val="24"/>
        </w:rPr>
        <w:t xml:space="preserve">ary of this was work was </w:t>
      </w:r>
      <w:r w:rsidR="003E3337" w:rsidRPr="00416A4E">
        <w:rPr>
          <w:rFonts w:asciiTheme="minorHAnsi" w:eastAsiaTheme="minorHAnsi" w:hAnsiTheme="minorHAnsi" w:cs="Arial"/>
          <w:szCs w:val="24"/>
        </w:rPr>
        <w:t xml:space="preserve">reviewed </w:t>
      </w:r>
      <w:r w:rsidR="00D107EA" w:rsidRPr="00416A4E">
        <w:rPr>
          <w:rFonts w:asciiTheme="minorHAnsi" w:eastAsiaTheme="minorHAnsi" w:hAnsiTheme="minorHAnsi" w:cs="Arial"/>
          <w:szCs w:val="24"/>
        </w:rPr>
        <w:t>at the NEL Delivery Assurance Committee</w:t>
      </w:r>
      <w:r w:rsidR="003E3337" w:rsidRPr="00416A4E">
        <w:rPr>
          <w:rFonts w:asciiTheme="minorHAnsi" w:eastAsiaTheme="minorHAnsi" w:hAnsiTheme="minorHAnsi" w:cs="Arial"/>
          <w:szCs w:val="24"/>
        </w:rPr>
        <w:t xml:space="preserve"> on 30</w:t>
      </w:r>
      <w:r w:rsidR="003E3337" w:rsidRPr="00416A4E">
        <w:rPr>
          <w:rFonts w:asciiTheme="minorHAnsi" w:eastAsiaTheme="minorHAnsi" w:hAnsiTheme="minorHAnsi" w:cs="Arial"/>
          <w:szCs w:val="24"/>
          <w:vertAlign w:val="superscript"/>
        </w:rPr>
        <w:t>th</w:t>
      </w:r>
      <w:r w:rsidR="003E3337" w:rsidRPr="00416A4E">
        <w:rPr>
          <w:rFonts w:asciiTheme="minorHAnsi" w:eastAsiaTheme="minorHAnsi" w:hAnsiTheme="minorHAnsi" w:cs="Arial"/>
          <w:szCs w:val="24"/>
        </w:rPr>
        <w:t xml:space="preserve"> August 2017. The </w:t>
      </w:r>
      <w:r w:rsidR="00D107EA" w:rsidRPr="00416A4E">
        <w:rPr>
          <w:rFonts w:asciiTheme="minorHAnsi" w:eastAsiaTheme="minorHAnsi" w:hAnsiTheme="minorHAnsi" w:cs="Arial"/>
          <w:szCs w:val="24"/>
        </w:rPr>
        <w:t xml:space="preserve">NHSE regional Local Health Resilience Partnership </w:t>
      </w:r>
      <w:r w:rsidR="003E3337" w:rsidRPr="00416A4E">
        <w:rPr>
          <w:rFonts w:asciiTheme="minorHAnsi" w:eastAsiaTheme="minorHAnsi" w:hAnsiTheme="minorHAnsi" w:cs="Arial"/>
          <w:szCs w:val="24"/>
        </w:rPr>
        <w:t>will begin to review CCG assessments and submissions under its assurance process at its meeting on 19</w:t>
      </w:r>
      <w:r w:rsidR="003E3337" w:rsidRPr="00416A4E">
        <w:rPr>
          <w:rFonts w:asciiTheme="minorHAnsi" w:eastAsiaTheme="minorHAnsi" w:hAnsiTheme="minorHAnsi" w:cs="Arial"/>
          <w:szCs w:val="24"/>
          <w:vertAlign w:val="superscript"/>
        </w:rPr>
        <w:t>th</w:t>
      </w:r>
      <w:r w:rsidR="003E3337" w:rsidRPr="00416A4E">
        <w:rPr>
          <w:rFonts w:asciiTheme="minorHAnsi" w:eastAsiaTheme="minorHAnsi" w:hAnsiTheme="minorHAnsi" w:cs="Arial"/>
          <w:szCs w:val="24"/>
        </w:rPr>
        <w:t xml:space="preserve"> Oct 2017. </w:t>
      </w:r>
      <w:r w:rsidR="00093B84" w:rsidRPr="00416A4E">
        <w:rPr>
          <w:rFonts w:asciiTheme="minorHAnsi" w:eastAsiaTheme="minorHAnsi" w:hAnsiTheme="minorHAnsi" w:cs="Arial"/>
          <w:szCs w:val="24"/>
        </w:rPr>
        <w:t xml:space="preserve">The </w:t>
      </w:r>
      <w:r w:rsidR="003E3337" w:rsidRPr="00416A4E">
        <w:rPr>
          <w:rFonts w:asciiTheme="minorHAnsi" w:eastAsiaTheme="minorHAnsi" w:hAnsiTheme="minorHAnsi" w:cs="Arial"/>
          <w:szCs w:val="24"/>
        </w:rPr>
        <w:t xml:space="preserve">NEL </w:t>
      </w:r>
      <w:r w:rsidR="00093B84" w:rsidRPr="00416A4E">
        <w:rPr>
          <w:rFonts w:asciiTheme="minorHAnsi" w:eastAsiaTheme="minorHAnsi" w:hAnsiTheme="minorHAnsi" w:cs="Arial"/>
          <w:szCs w:val="24"/>
        </w:rPr>
        <w:t>Delivery Assurance Committee will oversee delivery of the action plan.</w:t>
      </w:r>
    </w:p>
    <w:p w:rsidR="00530846" w:rsidRPr="00416A4E" w:rsidRDefault="00530846" w:rsidP="00C829A0">
      <w:pPr>
        <w:rPr>
          <w:rFonts w:asciiTheme="minorHAnsi" w:hAnsiTheme="minorHAnsi" w:cs="Arial"/>
          <w:b/>
          <w:szCs w:val="24"/>
          <w:lang w:eastAsia="en-GB"/>
        </w:rPr>
      </w:pPr>
    </w:p>
    <w:p w:rsidR="00530846" w:rsidRPr="00416A4E" w:rsidRDefault="00530846" w:rsidP="00C829A0">
      <w:pPr>
        <w:rPr>
          <w:rFonts w:asciiTheme="minorHAnsi" w:hAnsiTheme="minorHAnsi" w:cs="Arial"/>
          <w:b/>
          <w:szCs w:val="24"/>
          <w:lang w:eastAsia="en-GB"/>
        </w:rPr>
      </w:pPr>
    </w:p>
    <w:p w:rsidR="00C829A0" w:rsidRPr="00416A4E" w:rsidRDefault="00C829A0" w:rsidP="00C829A0">
      <w:pPr>
        <w:rPr>
          <w:rFonts w:asciiTheme="minorHAnsi" w:hAnsiTheme="minorHAnsi" w:cs="Arial"/>
          <w:szCs w:val="24"/>
          <w:lang w:eastAsia="en-GB"/>
        </w:rPr>
      </w:pPr>
      <w:r w:rsidRPr="00416A4E">
        <w:rPr>
          <w:rFonts w:asciiTheme="minorHAnsi" w:hAnsiTheme="minorHAnsi" w:cs="Arial"/>
          <w:b/>
          <w:szCs w:val="24"/>
          <w:lang w:eastAsia="en-GB"/>
        </w:rPr>
        <w:t>Recommendation</w:t>
      </w:r>
    </w:p>
    <w:p w:rsidR="00C829A0" w:rsidRPr="00416A4E" w:rsidRDefault="00C829A0" w:rsidP="00C829A0">
      <w:pPr>
        <w:rPr>
          <w:rFonts w:asciiTheme="minorHAnsi" w:hAnsiTheme="minorHAnsi" w:cs="Arial"/>
          <w:szCs w:val="24"/>
          <w:lang w:eastAsia="en-GB"/>
        </w:rPr>
      </w:pPr>
    </w:p>
    <w:p w:rsidR="00D107EA" w:rsidRPr="00416A4E" w:rsidRDefault="00C829A0" w:rsidP="00630288">
      <w:pPr>
        <w:rPr>
          <w:rFonts w:asciiTheme="minorHAnsi" w:hAnsiTheme="minorHAnsi" w:cs="Arial"/>
          <w:szCs w:val="24"/>
          <w:lang w:eastAsia="en-GB"/>
        </w:rPr>
      </w:pPr>
      <w:r w:rsidRPr="00416A4E">
        <w:rPr>
          <w:rFonts w:asciiTheme="minorHAnsi" w:hAnsiTheme="minorHAnsi" w:cs="Arial"/>
          <w:szCs w:val="24"/>
          <w:lang w:eastAsia="en-GB"/>
        </w:rPr>
        <w:t>The Partnership Board is asked to note the work being undertaken for EPPR resilience planning and the assurance process via NHS England</w:t>
      </w:r>
      <w:r w:rsidR="00093B84" w:rsidRPr="00416A4E">
        <w:rPr>
          <w:rFonts w:asciiTheme="minorHAnsi" w:hAnsiTheme="minorHAnsi" w:cs="Arial"/>
          <w:szCs w:val="24"/>
          <w:lang w:eastAsia="en-GB"/>
        </w:rPr>
        <w:t xml:space="preserve"> and to approve the EPRR self-assessment compliance level declared.</w:t>
      </w:r>
    </w:p>
    <w:p w:rsidR="00530846" w:rsidRPr="00416A4E" w:rsidRDefault="00530846" w:rsidP="00776F48">
      <w:pPr>
        <w:rPr>
          <w:rFonts w:asciiTheme="minorHAnsi" w:hAnsiTheme="minorHAnsi" w:cs="Arial"/>
          <w:b/>
          <w:bCs/>
          <w:sz w:val="36"/>
          <w:szCs w:val="36"/>
          <w:lang w:eastAsia="en-GB"/>
        </w:rPr>
      </w:pPr>
    </w:p>
    <w:p w:rsidR="00530846" w:rsidRPr="00416A4E" w:rsidRDefault="00530846" w:rsidP="00776F48">
      <w:pPr>
        <w:rPr>
          <w:rFonts w:asciiTheme="minorHAnsi" w:hAnsiTheme="minorHAnsi" w:cs="Arial"/>
          <w:b/>
          <w:bCs/>
          <w:sz w:val="36"/>
          <w:szCs w:val="36"/>
          <w:lang w:eastAsia="en-GB"/>
        </w:rPr>
      </w:pPr>
    </w:p>
    <w:p w:rsidR="00776F48" w:rsidRPr="00416A4E" w:rsidRDefault="00A01FAB" w:rsidP="00776F48">
      <w:pPr>
        <w:rPr>
          <w:rFonts w:asciiTheme="minorHAnsi" w:hAnsiTheme="minorHAnsi" w:cs="Arial"/>
          <w:b/>
          <w:bCs/>
          <w:sz w:val="36"/>
          <w:szCs w:val="36"/>
          <w:lang w:eastAsia="en-GB"/>
        </w:rPr>
      </w:pPr>
      <w:r w:rsidRPr="00416A4E">
        <w:rPr>
          <w:rFonts w:asciiTheme="minorHAnsi" w:hAnsiTheme="minorHAnsi" w:cs="Arial"/>
          <w:b/>
          <w:bCs/>
          <w:sz w:val="36"/>
          <w:szCs w:val="36"/>
          <w:lang w:eastAsia="en-GB"/>
        </w:rPr>
        <w:t>2</w:t>
      </w:r>
      <w:r w:rsidRPr="00416A4E">
        <w:rPr>
          <w:rFonts w:asciiTheme="minorHAnsi" w:hAnsiTheme="minorHAnsi" w:cs="Arial"/>
          <w:b/>
          <w:bCs/>
          <w:sz w:val="36"/>
          <w:szCs w:val="36"/>
          <w:lang w:eastAsia="en-GB"/>
        </w:rPr>
        <w:tab/>
        <w:t xml:space="preserve">Winter </w:t>
      </w:r>
      <w:r w:rsidR="00776F48" w:rsidRPr="00416A4E">
        <w:rPr>
          <w:rFonts w:asciiTheme="minorHAnsi" w:hAnsiTheme="minorHAnsi" w:cs="Arial"/>
          <w:b/>
          <w:bCs/>
          <w:sz w:val="36"/>
          <w:szCs w:val="36"/>
          <w:lang w:eastAsia="en-GB"/>
        </w:rPr>
        <w:t>Plan Update</w:t>
      </w:r>
    </w:p>
    <w:p w:rsidR="00776F48" w:rsidRPr="00416A4E" w:rsidRDefault="00776F48" w:rsidP="00776F48">
      <w:pPr>
        <w:rPr>
          <w:rFonts w:asciiTheme="minorHAnsi" w:hAnsiTheme="minorHAnsi" w:cs="Arial"/>
          <w:b/>
          <w:bCs/>
          <w:sz w:val="36"/>
          <w:szCs w:val="36"/>
          <w:lang w:eastAsia="en-GB"/>
        </w:rPr>
      </w:pPr>
    </w:p>
    <w:p w:rsidR="00776F48" w:rsidRPr="00416A4E" w:rsidRDefault="00776F48" w:rsidP="00776F48">
      <w:pPr>
        <w:rPr>
          <w:rFonts w:asciiTheme="minorHAnsi" w:hAnsiTheme="minorHAnsi" w:cs="Arial"/>
          <w:b/>
          <w:bCs/>
          <w:szCs w:val="24"/>
          <w:lang w:eastAsia="en-GB"/>
        </w:rPr>
      </w:pPr>
    </w:p>
    <w:p w:rsidR="00776F48" w:rsidRPr="00416A4E" w:rsidRDefault="00776F48" w:rsidP="00776F48">
      <w:pPr>
        <w:rPr>
          <w:rFonts w:asciiTheme="minorHAnsi" w:hAnsiTheme="minorHAnsi" w:cs="Arial"/>
          <w:b/>
          <w:bCs/>
          <w:szCs w:val="24"/>
          <w:lang w:eastAsia="en-GB"/>
        </w:rPr>
      </w:pPr>
      <w:r w:rsidRPr="00416A4E">
        <w:rPr>
          <w:rFonts w:asciiTheme="minorHAnsi" w:hAnsiTheme="minorHAnsi" w:cs="Arial"/>
          <w:b/>
          <w:bCs/>
          <w:szCs w:val="24"/>
          <w:lang w:eastAsia="en-GB"/>
        </w:rPr>
        <w:t>National Context</w:t>
      </w:r>
    </w:p>
    <w:p w:rsidR="00776F48" w:rsidRPr="00416A4E" w:rsidRDefault="00776F48" w:rsidP="00776F48">
      <w:pPr>
        <w:rPr>
          <w:rFonts w:asciiTheme="minorHAnsi" w:hAnsiTheme="minorHAnsi" w:cs="Arial"/>
          <w:b/>
          <w:bCs/>
          <w:szCs w:val="24"/>
          <w:lang w:eastAsia="en-GB"/>
        </w:rPr>
      </w:pPr>
    </w:p>
    <w:p w:rsidR="00B15FEF" w:rsidRPr="00416A4E" w:rsidRDefault="00B15FEF" w:rsidP="00776F48">
      <w:pPr>
        <w:spacing w:line="276" w:lineRule="auto"/>
        <w:rPr>
          <w:rFonts w:asciiTheme="minorHAnsi" w:hAnsiTheme="minorHAnsi" w:cs="Arial"/>
          <w:bCs/>
          <w:szCs w:val="24"/>
          <w:lang w:eastAsia="en-GB"/>
        </w:rPr>
      </w:pPr>
    </w:p>
    <w:p w:rsidR="00B15FEF" w:rsidRPr="00416A4E" w:rsidRDefault="00897EE2" w:rsidP="00B15FEF">
      <w:pPr>
        <w:rPr>
          <w:rFonts w:asciiTheme="minorHAnsi" w:hAnsiTheme="minorHAnsi" w:cs="Arial"/>
          <w:bCs/>
          <w:szCs w:val="24"/>
          <w:lang w:eastAsia="en-GB"/>
        </w:rPr>
      </w:pPr>
      <w:r w:rsidRPr="00416A4E">
        <w:rPr>
          <w:rFonts w:asciiTheme="minorHAnsi" w:hAnsiTheme="minorHAnsi" w:cs="Arial"/>
          <w:bCs/>
          <w:szCs w:val="24"/>
          <w:lang w:eastAsia="en-GB"/>
        </w:rPr>
        <w:t xml:space="preserve">Winter planning is overseen by A&amp;E Delivery Boards and a submission by the Northern Lincolnshire A&amp;E Delivery Board is required to cover both NLCCG and NELCCG.  </w:t>
      </w:r>
      <w:r w:rsidR="000878BB" w:rsidRPr="00416A4E">
        <w:rPr>
          <w:rFonts w:asciiTheme="minorHAnsi" w:hAnsiTheme="minorHAnsi" w:cs="Arial"/>
          <w:bCs/>
          <w:szCs w:val="24"/>
          <w:lang w:eastAsia="en-GB"/>
        </w:rPr>
        <w:t xml:space="preserve">No national template has been provided this year nor </w:t>
      </w:r>
      <w:r w:rsidR="00416A4E">
        <w:rPr>
          <w:rFonts w:asciiTheme="minorHAnsi" w:hAnsiTheme="minorHAnsi" w:cs="Arial"/>
          <w:bCs/>
          <w:szCs w:val="24"/>
          <w:lang w:eastAsia="en-GB"/>
        </w:rPr>
        <w:t xml:space="preserve">has </w:t>
      </w:r>
      <w:r w:rsidR="000878BB" w:rsidRPr="00416A4E">
        <w:rPr>
          <w:rFonts w:asciiTheme="minorHAnsi" w:hAnsiTheme="minorHAnsi" w:cs="Arial"/>
          <w:bCs/>
          <w:szCs w:val="24"/>
          <w:lang w:eastAsia="en-GB"/>
        </w:rPr>
        <w:t xml:space="preserve">any details of the assurance process </w:t>
      </w:r>
      <w:r w:rsidR="00D4637D">
        <w:rPr>
          <w:rFonts w:asciiTheme="minorHAnsi" w:hAnsiTheme="minorHAnsi" w:cs="Arial"/>
          <w:bCs/>
          <w:szCs w:val="24"/>
          <w:lang w:eastAsia="en-GB"/>
        </w:rPr>
        <w:t xml:space="preserve">to date </w:t>
      </w:r>
      <w:r w:rsidR="000878BB" w:rsidRPr="00416A4E">
        <w:rPr>
          <w:rFonts w:asciiTheme="minorHAnsi" w:hAnsiTheme="minorHAnsi" w:cs="Arial"/>
          <w:bCs/>
          <w:szCs w:val="24"/>
          <w:lang w:eastAsia="en-GB"/>
        </w:rPr>
        <w:t>however an indication of the key lines of enquiry for assurance has been given as follows:</w:t>
      </w:r>
    </w:p>
    <w:p w:rsidR="00B15FEF" w:rsidRPr="00416A4E" w:rsidRDefault="00B15FEF" w:rsidP="00776F48">
      <w:pPr>
        <w:spacing w:line="276" w:lineRule="auto"/>
        <w:rPr>
          <w:rFonts w:asciiTheme="minorHAnsi" w:hAnsiTheme="minorHAnsi" w:cs="Arial"/>
          <w:bCs/>
          <w:szCs w:val="24"/>
          <w:lang w:eastAsia="en-GB"/>
        </w:rPr>
      </w:pPr>
    </w:p>
    <w:p w:rsidR="00897EE2" w:rsidRPr="00416A4E" w:rsidRDefault="00897EE2" w:rsidP="000878BB">
      <w:pPr>
        <w:spacing w:line="276" w:lineRule="auto"/>
        <w:rPr>
          <w:rFonts w:asciiTheme="minorHAnsi" w:eastAsiaTheme="minorHAnsi" w:hAnsiTheme="minorHAnsi" w:cstheme="minorBidi"/>
          <w:b/>
          <w:szCs w:val="24"/>
        </w:rPr>
      </w:pPr>
      <w:r w:rsidRPr="00416A4E">
        <w:rPr>
          <w:rFonts w:asciiTheme="minorHAnsi" w:eastAsiaTheme="minorHAnsi" w:hAnsiTheme="minorHAnsi" w:cstheme="minorBidi"/>
          <w:b/>
          <w:szCs w:val="24"/>
        </w:rPr>
        <w:t>Key Lines of Enquiry for the Assurance of Plans in Yorkshire &amp; Humber</w:t>
      </w:r>
    </w:p>
    <w:p w:rsidR="000878BB" w:rsidRPr="00416A4E" w:rsidRDefault="000878BB" w:rsidP="000878BB">
      <w:pPr>
        <w:spacing w:line="276" w:lineRule="auto"/>
        <w:rPr>
          <w:rFonts w:asciiTheme="minorHAnsi" w:eastAsiaTheme="minorHAnsi" w:hAnsiTheme="minorHAnsi" w:cstheme="minorBidi"/>
          <w:szCs w:val="24"/>
        </w:rPr>
      </w:pP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Evidence of a review of winter 2016/17, lessons identified and actions taken</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Plans for resilience in system-wide capacity</w:t>
      </w:r>
    </w:p>
    <w:p w:rsidR="00897EE2" w:rsidRPr="00416A4E" w:rsidRDefault="00897EE2" w:rsidP="00897EE2">
      <w:pPr>
        <w:numPr>
          <w:ilvl w:val="1"/>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DToC reduction</w:t>
      </w:r>
    </w:p>
    <w:p w:rsidR="00897EE2" w:rsidRPr="00416A4E" w:rsidRDefault="00897EE2" w:rsidP="00897EE2">
      <w:pPr>
        <w:numPr>
          <w:ilvl w:val="1"/>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Elective Pacing</w:t>
      </w:r>
    </w:p>
    <w:p w:rsidR="00897EE2" w:rsidRPr="00416A4E" w:rsidRDefault="00897EE2" w:rsidP="00897EE2">
      <w:pPr>
        <w:numPr>
          <w:ilvl w:val="1"/>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Infection control policy &amp; proactive management of outbreaks</w:t>
      </w:r>
    </w:p>
    <w:p w:rsidR="00897EE2" w:rsidRPr="00416A4E" w:rsidRDefault="00897EE2" w:rsidP="00897EE2">
      <w:pPr>
        <w:numPr>
          <w:ilvl w:val="1"/>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Staffing risks in core services</w:t>
      </w:r>
    </w:p>
    <w:p w:rsidR="00897EE2" w:rsidRPr="00416A4E" w:rsidRDefault="00897EE2" w:rsidP="00897EE2">
      <w:pPr>
        <w:numPr>
          <w:ilvl w:val="1"/>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Progress with best practice guidance ( essentially A&amp;E Delivery Board Improvement Programme )</w:t>
      </w:r>
    </w:p>
    <w:p w:rsidR="00897EE2" w:rsidRPr="00416A4E" w:rsidRDefault="00897EE2" w:rsidP="00897EE2">
      <w:pPr>
        <w:numPr>
          <w:ilvl w:val="1"/>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Identified &amp; plans for known capacity gaps</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 xml:space="preserve">Surge capacity plans </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Escalation across the system</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Alignment with System/U&amp;EC Transformation Plans</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Flu Immunisation plans</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proofErr w:type="spellStart"/>
      <w:r w:rsidRPr="00416A4E">
        <w:rPr>
          <w:rFonts w:asciiTheme="minorHAnsi" w:eastAsiaTheme="minorHAnsi" w:hAnsiTheme="minorHAnsi" w:cstheme="minorBidi"/>
          <w:szCs w:val="24"/>
        </w:rPr>
        <w:t>Comms</w:t>
      </w:r>
      <w:proofErr w:type="spellEnd"/>
      <w:r w:rsidRPr="00416A4E">
        <w:rPr>
          <w:rFonts w:asciiTheme="minorHAnsi" w:eastAsiaTheme="minorHAnsi" w:hAnsiTheme="minorHAnsi" w:cstheme="minorBidi"/>
          <w:szCs w:val="24"/>
        </w:rPr>
        <w:t xml:space="preserve"> plan </w:t>
      </w:r>
    </w:p>
    <w:p w:rsidR="00897EE2" w:rsidRPr="00416A4E" w:rsidRDefault="00897EE2" w:rsidP="00897EE2">
      <w:pPr>
        <w:numPr>
          <w:ilvl w:val="0"/>
          <w:numId w:val="15"/>
        </w:numPr>
        <w:spacing w:after="200" w:line="276" w:lineRule="auto"/>
        <w:contextualSpacing/>
        <w:rPr>
          <w:rFonts w:asciiTheme="minorHAnsi" w:eastAsiaTheme="minorHAnsi" w:hAnsiTheme="minorHAnsi" w:cstheme="minorBidi"/>
          <w:szCs w:val="24"/>
        </w:rPr>
      </w:pPr>
      <w:r w:rsidRPr="00416A4E">
        <w:rPr>
          <w:rFonts w:asciiTheme="minorHAnsi" w:eastAsiaTheme="minorHAnsi" w:hAnsiTheme="minorHAnsi" w:cstheme="minorBidi"/>
          <w:szCs w:val="24"/>
        </w:rPr>
        <w:t>Risk Register &amp; Test</w:t>
      </w:r>
    </w:p>
    <w:p w:rsidR="00C51D3C" w:rsidRPr="00416A4E" w:rsidRDefault="00C51D3C" w:rsidP="00897EE2">
      <w:pPr>
        <w:spacing w:after="200" w:line="276" w:lineRule="auto"/>
        <w:rPr>
          <w:rFonts w:asciiTheme="minorHAnsi" w:eastAsiaTheme="minorHAnsi" w:hAnsiTheme="minorHAnsi" w:cstheme="minorBidi"/>
          <w:b/>
          <w:sz w:val="28"/>
          <w:szCs w:val="28"/>
        </w:rPr>
      </w:pPr>
    </w:p>
    <w:p w:rsidR="00776F48" w:rsidRPr="00776F48" w:rsidRDefault="00776F48" w:rsidP="00776F48">
      <w:pPr>
        <w:spacing w:line="276" w:lineRule="auto"/>
        <w:ind w:left="720"/>
        <w:rPr>
          <w:rFonts w:ascii="Arial" w:hAnsi="Arial" w:cs="Arial"/>
          <w:bCs/>
          <w:szCs w:val="24"/>
          <w:lang w:eastAsia="en-GB"/>
        </w:rPr>
      </w:pPr>
    </w:p>
    <w:p w:rsidR="00776F48" w:rsidRPr="00416A4E" w:rsidRDefault="00776F48" w:rsidP="00776F48">
      <w:pPr>
        <w:rPr>
          <w:rFonts w:asciiTheme="minorHAnsi" w:hAnsiTheme="minorHAnsi" w:cs="Arial"/>
          <w:b/>
          <w:bCs/>
          <w:szCs w:val="24"/>
          <w:lang w:eastAsia="en-GB"/>
        </w:rPr>
      </w:pPr>
      <w:r w:rsidRPr="00416A4E">
        <w:rPr>
          <w:rFonts w:asciiTheme="minorHAnsi" w:hAnsiTheme="minorHAnsi" w:cs="Arial"/>
          <w:b/>
          <w:bCs/>
          <w:szCs w:val="24"/>
          <w:lang w:eastAsia="en-GB"/>
        </w:rPr>
        <w:t xml:space="preserve">The </w:t>
      </w:r>
      <w:r w:rsidR="00416A4E" w:rsidRPr="00416A4E">
        <w:rPr>
          <w:rFonts w:asciiTheme="minorHAnsi" w:hAnsiTheme="minorHAnsi" w:cs="Arial"/>
          <w:b/>
          <w:bCs/>
          <w:szCs w:val="24"/>
          <w:lang w:eastAsia="en-GB"/>
        </w:rPr>
        <w:t xml:space="preserve">Winter </w:t>
      </w:r>
      <w:r w:rsidR="00827174" w:rsidRPr="00416A4E">
        <w:rPr>
          <w:rFonts w:asciiTheme="minorHAnsi" w:hAnsiTheme="minorHAnsi" w:cs="Arial"/>
          <w:b/>
          <w:bCs/>
          <w:szCs w:val="24"/>
          <w:lang w:eastAsia="en-GB"/>
        </w:rPr>
        <w:t>Plan</w:t>
      </w:r>
    </w:p>
    <w:p w:rsidR="00776F48" w:rsidRPr="00416A4E" w:rsidRDefault="00776F48" w:rsidP="00776F48">
      <w:pPr>
        <w:spacing w:line="276" w:lineRule="auto"/>
        <w:rPr>
          <w:rFonts w:asciiTheme="minorHAnsi" w:hAnsiTheme="minorHAnsi" w:cs="Arial"/>
          <w:bCs/>
          <w:szCs w:val="24"/>
          <w:lang w:eastAsia="en-GB"/>
        </w:rPr>
      </w:pPr>
    </w:p>
    <w:p w:rsidR="00C51D3C" w:rsidRPr="00325694" w:rsidRDefault="00416A4E" w:rsidP="00776F48">
      <w:pPr>
        <w:spacing w:line="276" w:lineRule="auto"/>
        <w:rPr>
          <w:rFonts w:asciiTheme="minorHAnsi" w:hAnsiTheme="minorHAnsi" w:cs="Arial"/>
          <w:bCs/>
          <w:szCs w:val="24"/>
          <w:lang w:eastAsia="en-GB"/>
        </w:rPr>
      </w:pPr>
      <w:r w:rsidRPr="00325694">
        <w:rPr>
          <w:rFonts w:asciiTheme="minorHAnsi" w:hAnsiTheme="minorHAnsi" w:cs="Arial"/>
          <w:bCs/>
          <w:szCs w:val="24"/>
          <w:lang w:eastAsia="en-GB"/>
        </w:rPr>
        <w:t>At the time of this paper the Winter Plan submission is in preparation for submission to NHSE and for sign-off and approval by the A&amp;E Delivery Board on 21</w:t>
      </w:r>
      <w:r w:rsidRPr="00325694">
        <w:rPr>
          <w:rFonts w:asciiTheme="minorHAnsi" w:hAnsiTheme="minorHAnsi" w:cs="Arial"/>
          <w:bCs/>
          <w:szCs w:val="24"/>
          <w:vertAlign w:val="superscript"/>
          <w:lang w:eastAsia="en-GB"/>
        </w:rPr>
        <w:t>st</w:t>
      </w:r>
      <w:r w:rsidRPr="00325694">
        <w:rPr>
          <w:rFonts w:asciiTheme="minorHAnsi" w:hAnsiTheme="minorHAnsi" w:cs="Arial"/>
          <w:bCs/>
          <w:szCs w:val="24"/>
          <w:lang w:eastAsia="en-GB"/>
        </w:rPr>
        <w:t xml:space="preserve"> September 2017.</w:t>
      </w:r>
    </w:p>
    <w:p w:rsidR="00416A4E" w:rsidRPr="00325694" w:rsidRDefault="00416A4E" w:rsidP="00776F48">
      <w:pPr>
        <w:spacing w:line="276" w:lineRule="auto"/>
        <w:rPr>
          <w:rFonts w:asciiTheme="minorHAnsi" w:hAnsiTheme="minorHAnsi" w:cs="Arial"/>
          <w:bCs/>
          <w:szCs w:val="24"/>
          <w:lang w:eastAsia="en-GB"/>
        </w:rPr>
      </w:pPr>
    </w:p>
    <w:p w:rsidR="00C51D3C" w:rsidRPr="00325694" w:rsidRDefault="007D46F9" w:rsidP="00325694">
      <w:pPr>
        <w:pStyle w:val="ListParagraph"/>
        <w:numPr>
          <w:ilvl w:val="0"/>
          <w:numId w:val="19"/>
        </w:numPr>
        <w:rPr>
          <w:rFonts w:asciiTheme="minorHAnsi" w:hAnsiTheme="minorHAnsi" w:cs="Arial"/>
          <w:bCs/>
          <w:sz w:val="24"/>
          <w:szCs w:val="24"/>
          <w:lang w:eastAsia="en-GB"/>
        </w:rPr>
      </w:pPr>
      <w:r w:rsidRPr="00325694">
        <w:rPr>
          <w:rFonts w:asciiTheme="minorHAnsi" w:hAnsiTheme="minorHAnsi" w:cs="Arial"/>
          <w:bCs/>
          <w:sz w:val="24"/>
          <w:szCs w:val="24"/>
          <w:lang w:eastAsia="en-GB"/>
        </w:rPr>
        <w:t xml:space="preserve">A significant </w:t>
      </w:r>
      <w:r w:rsidR="00325694" w:rsidRPr="00325694">
        <w:rPr>
          <w:rFonts w:asciiTheme="minorHAnsi" w:hAnsiTheme="minorHAnsi" w:cs="Arial"/>
          <w:bCs/>
          <w:sz w:val="24"/>
          <w:szCs w:val="24"/>
          <w:lang w:eastAsia="en-GB"/>
        </w:rPr>
        <w:t xml:space="preserve">portion </w:t>
      </w:r>
      <w:r w:rsidRPr="00325694">
        <w:rPr>
          <w:rFonts w:asciiTheme="minorHAnsi" w:hAnsiTheme="minorHAnsi" w:cs="Arial"/>
          <w:bCs/>
          <w:sz w:val="24"/>
          <w:szCs w:val="24"/>
          <w:lang w:eastAsia="en-GB"/>
        </w:rPr>
        <w:t>of the plan relates to the following elements:-</w:t>
      </w:r>
    </w:p>
    <w:p w:rsidR="007D46F9" w:rsidRPr="00325694" w:rsidRDefault="007D46F9" w:rsidP="00776F48">
      <w:pPr>
        <w:spacing w:line="276" w:lineRule="auto"/>
        <w:rPr>
          <w:rFonts w:asciiTheme="minorHAnsi" w:hAnsiTheme="minorHAnsi" w:cs="Arial"/>
          <w:bCs/>
          <w:szCs w:val="24"/>
          <w:lang w:eastAsia="en-GB"/>
        </w:rPr>
      </w:pPr>
    </w:p>
    <w:p w:rsidR="007D46F9" w:rsidRPr="00325694" w:rsidRDefault="007D46F9" w:rsidP="007D46F9">
      <w:pPr>
        <w:numPr>
          <w:ilvl w:val="0"/>
          <w:numId w:val="15"/>
        </w:numPr>
        <w:spacing w:after="200" w:line="276" w:lineRule="auto"/>
        <w:contextualSpacing/>
        <w:rPr>
          <w:rFonts w:asciiTheme="minorHAnsi" w:eastAsiaTheme="minorHAnsi" w:hAnsiTheme="minorHAnsi" w:cstheme="minorBidi"/>
          <w:szCs w:val="24"/>
        </w:rPr>
      </w:pPr>
      <w:r w:rsidRPr="00325694">
        <w:rPr>
          <w:rFonts w:asciiTheme="minorHAnsi" w:eastAsiaTheme="minorHAnsi" w:hAnsiTheme="minorHAnsi" w:cstheme="minorBidi"/>
          <w:szCs w:val="24"/>
        </w:rPr>
        <w:t>Plans for resilience in system-wide capacity</w:t>
      </w:r>
      <w:r w:rsidR="00D4637D">
        <w:rPr>
          <w:rFonts w:asciiTheme="minorHAnsi" w:eastAsiaTheme="minorHAnsi" w:hAnsiTheme="minorHAnsi" w:cstheme="minorBidi"/>
          <w:szCs w:val="24"/>
        </w:rPr>
        <w:t>;</w:t>
      </w:r>
    </w:p>
    <w:p w:rsidR="007D46F9" w:rsidRPr="00325694" w:rsidRDefault="007D46F9" w:rsidP="004B442C">
      <w:pPr>
        <w:pStyle w:val="ListParagraph"/>
        <w:numPr>
          <w:ilvl w:val="1"/>
          <w:numId w:val="18"/>
        </w:numPr>
        <w:rPr>
          <w:rFonts w:asciiTheme="minorHAnsi" w:eastAsiaTheme="minorHAnsi" w:hAnsiTheme="minorHAnsi" w:cstheme="minorBidi"/>
          <w:sz w:val="24"/>
          <w:szCs w:val="24"/>
        </w:rPr>
      </w:pPr>
      <w:r w:rsidRPr="00325694">
        <w:rPr>
          <w:rFonts w:asciiTheme="minorHAnsi" w:eastAsiaTheme="minorHAnsi" w:hAnsiTheme="minorHAnsi" w:cstheme="minorBidi"/>
          <w:sz w:val="24"/>
          <w:szCs w:val="24"/>
        </w:rPr>
        <w:t>DToC reduction</w:t>
      </w:r>
      <w:r w:rsidR="00D4637D">
        <w:rPr>
          <w:rFonts w:asciiTheme="minorHAnsi" w:eastAsiaTheme="minorHAnsi" w:hAnsiTheme="minorHAnsi" w:cstheme="minorBidi"/>
          <w:sz w:val="24"/>
          <w:szCs w:val="24"/>
        </w:rPr>
        <w:t xml:space="preserve"> plan</w:t>
      </w:r>
    </w:p>
    <w:p w:rsidR="007D46F9" w:rsidRPr="00325694" w:rsidRDefault="007D46F9" w:rsidP="004B442C">
      <w:pPr>
        <w:pStyle w:val="ListParagraph"/>
        <w:numPr>
          <w:ilvl w:val="1"/>
          <w:numId w:val="18"/>
        </w:numPr>
        <w:rPr>
          <w:rFonts w:asciiTheme="minorHAnsi" w:eastAsiaTheme="minorHAnsi" w:hAnsiTheme="minorHAnsi" w:cstheme="minorBidi"/>
          <w:sz w:val="24"/>
          <w:szCs w:val="24"/>
        </w:rPr>
      </w:pPr>
      <w:r w:rsidRPr="00325694">
        <w:rPr>
          <w:rFonts w:asciiTheme="minorHAnsi" w:eastAsiaTheme="minorHAnsi" w:hAnsiTheme="minorHAnsi" w:cstheme="minorBidi"/>
          <w:sz w:val="24"/>
          <w:szCs w:val="24"/>
        </w:rPr>
        <w:t>Identified &amp; plans for known capacity gaps</w:t>
      </w:r>
    </w:p>
    <w:p w:rsidR="007D46F9" w:rsidRPr="00325694" w:rsidRDefault="007D46F9" w:rsidP="007D46F9">
      <w:pPr>
        <w:numPr>
          <w:ilvl w:val="0"/>
          <w:numId w:val="15"/>
        </w:numPr>
        <w:spacing w:after="200" w:line="276" w:lineRule="auto"/>
        <w:contextualSpacing/>
        <w:rPr>
          <w:rFonts w:asciiTheme="minorHAnsi" w:eastAsiaTheme="minorHAnsi" w:hAnsiTheme="minorHAnsi" w:cstheme="minorBidi"/>
          <w:szCs w:val="24"/>
        </w:rPr>
      </w:pPr>
      <w:r w:rsidRPr="00325694">
        <w:rPr>
          <w:rFonts w:asciiTheme="minorHAnsi" w:eastAsiaTheme="minorHAnsi" w:hAnsiTheme="minorHAnsi" w:cstheme="minorBidi"/>
          <w:szCs w:val="24"/>
        </w:rPr>
        <w:t xml:space="preserve">Surge capacity plans </w:t>
      </w:r>
    </w:p>
    <w:p w:rsidR="007D46F9" w:rsidRPr="00325694" w:rsidRDefault="007D46F9" w:rsidP="007D46F9">
      <w:pPr>
        <w:numPr>
          <w:ilvl w:val="0"/>
          <w:numId w:val="15"/>
        </w:numPr>
        <w:spacing w:after="200" w:line="276" w:lineRule="auto"/>
        <w:contextualSpacing/>
        <w:rPr>
          <w:rFonts w:asciiTheme="minorHAnsi" w:hAnsiTheme="minorHAnsi" w:cs="Arial"/>
          <w:bCs/>
          <w:szCs w:val="24"/>
          <w:lang w:eastAsia="en-GB"/>
        </w:rPr>
      </w:pPr>
      <w:r w:rsidRPr="00325694">
        <w:rPr>
          <w:rFonts w:asciiTheme="minorHAnsi" w:eastAsiaTheme="minorHAnsi" w:hAnsiTheme="minorHAnsi" w:cstheme="minorBidi"/>
          <w:szCs w:val="24"/>
        </w:rPr>
        <w:t>Escalation across the system</w:t>
      </w:r>
    </w:p>
    <w:p w:rsidR="004B442C" w:rsidRPr="00325694" w:rsidRDefault="004B442C" w:rsidP="004B442C">
      <w:pPr>
        <w:spacing w:after="200" w:line="276" w:lineRule="auto"/>
        <w:contextualSpacing/>
        <w:rPr>
          <w:rFonts w:asciiTheme="minorHAnsi" w:eastAsiaTheme="minorHAnsi" w:hAnsiTheme="minorHAnsi" w:cstheme="minorBidi"/>
          <w:szCs w:val="24"/>
        </w:rPr>
      </w:pPr>
    </w:p>
    <w:p w:rsidR="004B442C" w:rsidRPr="004B442C" w:rsidRDefault="004B442C" w:rsidP="004B442C">
      <w:pPr>
        <w:spacing w:after="200" w:line="276" w:lineRule="auto"/>
        <w:contextualSpacing/>
        <w:rPr>
          <w:rFonts w:asciiTheme="minorHAnsi" w:hAnsiTheme="minorHAnsi" w:cs="Arial"/>
          <w:bCs/>
          <w:szCs w:val="24"/>
          <w:lang w:eastAsia="en-GB"/>
        </w:rPr>
      </w:pPr>
      <w:r w:rsidRPr="004B442C">
        <w:rPr>
          <w:rFonts w:asciiTheme="minorHAnsi" w:eastAsiaTheme="minorHAnsi" w:hAnsiTheme="minorHAnsi" w:cstheme="minorBidi"/>
          <w:szCs w:val="24"/>
        </w:rPr>
        <w:t>For the NEL system these elements are being addressed by:-</w:t>
      </w:r>
    </w:p>
    <w:p w:rsidR="00C51D3C" w:rsidRPr="004B442C" w:rsidRDefault="00C51D3C" w:rsidP="00776F48">
      <w:pPr>
        <w:spacing w:line="276" w:lineRule="auto"/>
        <w:rPr>
          <w:rFonts w:asciiTheme="minorHAnsi" w:hAnsiTheme="minorHAnsi" w:cs="Arial"/>
          <w:bCs/>
          <w:szCs w:val="24"/>
          <w:lang w:eastAsia="en-GB"/>
        </w:rPr>
      </w:pPr>
    </w:p>
    <w:p w:rsidR="004B442C" w:rsidRPr="004B442C" w:rsidRDefault="004B442C" w:rsidP="004B442C">
      <w:pPr>
        <w:numPr>
          <w:ilvl w:val="0"/>
          <w:numId w:val="17"/>
        </w:numPr>
        <w:spacing w:after="200" w:line="276" w:lineRule="auto"/>
        <w:contextualSpacing/>
        <w:rPr>
          <w:rFonts w:asciiTheme="minorHAnsi" w:eastAsiaTheme="minorHAnsi" w:hAnsiTheme="minorHAnsi" w:cstheme="minorBidi"/>
          <w:szCs w:val="24"/>
        </w:rPr>
      </w:pPr>
      <w:r w:rsidRPr="004B442C">
        <w:rPr>
          <w:rFonts w:asciiTheme="minorHAnsi" w:eastAsiaTheme="minorHAnsi" w:hAnsiTheme="minorHAnsi" w:cstheme="minorBidi"/>
          <w:szCs w:val="24"/>
        </w:rPr>
        <w:t xml:space="preserve">A transformational change in the </w:t>
      </w:r>
      <w:r w:rsidR="00E44554">
        <w:rPr>
          <w:rFonts w:asciiTheme="minorHAnsi" w:eastAsiaTheme="minorHAnsi" w:hAnsiTheme="minorHAnsi" w:cstheme="minorBidi"/>
          <w:szCs w:val="24"/>
        </w:rPr>
        <w:t xml:space="preserve">capacity and access processes for the Intermediate Care pathway to support enhanced resilience, mandated Discharge </w:t>
      </w:r>
      <w:proofErr w:type="gramStart"/>
      <w:r w:rsidR="00E44554">
        <w:rPr>
          <w:rFonts w:asciiTheme="minorHAnsi" w:eastAsiaTheme="minorHAnsi" w:hAnsiTheme="minorHAnsi" w:cstheme="minorBidi"/>
          <w:szCs w:val="24"/>
        </w:rPr>
        <w:t>To</w:t>
      </w:r>
      <w:proofErr w:type="gramEnd"/>
      <w:r w:rsidR="00E44554">
        <w:rPr>
          <w:rFonts w:asciiTheme="minorHAnsi" w:eastAsiaTheme="minorHAnsi" w:hAnsiTheme="minorHAnsi" w:cstheme="minorBidi"/>
          <w:szCs w:val="24"/>
        </w:rPr>
        <w:t xml:space="preserve"> Assess processes and DToCs reduction. This </w:t>
      </w:r>
      <w:r w:rsidRPr="00E44554">
        <w:rPr>
          <w:rFonts w:asciiTheme="minorHAnsi" w:eastAsiaTheme="minorHAnsi" w:hAnsiTheme="minorHAnsi" w:cstheme="minorBidi"/>
          <w:szCs w:val="24"/>
        </w:rPr>
        <w:t>pathway</w:t>
      </w:r>
      <w:r w:rsidR="00F1222E" w:rsidRPr="00E44554">
        <w:rPr>
          <w:rFonts w:asciiTheme="minorHAnsi" w:eastAsiaTheme="minorHAnsi" w:hAnsiTheme="minorHAnsi" w:cstheme="minorBidi"/>
          <w:color w:val="FF0000"/>
          <w:szCs w:val="24"/>
        </w:rPr>
        <w:t xml:space="preserve"> </w:t>
      </w:r>
      <w:r w:rsidR="00E44554" w:rsidRPr="00E44554">
        <w:rPr>
          <w:rFonts w:asciiTheme="minorHAnsi" w:eastAsiaTheme="minorHAnsi" w:hAnsiTheme="minorHAnsi" w:cstheme="minorBidi"/>
          <w:color w:val="000000" w:themeColor="text1"/>
          <w:szCs w:val="24"/>
        </w:rPr>
        <w:t xml:space="preserve">currently accounts </w:t>
      </w:r>
      <w:r w:rsidR="00E44554">
        <w:rPr>
          <w:rFonts w:asciiTheme="minorHAnsi" w:eastAsiaTheme="minorHAnsi" w:hAnsiTheme="minorHAnsi" w:cstheme="minorBidi"/>
          <w:color w:val="FF0000"/>
          <w:szCs w:val="24"/>
        </w:rPr>
        <w:t xml:space="preserve">for </w:t>
      </w:r>
      <w:r w:rsidRPr="004B442C">
        <w:rPr>
          <w:rFonts w:asciiTheme="minorHAnsi" w:eastAsiaTheme="minorHAnsi" w:hAnsiTheme="minorHAnsi" w:cstheme="minorBidi"/>
          <w:szCs w:val="24"/>
        </w:rPr>
        <w:t xml:space="preserve">the most significant adverse DToC impact. </w:t>
      </w:r>
    </w:p>
    <w:p w:rsidR="004B442C" w:rsidRPr="004B442C" w:rsidRDefault="004B442C" w:rsidP="004B442C">
      <w:pPr>
        <w:numPr>
          <w:ilvl w:val="0"/>
          <w:numId w:val="17"/>
        </w:numPr>
        <w:spacing w:after="200" w:line="276" w:lineRule="auto"/>
        <w:contextualSpacing/>
        <w:rPr>
          <w:rFonts w:asciiTheme="minorHAnsi" w:eastAsiaTheme="minorHAnsi" w:hAnsiTheme="minorHAnsi" w:cstheme="minorBidi"/>
          <w:szCs w:val="24"/>
        </w:rPr>
      </w:pPr>
      <w:r w:rsidRPr="004B442C">
        <w:rPr>
          <w:rFonts w:asciiTheme="minorHAnsi" w:eastAsiaTheme="minorHAnsi" w:hAnsiTheme="minorHAnsi" w:cstheme="minorBidi"/>
          <w:szCs w:val="24"/>
        </w:rPr>
        <w:t>Minor but permanent adjustments to the broader system to improve the use of resources e.g. capacity for health triage/rapid response and the deployment of Social Work support to A&amp;E at weekends.</w:t>
      </w:r>
    </w:p>
    <w:p w:rsidR="004B442C" w:rsidRPr="004B442C" w:rsidRDefault="004B442C" w:rsidP="004B442C">
      <w:pPr>
        <w:numPr>
          <w:ilvl w:val="0"/>
          <w:numId w:val="17"/>
        </w:numPr>
        <w:spacing w:after="200" w:line="276" w:lineRule="auto"/>
        <w:contextualSpacing/>
        <w:rPr>
          <w:rFonts w:asciiTheme="minorHAnsi" w:eastAsiaTheme="minorHAnsi" w:hAnsiTheme="minorHAnsi" w:cstheme="minorBidi"/>
          <w:szCs w:val="24"/>
        </w:rPr>
      </w:pPr>
      <w:r w:rsidRPr="004B442C">
        <w:rPr>
          <w:rFonts w:asciiTheme="minorHAnsi" w:eastAsiaTheme="minorHAnsi" w:hAnsiTheme="minorHAnsi" w:cstheme="minorBidi"/>
          <w:szCs w:val="24"/>
        </w:rPr>
        <w:t>Arrangements where additional short term capacity will be pre-arranged at expected high activity periods over Christmas, New Year and Easter. This will be a combination of some additional commissioned capacity and arrangements with providers on assuring that staff rotas are bolstered and assured for these periods.</w:t>
      </w:r>
    </w:p>
    <w:p w:rsidR="004B442C" w:rsidRPr="004B442C" w:rsidRDefault="004B442C" w:rsidP="004B442C">
      <w:pPr>
        <w:numPr>
          <w:ilvl w:val="0"/>
          <w:numId w:val="17"/>
        </w:numPr>
        <w:spacing w:after="200" w:line="276" w:lineRule="auto"/>
        <w:contextualSpacing/>
        <w:rPr>
          <w:rFonts w:asciiTheme="minorHAnsi" w:eastAsiaTheme="minorHAnsi" w:hAnsiTheme="minorHAnsi" w:cstheme="minorBidi"/>
          <w:szCs w:val="24"/>
        </w:rPr>
      </w:pPr>
      <w:r w:rsidRPr="004B442C">
        <w:rPr>
          <w:rFonts w:asciiTheme="minorHAnsi" w:eastAsiaTheme="minorHAnsi" w:hAnsiTheme="minorHAnsi" w:cstheme="minorBidi"/>
          <w:szCs w:val="24"/>
        </w:rPr>
        <w:t>Revised and new escalation protocols that better pre-arrange provider arrangements to deal with exceptions of surges in the system. These will necessarily be for unplanned/unexpected events and will need to draw on/divert available resources under short term arrangements</w:t>
      </w:r>
    </w:p>
    <w:p w:rsidR="004B442C" w:rsidRPr="004B442C" w:rsidRDefault="004B442C" w:rsidP="004B442C">
      <w:pPr>
        <w:numPr>
          <w:ilvl w:val="0"/>
          <w:numId w:val="17"/>
        </w:numPr>
        <w:spacing w:after="200" w:line="276" w:lineRule="auto"/>
        <w:contextualSpacing/>
        <w:rPr>
          <w:rFonts w:asciiTheme="minorHAnsi" w:eastAsiaTheme="minorHAnsi" w:hAnsiTheme="minorHAnsi" w:cstheme="minorBidi"/>
          <w:szCs w:val="24"/>
        </w:rPr>
      </w:pPr>
      <w:r w:rsidRPr="004B442C">
        <w:rPr>
          <w:rFonts w:asciiTheme="minorHAnsi" w:eastAsiaTheme="minorHAnsi" w:hAnsiTheme="minorHAnsi" w:cstheme="minorBidi"/>
          <w:szCs w:val="24"/>
        </w:rPr>
        <w:t xml:space="preserve">Refreshed arrangements to clarify and improve the triggers for and participation of senior operational management and leaders during escalation. </w:t>
      </w:r>
    </w:p>
    <w:p w:rsidR="004B442C" w:rsidRPr="004B442C" w:rsidRDefault="004B442C" w:rsidP="004B442C">
      <w:pPr>
        <w:numPr>
          <w:ilvl w:val="0"/>
          <w:numId w:val="17"/>
        </w:numPr>
        <w:spacing w:after="200" w:line="276" w:lineRule="auto"/>
        <w:contextualSpacing/>
        <w:rPr>
          <w:rFonts w:asciiTheme="minorHAnsi" w:eastAsiaTheme="minorHAnsi" w:hAnsiTheme="minorHAnsi" w:cstheme="minorBidi"/>
          <w:szCs w:val="24"/>
        </w:rPr>
      </w:pPr>
      <w:r w:rsidRPr="004B442C">
        <w:rPr>
          <w:rFonts w:asciiTheme="minorHAnsi" w:eastAsiaTheme="minorHAnsi" w:hAnsiTheme="minorHAnsi" w:cstheme="minorBidi"/>
          <w:szCs w:val="24"/>
        </w:rPr>
        <w:t xml:space="preserve">Revised escalation arrangements that apply to monitoring, reporting and enacting mutual aid across the Northern Lincolnshire footprint. </w:t>
      </w:r>
    </w:p>
    <w:p w:rsidR="007C4AEC" w:rsidRPr="00A447F6" w:rsidRDefault="007C4AEC" w:rsidP="007C4AEC">
      <w:pPr>
        <w:rPr>
          <w:rFonts w:asciiTheme="minorHAnsi" w:eastAsiaTheme="minorHAnsi" w:hAnsiTheme="minorHAnsi" w:cs="Arial"/>
          <w:szCs w:val="24"/>
        </w:rPr>
      </w:pPr>
    </w:p>
    <w:p w:rsidR="004B442C" w:rsidRPr="00A447F6" w:rsidRDefault="004B442C" w:rsidP="00A447F6">
      <w:pPr>
        <w:spacing w:line="276" w:lineRule="auto"/>
        <w:rPr>
          <w:rFonts w:asciiTheme="minorHAnsi" w:eastAsiaTheme="minorHAnsi" w:hAnsiTheme="minorHAnsi" w:cs="Arial"/>
          <w:szCs w:val="24"/>
        </w:rPr>
      </w:pPr>
    </w:p>
    <w:p w:rsidR="004B442C" w:rsidRPr="00A447F6" w:rsidRDefault="004B442C" w:rsidP="00A447F6">
      <w:pPr>
        <w:pStyle w:val="ListParagraph"/>
        <w:numPr>
          <w:ilvl w:val="0"/>
          <w:numId w:val="19"/>
        </w:numPr>
        <w:rPr>
          <w:rFonts w:asciiTheme="minorHAnsi" w:eastAsiaTheme="minorHAnsi" w:hAnsiTheme="minorHAnsi" w:cs="Arial"/>
          <w:sz w:val="24"/>
          <w:szCs w:val="24"/>
        </w:rPr>
      </w:pPr>
      <w:r w:rsidRPr="00A447F6">
        <w:rPr>
          <w:rFonts w:asciiTheme="minorHAnsi" w:eastAsiaTheme="minorHAnsi" w:hAnsiTheme="minorHAnsi" w:cs="Arial"/>
          <w:sz w:val="24"/>
          <w:szCs w:val="24"/>
        </w:rPr>
        <w:t>Under the oversight of the A&amp;E Delivery Board, overall support for system resilience is given by progress with implementation of best pra</w:t>
      </w:r>
      <w:r w:rsidR="00325694" w:rsidRPr="00A447F6">
        <w:rPr>
          <w:rFonts w:asciiTheme="minorHAnsi" w:eastAsiaTheme="minorHAnsi" w:hAnsiTheme="minorHAnsi" w:cs="Arial"/>
          <w:sz w:val="24"/>
          <w:szCs w:val="24"/>
        </w:rPr>
        <w:t>ctice initiatives mandated under</w:t>
      </w:r>
      <w:r w:rsidRPr="00A447F6">
        <w:rPr>
          <w:rFonts w:asciiTheme="minorHAnsi" w:eastAsiaTheme="minorHAnsi" w:hAnsiTheme="minorHAnsi" w:cs="Arial"/>
          <w:sz w:val="24"/>
          <w:szCs w:val="24"/>
        </w:rPr>
        <w:t xml:space="preserve"> the NHS 5</w:t>
      </w:r>
      <w:r w:rsidR="00325694" w:rsidRPr="00A447F6">
        <w:rPr>
          <w:rFonts w:asciiTheme="minorHAnsi" w:eastAsiaTheme="minorHAnsi" w:hAnsiTheme="minorHAnsi" w:cs="Arial"/>
          <w:sz w:val="24"/>
          <w:szCs w:val="24"/>
        </w:rPr>
        <w:t>Y</w:t>
      </w:r>
      <w:r w:rsidRPr="00A447F6">
        <w:rPr>
          <w:rFonts w:asciiTheme="minorHAnsi" w:eastAsiaTheme="minorHAnsi" w:hAnsiTheme="minorHAnsi" w:cs="Arial"/>
          <w:sz w:val="24"/>
          <w:szCs w:val="24"/>
        </w:rPr>
        <w:t>FV</w:t>
      </w:r>
      <w:r w:rsidR="00325694" w:rsidRPr="00A447F6">
        <w:rPr>
          <w:rFonts w:asciiTheme="minorHAnsi" w:eastAsiaTheme="minorHAnsi" w:hAnsiTheme="minorHAnsi" w:cs="Arial"/>
          <w:sz w:val="24"/>
          <w:szCs w:val="24"/>
        </w:rPr>
        <w:t>. These are:</w:t>
      </w:r>
    </w:p>
    <w:p w:rsidR="004B442C" w:rsidRPr="00A447F6" w:rsidRDefault="004B442C" w:rsidP="00A447F6">
      <w:pPr>
        <w:spacing w:line="276" w:lineRule="auto"/>
        <w:rPr>
          <w:rFonts w:asciiTheme="minorHAnsi" w:eastAsiaTheme="minorHAnsi" w:hAnsiTheme="minorHAnsi" w:cs="Arial"/>
          <w:szCs w:val="24"/>
        </w:rPr>
      </w:pPr>
    </w:p>
    <w:p w:rsidR="004B442C" w:rsidRPr="00A447F6" w:rsidRDefault="004B442C" w:rsidP="00A447F6">
      <w:pPr>
        <w:pStyle w:val="ListParagraph"/>
        <w:numPr>
          <w:ilvl w:val="0"/>
          <w:numId w:val="20"/>
        </w:numPr>
        <w:rPr>
          <w:rFonts w:asciiTheme="minorHAnsi" w:eastAsiaTheme="minorHAnsi" w:hAnsiTheme="minorHAnsi" w:cs="Arial"/>
          <w:sz w:val="24"/>
          <w:szCs w:val="24"/>
        </w:rPr>
      </w:pPr>
      <w:r w:rsidRPr="00A447F6">
        <w:rPr>
          <w:rFonts w:asciiTheme="minorHAnsi" w:eastAsiaTheme="minorHAnsi" w:hAnsiTheme="minorHAnsi" w:cs="Arial"/>
          <w:sz w:val="24"/>
          <w:szCs w:val="24"/>
        </w:rPr>
        <w:t>SAFER</w:t>
      </w:r>
      <w:r w:rsidR="00325694" w:rsidRPr="00A447F6">
        <w:rPr>
          <w:rFonts w:asciiTheme="minorHAnsi" w:eastAsiaTheme="minorHAnsi" w:hAnsiTheme="minorHAnsi" w:cs="Arial"/>
          <w:sz w:val="24"/>
          <w:szCs w:val="24"/>
        </w:rPr>
        <w:t xml:space="preserve"> (methodology for consultant review for admitted patients)</w:t>
      </w:r>
    </w:p>
    <w:p w:rsidR="004B442C" w:rsidRPr="00A447F6" w:rsidRDefault="004B442C" w:rsidP="00A447F6">
      <w:pPr>
        <w:pStyle w:val="ListParagraph"/>
        <w:numPr>
          <w:ilvl w:val="0"/>
          <w:numId w:val="20"/>
        </w:numPr>
        <w:rPr>
          <w:rFonts w:asciiTheme="minorHAnsi" w:eastAsiaTheme="minorHAnsi" w:hAnsiTheme="minorHAnsi" w:cs="Arial"/>
          <w:sz w:val="24"/>
          <w:szCs w:val="24"/>
        </w:rPr>
      </w:pPr>
      <w:r w:rsidRPr="00A447F6">
        <w:rPr>
          <w:rFonts w:asciiTheme="minorHAnsi" w:eastAsiaTheme="minorHAnsi" w:hAnsiTheme="minorHAnsi" w:cs="Arial"/>
          <w:sz w:val="24"/>
          <w:szCs w:val="24"/>
        </w:rPr>
        <w:t>Ambulatory Care</w:t>
      </w:r>
      <w:r w:rsidR="00325694" w:rsidRPr="00A447F6">
        <w:rPr>
          <w:rFonts w:asciiTheme="minorHAnsi" w:eastAsiaTheme="minorHAnsi" w:hAnsiTheme="minorHAnsi" w:cs="Arial"/>
          <w:sz w:val="24"/>
          <w:szCs w:val="24"/>
        </w:rPr>
        <w:t xml:space="preserve"> Unit (Patients streamed from A&amp;E for chair based interventions for some patients who would previously be admitted) </w:t>
      </w:r>
    </w:p>
    <w:p w:rsidR="004B442C" w:rsidRPr="00A447F6" w:rsidRDefault="004B442C" w:rsidP="00A447F6">
      <w:pPr>
        <w:pStyle w:val="ListParagraph"/>
        <w:numPr>
          <w:ilvl w:val="0"/>
          <w:numId w:val="20"/>
        </w:numPr>
        <w:rPr>
          <w:rFonts w:asciiTheme="minorHAnsi" w:eastAsiaTheme="minorHAnsi" w:hAnsiTheme="minorHAnsi" w:cs="Arial"/>
          <w:sz w:val="24"/>
          <w:szCs w:val="24"/>
        </w:rPr>
      </w:pPr>
      <w:r w:rsidRPr="00A447F6">
        <w:rPr>
          <w:rFonts w:asciiTheme="minorHAnsi" w:eastAsiaTheme="minorHAnsi" w:hAnsiTheme="minorHAnsi" w:cs="Arial"/>
          <w:sz w:val="24"/>
          <w:szCs w:val="24"/>
        </w:rPr>
        <w:t>Discharge to Assess/Trusted Assessor</w:t>
      </w:r>
      <w:r w:rsidR="00325694" w:rsidRPr="00A447F6">
        <w:rPr>
          <w:rFonts w:asciiTheme="minorHAnsi" w:eastAsiaTheme="minorHAnsi" w:hAnsiTheme="minorHAnsi" w:cs="Arial"/>
          <w:sz w:val="24"/>
          <w:szCs w:val="24"/>
        </w:rPr>
        <w:t xml:space="preserve"> (A renewed focus on why any patient who is medically optimised remains in an acute bed,  a shift out of acute beds for assessment for onward care and </w:t>
      </w:r>
      <w:proofErr w:type="spellStart"/>
      <w:r w:rsidR="00325694" w:rsidRPr="00A447F6">
        <w:rPr>
          <w:rFonts w:asciiTheme="minorHAnsi" w:eastAsiaTheme="minorHAnsi" w:hAnsiTheme="minorHAnsi" w:cs="Arial"/>
          <w:sz w:val="24"/>
          <w:szCs w:val="24"/>
        </w:rPr>
        <w:t>a</w:t>
      </w:r>
      <w:proofErr w:type="spellEnd"/>
      <w:r w:rsidR="00325694" w:rsidRPr="00A447F6">
        <w:rPr>
          <w:rFonts w:asciiTheme="minorHAnsi" w:eastAsiaTheme="minorHAnsi" w:hAnsiTheme="minorHAnsi" w:cs="Arial"/>
          <w:sz w:val="24"/>
          <w:szCs w:val="24"/>
        </w:rPr>
        <w:t xml:space="preserve"> assessment model that is centralised and shared for residential care providers)</w:t>
      </w:r>
    </w:p>
    <w:p w:rsidR="004B442C" w:rsidRPr="00A447F6" w:rsidRDefault="00A447F6" w:rsidP="00A447F6">
      <w:pPr>
        <w:pStyle w:val="ListParagraph"/>
        <w:numPr>
          <w:ilvl w:val="0"/>
          <w:numId w:val="20"/>
        </w:numPr>
        <w:rPr>
          <w:rFonts w:asciiTheme="minorHAnsi" w:eastAsiaTheme="minorHAnsi" w:hAnsiTheme="minorHAnsi" w:cs="Arial"/>
          <w:sz w:val="24"/>
          <w:szCs w:val="24"/>
        </w:rPr>
      </w:pPr>
      <w:r w:rsidRPr="00A447F6">
        <w:rPr>
          <w:rFonts w:asciiTheme="minorHAnsi" w:eastAsiaTheme="minorHAnsi" w:hAnsiTheme="minorHAnsi" w:cs="Arial"/>
          <w:sz w:val="24"/>
          <w:szCs w:val="24"/>
        </w:rPr>
        <w:t>P</w:t>
      </w:r>
      <w:r w:rsidR="004B442C" w:rsidRPr="00A447F6">
        <w:rPr>
          <w:rFonts w:asciiTheme="minorHAnsi" w:eastAsiaTheme="minorHAnsi" w:hAnsiTheme="minorHAnsi" w:cs="Arial"/>
          <w:sz w:val="24"/>
          <w:szCs w:val="24"/>
        </w:rPr>
        <w:t>rimary Care Streaming</w:t>
      </w:r>
      <w:r w:rsidR="00325694" w:rsidRPr="00A447F6">
        <w:rPr>
          <w:rFonts w:asciiTheme="minorHAnsi" w:eastAsiaTheme="minorHAnsi" w:hAnsiTheme="minorHAnsi" w:cs="Arial"/>
          <w:sz w:val="24"/>
          <w:szCs w:val="24"/>
        </w:rPr>
        <w:t xml:space="preserve"> (A GP led service where A&amp;E minor attendees are streamed on arrival as an alternative to A&amp;E) </w:t>
      </w:r>
    </w:p>
    <w:p w:rsidR="004B442C" w:rsidRPr="00A447F6" w:rsidRDefault="004B442C" w:rsidP="00A447F6">
      <w:pPr>
        <w:spacing w:line="276" w:lineRule="auto"/>
        <w:rPr>
          <w:rFonts w:asciiTheme="minorHAnsi" w:eastAsiaTheme="minorHAnsi" w:hAnsiTheme="minorHAnsi" w:cs="Arial"/>
          <w:szCs w:val="24"/>
        </w:rPr>
      </w:pPr>
    </w:p>
    <w:p w:rsidR="004B442C" w:rsidRPr="00A447F6" w:rsidRDefault="00A447F6" w:rsidP="00A447F6">
      <w:pPr>
        <w:spacing w:line="276" w:lineRule="auto"/>
        <w:rPr>
          <w:rFonts w:asciiTheme="minorHAnsi" w:eastAsiaTheme="minorHAnsi" w:hAnsiTheme="minorHAnsi" w:cs="Arial"/>
          <w:szCs w:val="24"/>
        </w:rPr>
      </w:pPr>
      <w:r w:rsidRPr="00A447F6">
        <w:rPr>
          <w:rFonts w:asciiTheme="minorHAnsi" w:eastAsiaTheme="minorHAnsi" w:hAnsiTheme="minorHAnsi" w:cs="Arial"/>
          <w:szCs w:val="24"/>
        </w:rPr>
        <w:t xml:space="preserve">Implementation of all of these initiatives has begun in NEL during 2017 and this will continue to move from pilot implementations to full models in 2018 under the oversight of the A&amp;E Delivery Board. </w:t>
      </w:r>
    </w:p>
    <w:p w:rsidR="00776F48" w:rsidRPr="00A447F6" w:rsidRDefault="00776F48" w:rsidP="00A447F6">
      <w:pPr>
        <w:spacing w:line="276" w:lineRule="auto"/>
        <w:rPr>
          <w:rFonts w:asciiTheme="minorHAnsi" w:hAnsiTheme="minorHAnsi" w:cs="Arial"/>
          <w:bCs/>
          <w:szCs w:val="24"/>
          <w:lang w:eastAsia="en-GB"/>
        </w:rPr>
      </w:pPr>
    </w:p>
    <w:p w:rsidR="00A447F6" w:rsidRPr="00A447F6" w:rsidRDefault="00A447F6" w:rsidP="00A447F6">
      <w:pPr>
        <w:pStyle w:val="ListParagraph"/>
        <w:numPr>
          <w:ilvl w:val="0"/>
          <w:numId w:val="19"/>
        </w:numPr>
        <w:rPr>
          <w:rFonts w:asciiTheme="minorHAnsi" w:hAnsiTheme="minorHAnsi" w:cs="Arial"/>
          <w:bCs/>
          <w:sz w:val="24"/>
          <w:szCs w:val="24"/>
          <w:lang w:eastAsia="en-GB"/>
        </w:rPr>
      </w:pPr>
      <w:r w:rsidRPr="00A447F6">
        <w:rPr>
          <w:rFonts w:asciiTheme="minorHAnsi" w:hAnsiTheme="minorHAnsi" w:cs="Arial"/>
          <w:bCs/>
          <w:sz w:val="24"/>
          <w:szCs w:val="24"/>
          <w:lang w:eastAsia="en-GB"/>
        </w:rPr>
        <w:t>A wide ranging plan for communicating key messages about self-care and advice on the accessing the most appropriate service is in place using a variety of print, other media and social media is in place. A key focus continues to promote the phone first approach for non-emergencies to the NEL Single Point of Access.</w:t>
      </w:r>
    </w:p>
    <w:p w:rsidR="00C63604" w:rsidRPr="00776F48" w:rsidRDefault="00A447F6" w:rsidP="00A447F6">
      <w:pPr>
        <w:pStyle w:val="ListParagraph"/>
        <w:ind w:left="360"/>
        <w:rPr>
          <w:rFonts w:ascii="Arial" w:hAnsi="Arial" w:cs="Arial"/>
          <w:bCs/>
          <w:szCs w:val="24"/>
          <w:lang w:eastAsia="en-GB"/>
        </w:rPr>
      </w:pPr>
      <w:r w:rsidRPr="00A447F6">
        <w:rPr>
          <w:rFonts w:asciiTheme="minorHAnsi" w:hAnsiTheme="minorHAnsi" w:cs="Arial"/>
          <w:bCs/>
          <w:sz w:val="24"/>
          <w:szCs w:val="24"/>
          <w:lang w:eastAsia="en-GB"/>
        </w:rPr>
        <w:t xml:space="preserve"> </w:t>
      </w:r>
    </w:p>
    <w:p w:rsidR="00776F48" w:rsidRPr="00776F48" w:rsidRDefault="00776F48" w:rsidP="00776F48">
      <w:pPr>
        <w:rPr>
          <w:rFonts w:ascii="Arial" w:hAnsi="Arial" w:cs="Arial"/>
          <w:szCs w:val="24"/>
          <w:lang w:eastAsia="en-GB"/>
        </w:rPr>
      </w:pPr>
      <w:r w:rsidRPr="00776F48">
        <w:rPr>
          <w:rFonts w:ascii="Arial" w:hAnsi="Arial" w:cs="Arial"/>
          <w:b/>
          <w:szCs w:val="24"/>
          <w:lang w:eastAsia="en-GB"/>
        </w:rPr>
        <w:t>Recommendation</w:t>
      </w:r>
    </w:p>
    <w:p w:rsidR="00776F48" w:rsidRPr="00776F48" w:rsidRDefault="00776F48" w:rsidP="00776F48">
      <w:pPr>
        <w:rPr>
          <w:rFonts w:ascii="Arial" w:hAnsi="Arial" w:cs="Arial"/>
          <w:szCs w:val="24"/>
          <w:lang w:eastAsia="en-GB"/>
        </w:rPr>
      </w:pPr>
    </w:p>
    <w:p w:rsidR="00893409" w:rsidRDefault="00776F48" w:rsidP="00D4637D">
      <w:pPr>
        <w:spacing w:line="276" w:lineRule="auto"/>
        <w:rPr>
          <w:rFonts w:ascii="Calibri" w:hAnsi="Calibri" w:cs="Calibri"/>
          <w:sz w:val="20"/>
        </w:rPr>
      </w:pPr>
      <w:r w:rsidRPr="00A447F6">
        <w:rPr>
          <w:rFonts w:ascii="Arial" w:hAnsi="Arial" w:cs="Arial"/>
          <w:sz w:val="22"/>
          <w:szCs w:val="22"/>
          <w:lang w:eastAsia="en-GB"/>
        </w:rPr>
        <w:t xml:space="preserve">The Partnership Board is asked to note the work being undertaken for </w:t>
      </w:r>
      <w:r w:rsidR="00D0332E" w:rsidRPr="00A447F6">
        <w:rPr>
          <w:rFonts w:ascii="Arial" w:hAnsi="Arial" w:cs="Arial"/>
          <w:sz w:val="22"/>
          <w:szCs w:val="22"/>
          <w:lang w:eastAsia="en-GB"/>
        </w:rPr>
        <w:t xml:space="preserve">Winter </w:t>
      </w:r>
      <w:r w:rsidRPr="00A447F6">
        <w:rPr>
          <w:rFonts w:ascii="Arial" w:hAnsi="Arial" w:cs="Arial"/>
          <w:sz w:val="22"/>
          <w:szCs w:val="22"/>
          <w:lang w:eastAsia="en-GB"/>
        </w:rPr>
        <w:t xml:space="preserve">Resilience planning and the </w:t>
      </w:r>
      <w:r w:rsidR="00D4637D">
        <w:rPr>
          <w:rFonts w:ascii="Arial" w:hAnsi="Arial" w:cs="Arial"/>
          <w:sz w:val="22"/>
          <w:szCs w:val="22"/>
          <w:lang w:eastAsia="en-GB"/>
        </w:rPr>
        <w:t>pending NHS England winter assurance process.</w:t>
      </w:r>
    </w:p>
    <w:sectPr w:rsidR="00893409" w:rsidSect="0092546C">
      <w:headerReference w:type="default" r:id="rId18"/>
      <w:footerReference w:type="default" r:id="rId19"/>
      <w:pgSz w:w="11900" w:h="16840"/>
      <w:pgMar w:top="737" w:right="964" w:bottom="567" w:left="964"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18" w:rsidRDefault="00525F18" w:rsidP="00E1284E">
      <w:r>
        <w:separator/>
      </w:r>
    </w:p>
  </w:endnote>
  <w:endnote w:type="continuationSeparator" w:id="0">
    <w:p w:rsidR="00525F18" w:rsidRDefault="00525F18"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BB" w:rsidRDefault="001119BB">
    <w:pPr>
      <w:pStyle w:val="Footer"/>
    </w:pPr>
    <w:r>
      <w:fldChar w:fldCharType="begin"/>
    </w:r>
    <w:r>
      <w:instrText xml:space="preserve"> PAGE   \* MERGEFORMAT </w:instrText>
    </w:r>
    <w:r>
      <w:fldChar w:fldCharType="separate"/>
    </w:r>
    <w:r w:rsidR="009576AC">
      <w:rPr>
        <w:noProof/>
      </w:rPr>
      <w:t>1</w:t>
    </w:r>
    <w:r>
      <w:rPr>
        <w:noProof/>
      </w:rPr>
      <w:fldChar w:fldCharType="end"/>
    </w:r>
  </w:p>
  <w:p w:rsidR="001119BB" w:rsidRDefault="0011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18" w:rsidRDefault="00525F18" w:rsidP="00E1284E">
      <w:r>
        <w:separator/>
      </w:r>
    </w:p>
  </w:footnote>
  <w:footnote w:type="continuationSeparator" w:id="0">
    <w:p w:rsidR="00525F18" w:rsidRDefault="00525F18"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BB" w:rsidRDefault="001119BB">
    <w:pPr>
      <w:pStyle w:val="Header"/>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9BB" w:rsidRPr="00893409" w:rsidRDefault="001119BB">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1119BB" w:rsidRPr="00893409" w:rsidRDefault="001119BB">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A77"/>
    <w:multiLevelType w:val="hybridMultilevel"/>
    <w:tmpl w:val="894811B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6C5BCC"/>
    <w:multiLevelType w:val="hybridMultilevel"/>
    <w:tmpl w:val="21E251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257407"/>
    <w:multiLevelType w:val="hybridMultilevel"/>
    <w:tmpl w:val="14DE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00925"/>
    <w:multiLevelType w:val="hybridMultilevel"/>
    <w:tmpl w:val="3E64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D6E85"/>
    <w:multiLevelType w:val="hybridMultilevel"/>
    <w:tmpl w:val="7130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997C91"/>
    <w:multiLevelType w:val="hybridMultilevel"/>
    <w:tmpl w:val="1E7253B2"/>
    <w:lvl w:ilvl="0" w:tplc="BA641D3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25464B"/>
    <w:multiLevelType w:val="hybridMultilevel"/>
    <w:tmpl w:val="D284AD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A68D9"/>
    <w:multiLevelType w:val="hybridMultilevel"/>
    <w:tmpl w:val="BECC0CC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8642A"/>
    <w:multiLevelType w:val="hybridMultilevel"/>
    <w:tmpl w:val="26A6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32804"/>
    <w:multiLevelType w:val="hybridMultilevel"/>
    <w:tmpl w:val="70224B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620A2F"/>
    <w:multiLevelType w:val="hybridMultilevel"/>
    <w:tmpl w:val="07B27020"/>
    <w:lvl w:ilvl="0" w:tplc="9F5CF6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B3158F4"/>
    <w:multiLevelType w:val="hybridMultilevel"/>
    <w:tmpl w:val="C466F364"/>
    <w:lvl w:ilvl="0" w:tplc="BA641D36">
      <w:numFmt w:val="bullet"/>
      <w:lvlText w:val="-"/>
      <w:lvlJc w:val="left"/>
      <w:pPr>
        <w:ind w:left="1800" w:hanging="360"/>
      </w:pPr>
      <w:rPr>
        <w:rFonts w:ascii="Arial" w:eastAsia="Times New Roman" w:hAnsi="Arial" w:cs="Arial" w:hint="default"/>
      </w:rPr>
    </w:lvl>
    <w:lvl w:ilvl="1" w:tplc="BA641D36">
      <w:numFmt w:val="bullet"/>
      <w:lvlText w:val="-"/>
      <w:lvlJc w:val="left"/>
      <w:pPr>
        <w:ind w:left="2520" w:hanging="360"/>
      </w:pPr>
      <w:rPr>
        <w:rFonts w:ascii="Arial" w:eastAsia="Times New Roman" w:hAnsi="Arial" w:cs="Aria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nsid w:val="4E2F2FB6"/>
    <w:multiLevelType w:val="hybridMultilevel"/>
    <w:tmpl w:val="3BD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90807"/>
    <w:multiLevelType w:val="hybridMultilevel"/>
    <w:tmpl w:val="8D4047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7B0B86"/>
    <w:multiLevelType w:val="hybridMultilevel"/>
    <w:tmpl w:val="9CF04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9338E"/>
    <w:multiLevelType w:val="hybridMultilevel"/>
    <w:tmpl w:val="6B529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8081C"/>
    <w:multiLevelType w:val="hybridMultilevel"/>
    <w:tmpl w:val="27CC3372"/>
    <w:lvl w:ilvl="0" w:tplc="36D609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6C5212"/>
    <w:multiLevelType w:val="hybridMultilevel"/>
    <w:tmpl w:val="A8E4C8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93F46"/>
    <w:multiLevelType w:val="hybridMultilevel"/>
    <w:tmpl w:val="5A90D4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2"/>
  </w:num>
  <w:num w:numId="3">
    <w:abstractNumId w:val="11"/>
  </w:num>
  <w:num w:numId="4">
    <w:abstractNumId w:val="7"/>
  </w:num>
  <w:num w:numId="5">
    <w:abstractNumId w:val="1"/>
  </w:num>
  <w:num w:numId="6">
    <w:abstractNumId w:val="20"/>
  </w:num>
  <w:num w:numId="7">
    <w:abstractNumId w:val="17"/>
  </w:num>
  <w:num w:numId="8">
    <w:abstractNumId w:val="8"/>
  </w:num>
  <w:num w:numId="9">
    <w:abstractNumId w:val="19"/>
  </w:num>
  <w:num w:numId="10">
    <w:abstractNumId w:val="10"/>
  </w:num>
  <w:num w:numId="11">
    <w:abstractNumId w:val="0"/>
  </w:num>
  <w:num w:numId="12">
    <w:abstractNumId w:val="15"/>
  </w:num>
  <w:num w:numId="13">
    <w:abstractNumId w:val="13"/>
  </w:num>
  <w:num w:numId="14">
    <w:abstractNumId w:val="4"/>
  </w:num>
  <w:num w:numId="15">
    <w:abstractNumId w:val="12"/>
  </w:num>
  <w:num w:numId="16">
    <w:abstractNumId w:val="16"/>
  </w:num>
  <w:num w:numId="17">
    <w:abstractNumId w:val="5"/>
  </w:num>
  <w:num w:numId="18">
    <w:abstractNumId w:val="9"/>
  </w:num>
  <w:num w:numId="19">
    <w:abstractNumId w:val="3"/>
  </w:num>
  <w:num w:numId="20">
    <w:abstractNumId w:val="6"/>
  </w:num>
  <w:num w:numId="21">
    <w:abstractNumId w:val="14"/>
  </w:num>
  <w:num w:numId="22">
    <w:abstractNumId w:val="22"/>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3A2"/>
    <w:rsid w:val="00034CF6"/>
    <w:rsid w:val="000350E4"/>
    <w:rsid w:val="0005658C"/>
    <w:rsid w:val="000642BA"/>
    <w:rsid w:val="000878BB"/>
    <w:rsid w:val="00093B84"/>
    <w:rsid w:val="00096E41"/>
    <w:rsid w:val="000A4729"/>
    <w:rsid w:val="000A554D"/>
    <w:rsid w:val="000A7EB7"/>
    <w:rsid w:val="000C4D3C"/>
    <w:rsid w:val="000C70E4"/>
    <w:rsid w:val="000D1426"/>
    <w:rsid w:val="000D1B0D"/>
    <w:rsid w:val="00107535"/>
    <w:rsid w:val="001119BB"/>
    <w:rsid w:val="001139C9"/>
    <w:rsid w:val="00136B75"/>
    <w:rsid w:val="001556E0"/>
    <w:rsid w:val="0016479A"/>
    <w:rsid w:val="00180B8C"/>
    <w:rsid w:val="001E7F4D"/>
    <w:rsid w:val="002044CF"/>
    <w:rsid w:val="0023786F"/>
    <w:rsid w:val="00246A4E"/>
    <w:rsid w:val="00246EFA"/>
    <w:rsid w:val="0028419C"/>
    <w:rsid w:val="002E54C1"/>
    <w:rsid w:val="00325694"/>
    <w:rsid w:val="00364414"/>
    <w:rsid w:val="003B5302"/>
    <w:rsid w:val="003C0D3F"/>
    <w:rsid w:val="003D7845"/>
    <w:rsid w:val="003E3337"/>
    <w:rsid w:val="0040779F"/>
    <w:rsid w:val="00416A4E"/>
    <w:rsid w:val="00453E4B"/>
    <w:rsid w:val="004613DE"/>
    <w:rsid w:val="00462732"/>
    <w:rsid w:val="00473CC5"/>
    <w:rsid w:val="00481971"/>
    <w:rsid w:val="0048333A"/>
    <w:rsid w:val="004B442C"/>
    <w:rsid w:val="004E32B5"/>
    <w:rsid w:val="004F5317"/>
    <w:rsid w:val="005156B5"/>
    <w:rsid w:val="00525F18"/>
    <w:rsid w:val="00530846"/>
    <w:rsid w:val="0054308A"/>
    <w:rsid w:val="005A0D0A"/>
    <w:rsid w:val="005A4EC5"/>
    <w:rsid w:val="005A53D1"/>
    <w:rsid w:val="005B0C13"/>
    <w:rsid w:val="005B6427"/>
    <w:rsid w:val="005C0AD9"/>
    <w:rsid w:val="005F27AD"/>
    <w:rsid w:val="00630288"/>
    <w:rsid w:val="00663808"/>
    <w:rsid w:val="00697B0F"/>
    <w:rsid w:val="00697F4E"/>
    <w:rsid w:val="006F3A4E"/>
    <w:rsid w:val="00703268"/>
    <w:rsid w:val="00734128"/>
    <w:rsid w:val="00742009"/>
    <w:rsid w:val="007663C8"/>
    <w:rsid w:val="007735C3"/>
    <w:rsid w:val="00776F48"/>
    <w:rsid w:val="007C4AEC"/>
    <w:rsid w:val="007C526F"/>
    <w:rsid w:val="007D46F9"/>
    <w:rsid w:val="007E1C2F"/>
    <w:rsid w:val="007E2A23"/>
    <w:rsid w:val="008044FD"/>
    <w:rsid w:val="00827174"/>
    <w:rsid w:val="008336DE"/>
    <w:rsid w:val="0087137B"/>
    <w:rsid w:val="00876931"/>
    <w:rsid w:val="00893409"/>
    <w:rsid w:val="00897EE2"/>
    <w:rsid w:val="008B1E08"/>
    <w:rsid w:val="008C03C3"/>
    <w:rsid w:val="008C5A15"/>
    <w:rsid w:val="00911F40"/>
    <w:rsid w:val="00914BF5"/>
    <w:rsid w:val="009169E9"/>
    <w:rsid w:val="0092546C"/>
    <w:rsid w:val="00926E76"/>
    <w:rsid w:val="009576AC"/>
    <w:rsid w:val="0098436E"/>
    <w:rsid w:val="00991A1C"/>
    <w:rsid w:val="00995A9E"/>
    <w:rsid w:val="009D17A7"/>
    <w:rsid w:val="009D4EDC"/>
    <w:rsid w:val="009E45D2"/>
    <w:rsid w:val="00A0148B"/>
    <w:rsid w:val="00A01FAB"/>
    <w:rsid w:val="00A218A3"/>
    <w:rsid w:val="00A34173"/>
    <w:rsid w:val="00A447F6"/>
    <w:rsid w:val="00A847E1"/>
    <w:rsid w:val="00A9358C"/>
    <w:rsid w:val="00A977E0"/>
    <w:rsid w:val="00AB3B83"/>
    <w:rsid w:val="00AF4A4F"/>
    <w:rsid w:val="00B06745"/>
    <w:rsid w:val="00B15FEF"/>
    <w:rsid w:val="00B25F14"/>
    <w:rsid w:val="00B62F45"/>
    <w:rsid w:val="00B658DC"/>
    <w:rsid w:val="00B76E57"/>
    <w:rsid w:val="00B96B78"/>
    <w:rsid w:val="00B971B9"/>
    <w:rsid w:val="00BB40A8"/>
    <w:rsid w:val="00BE2870"/>
    <w:rsid w:val="00BE727A"/>
    <w:rsid w:val="00C00B77"/>
    <w:rsid w:val="00C03A9C"/>
    <w:rsid w:val="00C41576"/>
    <w:rsid w:val="00C51D3C"/>
    <w:rsid w:val="00C60B14"/>
    <w:rsid w:val="00C63604"/>
    <w:rsid w:val="00C64AF0"/>
    <w:rsid w:val="00C71D1C"/>
    <w:rsid w:val="00C81EF3"/>
    <w:rsid w:val="00C829A0"/>
    <w:rsid w:val="00CA348E"/>
    <w:rsid w:val="00CA4E8E"/>
    <w:rsid w:val="00CB1860"/>
    <w:rsid w:val="00CC2C55"/>
    <w:rsid w:val="00CF20A6"/>
    <w:rsid w:val="00CF347F"/>
    <w:rsid w:val="00CF395E"/>
    <w:rsid w:val="00D0332E"/>
    <w:rsid w:val="00D107EA"/>
    <w:rsid w:val="00D3211A"/>
    <w:rsid w:val="00D4637D"/>
    <w:rsid w:val="00D62C49"/>
    <w:rsid w:val="00D7667F"/>
    <w:rsid w:val="00D92907"/>
    <w:rsid w:val="00DE185E"/>
    <w:rsid w:val="00E1284E"/>
    <w:rsid w:val="00E221D1"/>
    <w:rsid w:val="00E26D6F"/>
    <w:rsid w:val="00E44554"/>
    <w:rsid w:val="00E52FDA"/>
    <w:rsid w:val="00E61AF0"/>
    <w:rsid w:val="00E72942"/>
    <w:rsid w:val="00E72F52"/>
    <w:rsid w:val="00E76606"/>
    <w:rsid w:val="00E823C2"/>
    <w:rsid w:val="00E86651"/>
    <w:rsid w:val="00EA4E01"/>
    <w:rsid w:val="00EB634A"/>
    <w:rsid w:val="00F1222E"/>
    <w:rsid w:val="00F456A5"/>
    <w:rsid w:val="00F54DEB"/>
    <w:rsid w:val="00F719E5"/>
    <w:rsid w:val="00F72FC5"/>
    <w:rsid w:val="00F9178A"/>
    <w:rsid w:val="00FB449C"/>
    <w:rsid w:val="00FD46CD"/>
    <w:rsid w:val="00FD4B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745"/>
    <w:rPr>
      <w:rFonts w:ascii="Tahoma" w:hAnsi="Tahoma" w:cs="Tahoma"/>
      <w:sz w:val="16"/>
      <w:szCs w:val="16"/>
    </w:rPr>
  </w:style>
  <w:style w:type="character" w:customStyle="1" w:styleId="BalloonTextChar">
    <w:name w:val="Balloon Text Char"/>
    <w:basedOn w:val="DefaultParagraphFont"/>
    <w:link w:val="BalloonText"/>
    <w:uiPriority w:val="99"/>
    <w:semiHidden/>
    <w:rsid w:val="00B0674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745"/>
    <w:rPr>
      <w:rFonts w:ascii="Tahoma" w:hAnsi="Tahoma" w:cs="Tahoma"/>
      <w:sz w:val="16"/>
      <w:szCs w:val="16"/>
    </w:rPr>
  </w:style>
  <w:style w:type="character" w:customStyle="1" w:styleId="BalloonTextChar">
    <w:name w:val="Balloon Text Char"/>
    <w:basedOn w:val="DefaultParagraphFont"/>
    <w:link w:val="BalloonText"/>
    <w:uiPriority w:val="99"/>
    <w:semiHidden/>
    <w:rsid w:val="00B0674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501189269">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61D5-99EC-4743-A3A1-479E0549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2</cp:revision>
  <cp:lastPrinted>2015-02-05T15:14:00Z</cp:lastPrinted>
  <dcterms:created xsi:type="dcterms:W3CDTF">2017-09-08T12:47:00Z</dcterms:created>
  <dcterms:modified xsi:type="dcterms:W3CDTF">2017-09-08T12:47:00Z</dcterms:modified>
</cp:coreProperties>
</file>