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8B" w:rsidRDefault="00B51AAE" w:rsidP="00B51AAE">
      <w:pPr>
        <w:rPr>
          <w:sz w:val="24"/>
          <w:u w:val="single"/>
        </w:rPr>
      </w:pPr>
      <w:r>
        <w:rPr>
          <w:rFonts w:ascii="Times New Roman" w:hAnsi="Times New Roman"/>
          <w:noProof/>
          <w:szCs w:val="24"/>
          <w:lang w:eastAsia="en-GB"/>
        </w:rPr>
        <w:drawing>
          <wp:anchor distT="0" distB="0" distL="114300" distR="114300" simplePos="0" relativeHeight="251661312" behindDoc="0" locked="0" layoutInCell="1" allowOverlap="1" wp14:anchorId="088569A6" wp14:editId="0132C78C">
            <wp:simplePos x="0" y="0"/>
            <wp:positionH relativeFrom="column">
              <wp:posOffset>4731385</wp:posOffset>
            </wp:positionH>
            <wp:positionV relativeFrom="paragraph">
              <wp:posOffset>233680</wp:posOffset>
            </wp:positionV>
            <wp:extent cx="1616075" cy="417195"/>
            <wp:effectExtent l="0" t="0" r="317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75"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eastAsia="en-GB"/>
        </w:rPr>
        <w:drawing>
          <wp:anchor distT="0" distB="0" distL="114300" distR="114300" simplePos="0" relativeHeight="251659264" behindDoc="0" locked="0" layoutInCell="1" allowOverlap="1" wp14:anchorId="141DE8DB" wp14:editId="5A7AC65E">
            <wp:simplePos x="0" y="0"/>
            <wp:positionH relativeFrom="column">
              <wp:posOffset>4693920</wp:posOffset>
            </wp:positionH>
            <wp:positionV relativeFrom="paragraph">
              <wp:posOffset>-215265</wp:posOffset>
            </wp:positionV>
            <wp:extent cx="1654810" cy="431800"/>
            <wp:effectExtent l="0" t="0" r="2540" b="6350"/>
            <wp:wrapNone/>
            <wp:docPr id="6" name="Picture 6" descr="Description: Description: 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SimpsonV\Desktop\North Lincolnshire CCG 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810" cy="431800"/>
                    </a:xfrm>
                    <a:prstGeom prst="rect">
                      <a:avLst/>
                    </a:prstGeom>
                    <a:noFill/>
                  </pic:spPr>
                </pic:pic>
              </a:graphicData>
            </a:graphic>
            <wp14:sizeRelH relativeFrom="page">
              <wp14:pctWidth>0</wp14:pctWidth>
            </wp14:sizeRelH>
            <wp14:sizeRelV relativeFrom="page">
              <wp14:pctHeight>0</wp14:pctHeight>
            </wp14:sizeRelV>
          </wp:anchor>
        </w:drawing>
      </w:r>
      <w:r w:rsidRPr="00263AF5">
        <w:rPr>
          <w:noProof/>
          <w:szCs w:val="24"/>
          <w:lang w:eastAsia="en-GB"/>
        </w:rPr>
        <w:drawing>
          <wp:inline distT="0" distB="0" distL="0" distR="0" wp14:anchorId="3318DAF4" wp14:editId="5B9499DB">
            <wp:extent cx="1857375" cy="895350"/>
            <wp:effectExtent l="0" t="0" r="9525" b="0"/>
            <wp:docPr id="5" name="Picture 5" descr="h1-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47" cy="899000"/>
                    </a:xfrm>
                    <a:prstGeom prst="rect">
                      <a:avLst/>
                    </a:prstGeom>
                    <a:noFill/>
                    <a:ln>
                      <a:noFill/>
                    </a:ln>
                  </pic:spPr>
                </pic:pic>
              </a:graphicData>
            </a:graphic>
          </wp:inline>
        </w:drawing>
      </w:r>
    </w:p>
    <w:p w:rsidR="00DA4D31" w:rsidRPr="005F31F1" w:rsidRDefault="00DA4D31" w:rsidP="00EA768B">
      <w:pPr>
        <w:jc w:val="center"/>
        <w:rPr>
          <w:sz w:val="24"/>
          <w:u w:val="single"/>
        </w:rPr>
      </w:pPr>
      <w:r w:rsidRPr="005F31F1">
        <w:rPr>
          <w:sz w:val="24"/>
          <w:u w:val="single"/>
        </w:rPr>
        <w:t>Healthy Lives, H</w:t>
      </w:r>
      <w:r w:rsidR="00DD6DFD" w:rsidRPr="005F31F1">
        <w:rPr>
          <w:sz w:val="24"/>
          <w:u w:val="single"/>
        </w:rPr>
        <w:t>ealthy Futures Monthly Report</w:t>
      </w:r>
    </w:p>
    <w:p w:rsidR="00DA4D31" w:rsidRDefault="00C60E9B" w:rsidP="00D2166A">
      <w:pPr>
        <w:rPr>
          <w:sz w:val="24"/>
        </w:rPr>
      </w:pPr>
      <w:bookmarkStart w:id="0" w:name="_GoBack"/>
      <w:bookmarkEnd w:id="0"/>
      <w:r>
        <w:rPr>
          <w:sz w:val="24"/>
        </w:rPr>
        <w:t>This report presents information which is drawn from the HLHF reporting process, which is currently under development. Information contained within t</w:t>
      </w:r>
      <w:r w:rsidR="00D2166A">
        <w:rPr>
          <w:sz w:val="24"/>
        </w:rPr>
        <w:t xml:space="preserve">he report to the board (and the presentation of information) will be updated as the process is refined.  </w:t>
      </w:r>
    </w:p>
    <w:p w:rsidR="00DA4D31" w:rsidRDefault="004702FB"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t>Programme Progress Report</w:t>
      </w:r>
    </w:p>
    <w:p w:rsidR="00654BC6" w:rsidRPr="00654BC6" w:rsidRDefault="00654BC6" w:rsidP="00654BC6">
      <w:pPr>
        <w:pStyle w:val="ListParagraph"/>
        <w:rPr>
          <w:rFonts w:asciiTheme="minorHAnsi" w:hAnsiTheme="minorHAnsi" w:cstheme="minorHAnsi"/>
          <w:u w:val="single"/>
        </w:rPr>
      </w:pPr>
    </w:p>
    <w:tbl>
      <w:tblPr>
        <w:tblStyle w:val="LightGrid-Accent1"/>
        <w:tblW w:w="0" w:type="auto"/>
        <w:tblLook w:val="04A0" w:firstRow="1" w:lastRow="0" w:firstColumn="1" w:lastColumn="0" w:noHBand="0" w:noVBand="1"/>
      </w:tblPr>
      <w:tblGrid>
        <w:gridCol w:w="5341"/>
        <w:gridCol w:w="5341"/>
      </w:tblGrid>
      <w:tr w:rsidR="00813983" w:rsidTr="00813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813983" w:rsidRPr="00813983" w:rsidRDefault="00813983" w:rsidP="00813983">
            <w:pPr>
              <w:jc w:val="center"/>
              <w:rPr>
                <w:rFonts w:asciiTheme="minorHAnsi" w:hAnsiTheme="minorHAnsi" w:cstheme="minorHAnsi"/>
                <w:sz w:val="24"/>
              </w:rPr>
            </w:pPr>
            <w:r w:rsidRPr="00813983">
              <w:rPr>
                <w:rFonts w:asciiTheme="minorHAnsi" w:hAnsiTheme="minorHAnsi" w:cstheme="minorHAnsi"/>
                <w:sz w:val="24"/>
              </w:rPr>
              <w:t>Key Accomplishments since last report</w:t>
            </w:r>
          </w:p>
        </w:tc>
        <w:tc>
          <w:tcPr>
            <w:tcW w:w="5341" w:type="dxa"/>
          </w:tcPr>
          <w:p w:rsidR="00813983" w:rsidRPr="00813983" w:rsidRDefault="00813983" w:rsidP="0081398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813983">
              <w:rPr>
                <w:rFonts w:asciiTheme="minorHAnsi" w:hAnsiTheme="minorHAnsi" w:cstheme="minorHAnsi"/>
                <w:sz w:val="24"/>
              </w:rPr>
              <w:t>Upcoming Activities</w:t>
            </w:r>
          </w:p>
        </w:tc>
      </w:tr>
      <w:tr w:rsidR="00813983" w:rsidTr="00813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813983" w:rsidRPr="00813983" w:rsidRDefault="00813983" w:rsidP="00813983">
            <w:pPr>
              <w:pStyle w:val="ListParagraph"/>
              <w:numPr>
                <w:ilvl w:val="0"/>
                <w:numId w:val="4"/>
              </w:numPr>
              <w:rPr>
                <w:rFonts w:asciiTheme="minorHAnsi" w:hAnsiTheme="minorHAnsi" w:cstheme="minorHAnsi"/>
              </w:rPr>
            </w:pPr>
            <w:r w:rsidRPr="00813983">
              <w:rPr>
                <w:rFonts w:asciiTheme="minorHAnsi" w:hAnsiTheme="minorHAnsi" w:cstheme="minorHAnsi"/>
              </w:rPr>
              <w:t xml:space="preserve">Clinical MOU signed off </w:t>
            </w:r>
            <w:r w:rsidRPr="00813983">
              <w:rPr>
                <w:rFonts w:asciiTheme="minorHAnsi" w:hAnsiTheme="minorHAnsi"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p>
          <w:p w:rsidR="00813983" w:rsidRDefault="00813983" w:rsidP="00813983">
            <w:pPr>
              <w:pStyle w:val="ListParagraph"/>
              <w:numPr>
                <w:ilvl w:val="0"/>
                <w:numId w:val="4"/>
              </w:numPr>
              <w:rPr>
                <w:rFonts w:asciiTheme="minorHAnsi" w:hAnsiTheme="minorHAnsi" w:cstheme="minorHAnsi"/>
              </w:rPr>
            </w:pPr>
            <w:r>
              <w:rPr>
                <w:rFonts w:asciiTheme="minorHAnsi" w:hAnsiTheme="minorHAnsi" w:cstheme="minorHAnsi"/>
              </w:rPr>
              <w:t>Estates Workshop</w:t>
            </w:r>
            <w:r w:rsidRPr="00813983">
              <w:rPr>
                <w:rFonts w:asciiTheme="minorHAnsi" w:hAnsiTheme="minorHAnsi" w:cstheme="minorHAnsi"/>
              </w:rPr>
              <w:t xml:space="preserve"> </w:t>
            </w:r>
            <w:r>
              <w:rPr>
                <w:rFonts w:asciiTheme="minorHAnsi" w:hAnsiTheme="minorHAnsi" w:cstheme="minorHAnsi"/>
              </w:rPr>
              <w:t>–</w:t>
            </w:r>
            <w:r w:rsidRPr="00813983">
              <w:rPr>
                <w:rFonts w:asciiTheme="minorHAnsi" w:hAnsiTheme="minorHAnsi" w:cstheme="minorHAnsi"/>
              </w:rPr>
              <w:t xml:space="preserve"> Mapping</w:t>
            </w:r>
            <w:r>
              <w:rPr>
                <w:rFonts w:asciiTheme="minorHAnsi" w:hAnsiTheme="minorHAnsi" w:cstheme="minorHAnsi"/>
              </w:rPr>
              <w:t xml:space="preserve"> Underway </w:t>
            </w:r>
          </w:p>
          <w:p w:rsidR="00813983" w:rsidRPr="00813983" w:rsidRDefault="00813983" w:rsidP="00813983">
            <w:pPr>
              <w:rPr>
                <w:rFonts w:asciiTheme="minorHAnsi" w:hAnsiTheme="minorHAnsi" w:cstheme="minorHAnsi"/>
              </w:rPr>
            </w:pP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p>
          <w:p w:rsidR="00813983" w:rsidRDefault="00813983" w:rsidP="00813983">
            <w:pPr>
              <w:pStyle w:val="ListParagraph"/>
              <w:numPr>
                <w:ilvl w:val="0"/>
                <w:numId w:val="4"/>
              </w:numPr>
              <w:rPr>
                <w:rFonts w:asciiTheme="minorHAnsi" w:hAnsiTheme="minorHAnsi" w:cstheme="minorHAnsi"/>
              </w:rPr>
            </w:pPr>
            <w:r>
              <w:rPr>
                <w:rFonts w:asciiTheme="minorHAnsi" w:hAnsiTheme="minorHAnsi" w:cstheme="minorHAnsi"/>
              </w:rPr>
              <w:t>A</w:t>
            </w:r>
            <w:r w:rsidRPr="00813983">
              <w:rPr>
                <w:rFonts w:asciiTheme="minorHAnsi" w:hAnsiTheme="minorHAnsi" w:cstheme="minorHAnsi"/>
              </w:rPr>
              <w:t xml:space="preserve">pproach agreed to support workforce workstream </w:t>
            </w:r>
          </w:p>
          <w:p w:rsidR="00813983" w:rsidRPr="00813983" w:rsidRDefault="00813983" w:rsidP="00813983">
            <w:pPr>
              <w:rPr>
                <w:rFonts w:asciiTheme="minorHAnsi" w:hAnsiTheme="minorHAnsi" w:cstheme="minorHAnsi"/>
              </w:rPr>
            </w:pP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p>
          <w:p w:rsidR="00813983" w:rsidRPr="00813983" w:rsidRDefault="00813983" w:rsidP="00813983">
            <w:pPr>
              <w:pStyle w:val="ListParagraph"/>
              <w:numPr>
                <w:ilvl w:val="0"/>
                <w:numId w:val="4"/>
              </w:numPr>
              <w:rPr>
                <w:rFonts w:asciiTheme="minorHAnsi" w:hAnsiTheme="minorHAnsi" w:cstheme="minorHAnsi"/>
              </w:rPr>
            </w:pPr>
            <w:r>
              <w:rPr>
                <w:rFonts w:asciiTheme="minorHAnsi" w:hAnsiTheme="minorHAnsi" w:cstheme="minorHAnsi"/>
              </w:rPr>
              <w:t xml:space="preserve">Review of </w:t>
            </w:r>
            <w:r>
              <w:rPr>
                <w:rFonts w:asciiTheme="minorHAnsi" w:hAnsiTheme="minorHAnsi" w:cstheme="minorHAnsi"/>
              </w:rPr>
              <w:tab/>
              <w:t xml:space="preserve">HLHF governance by PMO </w:t>
            </w:r>
            <w:r>
              <w:rPr>
                <w:rFonts w:asciiTheme="minorHAnsi" w:hAnsiTheme="minorHAnsi"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r w:rsidRPr="00813983">
              <w:rPr>
                <w:rFonts w:eastAsiaTheme="majorEastAsia" w:cstheme="minorHAnsi"/>
              </w:rPr>
              <w:tab/>
            </w:r>
          </w:p>
          <w:p w:rsidR="00813983" w:rsidRPr="00813983" w:rsidRDefault="00813983" w:rsidP="00813983">
            <w:pPr>
              <w:pStyle w:val="ListParagraph"/>
              <w:numPr>
                <w:ilvl w:val="0"/>
                <w:numId w:val="4"/>
              </w:numPr>
              <w:rPr>
                <w:rFonts w:asciiTheme="minorHAnsi" w:hAnsiTheme="minorHAnsi" w:cstheme="minorHAnsi"/>
              </w:rPr>
            </w:pPr>
            <w:r>
              <w:rPr>
                <w:rFonts w:asciiTheme="minorHAnsi" w:hAnsiTheme="minorHAnsi" w:cstheme="minorHAnsi"/>
              </w:rPr>
              <w:t xml:space="preserve">Process agreed to align quality lead to Planning and Resource Group work </w:t>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r w:rsidRPr="00813983">
              <w:rPr>
                <w:rFonts w:asciiTheme="minorHAnsi" w:hAnsiTheme="minorHAnsi" w:cstheme="minorHAnsi"/>
              </w:rPr>
              <w:tab/>
            </w:r>
          </w:p>
          <w:p w:rsidR="00813983" w:rsidRPr="00813983" w:rsidRDefault="00813983" w:rsidP="00813983">
            <w:pPr>
              <w:pStyle w:val="ListParagraph"/>
              <w:numPr>
                <w:ilvl w:val="0"/>
                <w:numId w:val="4"/>
              </w:numPr>
              <w:rPr>
                <w:rFonts w:asciiTheme="minorHAnsi" w:hAnsiTheme="minorHAnsi" w:cstheme="minorHAnsi"/>
                <w:u w:val="single"/>
              </w:rPr>
            </w:pPr>
            <w:r w:rsidRPr="00813983">
              <w:rPr>
                <w:rFonts w:asciiTheme="minorHAnsi" w:hAnsiTheme="minorHAnsi" w:cstheme="minorHAnsi"/>
              </w:rPr>
              <w:t xml:space="preserve">Draft narrative slides produced for public audience </w:t>
            </w:r>
            <w:r w:rsidRPr="00813983">
              <w:rPr>
                <w:rFonts w:asciiTheme="minorHAnsi" w:hAnsiTheme="minorHAnsi" w:cstheme="minorHAnsi"/>
              </w:rPr>
              <w:tab/>
            </w:r>
          </w:p>
          <w:p w:rsidR="00813983" w:rsidRPr="00813983" w:rsidRDefault="00813983" w:rsidP="00813983">
            <w:pPr>
              <w:pStyle w:val="ListParagraph"/>
              <w:ind w:left="360"/>
              <w:rPr>
                <w:rFonts w:asciiTheme="minorHAnsi" w:hAnsiTheme="minorHAnsi" w:cstheme="minorHAnsi"/>
                <w:u w:val="single"/>
              </w:rPr>
            </w:pPr>
            <w:r w:rsidRPr="00813983">
              <w:rPr>
                <w:rFonts w:asciiTheme="minorHAnsi" w:hAnsiTheme="minorHAnsi" w:cstheme="minorHAnsi"/>
              </w:rPr>
              <w:tab/>
            </w:r>
            <w:r w:rsidRPr="00813983">
              <w:rPr>
                <w:rFonts w:asciiTheme="minorHAnsi" w:hAnsiTheme="minorHAnsi" w:cstheme="minorHAnsi"/>
              </w:rPr>
              <w:tab/>
            </w:r>
          </w:p>
          <w:p w:rsidR="00813983" w:rsidRPr="00813983" w:rsidRDefault="00813983" w:rsidP="00813983">
            <w:pPr>
              <w:pStyle w:val="ListParagraph"/>
              <w:numPr>
                <w:ilvl w:val="0"/>
                <w:numId w:val="4"/>
              </w:numPr>
              <w:rPr>
                <w:rFonts w:asciiTheme="minorHAnsi" w:hAnsiTheme="minorHAnsi" w:cstheme="minorHAnsi"/>
                <w:u w:val="single"/>
              </w:rPr>
            </w:pPr>
            <w:r>
              <w:rPr>
                <w:rFonts w:asciiTheme="minorHAnsi" w:hAnsiTheme="minorHAnsi" w:cstheme="minorHAnsi"/>
              </w:rPr>
              <w:t>HLHF system wide workshop 3</w:t>
            </w:r>
            <w:r w:rsidRPr="00813983">
              <w:rPr>
                <w:rFonts w:asciiTheme="minorHAnsi" w:hAnsiTheme="minorHAnsi" w:cstheme="minorHAnsi"/>
                <w:vertAlign w:val="superscript"/>
              </w:rPr>
              <w:t>rd</w:t>
            </w:r>
            <w:r>
              <w:rPr>
                <w:rFonts w:asciiTheme="minorHAnsi" w:hAnsiTheme="minorHAnsi" w:cstheme="minorHAnsi"/>
              </w:rPr>
              <w:t xml:space="preserve"> September </w:t>
            </w:r>
          </w:p>
          <w:p w:rsidR="00813983" w:rsidRPr="00813983" w:rsidRDefault="00813983" w:rsidP="00813983">
            <w:pPr>
              <w:rPr>
                <w:rFonts w:asciiTheme="minorHAnsi" w:hAnsiTheme="minorHAnsi" w:cstheme="minorHAnsi"/>
                <w:u w:val="single"/>
              </w:rPr>
            </w:pPr>
          </w:p>
          <w:p w:rsidR="00813983" w:rsidRPr="00813983" w:rsidRDefault="00813983" w:rsidP="00813983">
            <w:pPr>
              <w:pStyle w:val="ListParagraph"/>
              <w:numPr>
                <w:ilvl w:val="0"/>
                <w:numId w:val="4"/>
              </w:numPr>
              <w:rPr>
                <w:rFonts w:asciiTheme="minorHAnsi" w:hAnsiTheme="minorHAnsi" w:cstheme="minorHAnsi"/>
                <w:u w:val="single"/>
              </w:rPr>
            </w:pPr>
            <w:r>
              <w:rPr>
                <w:rFonts w:asciiTheme="minorHAnsi" w:hAnsiTheme="minorHAnsi" w:cstheme="minorHAnsi"/>
              </w:rPr>
              <w:t>Finance/contracting “lock in” session to agree community finance position and action  required post September</w:t>
            </w:r>
            <w:r w:rsidRPr="00813983">
              <w:rPr>
                <w:rFonts w:asciiTheme="minorHAnsi" w:hAnsiTheme="minorHAnsi" w:cstheme="minorHAnsi"/>
              </w:rPr>
              <w:tab/>
            </w:r>
            <w:r w:rsidRPr="00813983">
              <w:rPr>
                <w:rFonts w:asciiTheme="minorHAnsi" w:hAnsiTheme="minorHAnsi" w:cstheme="minorHAnsi"/>
              </w:rPr>
              <w:tab/>
            </w:r>
          </w:p>
        </w:tc>
        <w:tc>
          <w:tcPr>
            <w:tcW w:w="5341" w:type="dxa"/>
          </w:tcPr>
          <w:p w:rsidR="00813983"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86619">
              <w:rPr>
                <w:rFonts w:asciiTheme="minorHAnsi" w:hAnsiTheme="minorHAnsi" w:cstheme="minorHAnsi"/>
                <w:b/>
              </w:rPr>
              <w:t>Work to refine out of hospital</w:t>
            </w:r>
            <w:r>
              <w:rPr>
                <w:rFonts w:asciiTheme="minorHAnsi" w:hAnsiTheme="minorHAnsi" w:cstheme="minorHAnsi"/>
                <w:b/>
              </w:rPr>
              <w:t xml:space="preserve"> service</w:t>
            </w:r>
            <w:r w:rsidRPr="00486619">
              <w:rPr>
                <w:rFonts w:asciiTheme="minorHAnsi" w:hAnsiTheme="minorHAnsi" w:cstheme="minorHAnsi"/>
                <w:b/>
              </w:rPr>
              <w:t xml:space="preserve"> models </w:t>
            </w:r>
            <w:r>
              <w:rPr>
                <w:rFonts w:asciiTheme="minorHAnsi" w:hAnsiTheme="minorHAnsi" w:cstheme="minorHAnsi"/>
                <w:b/>
              </w:rPr>
              <w:t>and align with in hospital model</w:t>
            </w:r>
          </w:p>
          <w:p w:rsidR="00486619" w:rsidRDefault="00486619" w:rsidP="00486619">
            <w:pPr>
              <w:cnfStyle w:val="000000100000" w:firstRow="0" w:lastRow="0" w:firstColumn="0" w:lastColumn="0" w:oddVBand="0" w:evenVBand="0" w:oddHBand="1" w:evenHBand="0" w:firstRowFirstColumn="0" w:firstRowLastColumn="0" w:lastRowFirstColumn="0" w:lastRowLastColumn="0"/>
              <w:rPr>
                <w:rFonts w:cstheme="minorHAnsi"/>
                <w:b/>
              </w:rPr>
            </w:pPr>
          </w:p>
          <w:p w:rsidR="00486619" w:rsidRPr="00486619"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86619">
              <w:rPr>
                <w:rFonts w:asciiTheme="minorHAnsi" w:hAnsiTheme="minorHAnsi" w:cstheme="minorHAnsi"/>
                <w:b/>
              </w:rPr>
              <w:t>Out of hospital “proof of concepts” to go live Oct/Nov</w:t>
            </w:r>
          </w:p>
          <w:p w:rsidR="00486619" w:rsidRPr="00486619" w:rsidRDefault="00486619" w:rsidP="00486619">
            <w:pPr>
              <w:cnfStyle w:val="000000100000" w:firstRow="0" w:lastRow="0" w:firstColumn="0" w:lastColumn="0" w:oddVBand="0" w:evenVBand="0" w:oddHBand="1" w:evenHBand="0" w:firstRowFirstColumn="0" w:firstRowLastColumn="0" w:lastRowFirstColumn="0" w:lastRowLastColumn="0"/>
              <w:rPr>
                <w:rFonts w:cstheme="minorHAnsi"/>
                <w:b/>
              </w:rPr>
            </w:pPr>
          </w:p>
          <w:p w:rsidR="00486619" w:rsidRPr="00486619"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86619">
              <w:rPr>
                <w:rFonts w:asciiTheme="minorHAnsi" w:hAnsiTheme="minorHAnsi" w:cstheme="minorHAnsi"/>
                <w:b/>
              </w:rPr>
              <w:t xml:space="preserve">Refresh community finance plan </w:t>
            </w:r>
          </w:p>
          <w:p w:rsidR="00486619" w:rsidRPr="00486619" w:rsidRDefault="00486619" w:rsidP="00486619">
            <w:pPr>
              <w:cnfStyle w:val="000000100000" w:firstRow="0" w:lastRow="0" w:firstColumn="0" w:lastColumn="0" w:oddVBand="0" w:evenVBand="0" w:oddHBand="1" w:evenHBand="0" w:firstRowFirstColumn="0" w:firstRowLastColumn="0" w:lastRowFirstColumn="0" w:lastRowLastColumn="0"/>
              <w:rPr>
                <w:rFonts w:cstheme="minorHAnsi"/>
                <w:b/>
              </w:rPr>
            </w:pPr>
          </w:p>
          <w:p w:rsidR="00486619"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86619">
              <w:rPr>
                <w:rFonts w:asciiTheme="minorHAnsi" w:hAnsiTheme="minorHAnsi" w:cstheme="minorHAnsi"/>
                <w:b/>
              </w:rPr>
              <w:t xml:space="preserve">Review of HLHF risk management process </w:t>
            </w:r>
          </w:p>
          <w:p w:rsidR="00486619" w:rsidRPr="00486619" w:rsidRDefault="00486619" w:rsidP="0048661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rsidR="00486619" w:rsidRPr="00486619"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Define key HLHF objectives and indicators in terms of quality and sustainability  </w:t>
            </w:r>
          </w:p>
          <w:p w:rsidR="00486619" w:rsidRPr="00486619" w:rsidRDefault="00486619" w:rsidP="00486619">
            <w:pPr>
              <w:cnfStyle w:val="000000100000" w:firstRow="0" w:lastRow="0" w:firstColumn="0" w:lastColumn="0" w:oddVBand="0" w:evenVBand="0" w:oddHBand="1" w:evenHBand="0" w:firstRowFirstColumn="0" w:firstRowLastColumn="0" w:lastRowFirstColumn="0" w:lastRowLastColumn="0"/>
              <w:rPr>
                <w:rFonts w:cstheme="minorHAnsi"/>
                <w:b/>
              </w:rPr>
            </w:pPr>
          </w:p>
          <w:p w:rsidR="00486619"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86619">
              <w:rPr>
                <w:rFonts w:asciiTheme="minorHAnsi" w:hAnsiTheme="minorHAnsi" w:cstheme="minorHAnsi"/>
                <w:b/>
              </w:rPr>
              <w:t xml:space="preserve">Refine marketing comms and engagement dashboard </w:t>
            </w:r>
          </w:p>
          <w:p w:rsidR="00486619" w:rsidRPr="00486619" w:rsidRDefault="00486619" w:rsidP="00486619">
            <w:pPr>
              <w:cnfStyle w:val="000000100000" w:firstRow="0" w:lastRow="0" w:firstColumn="0" w:lastColumn="0" w:oddVBand="0" w:evenVBand="0" w:oddHBand="1" w:evenHBand="0" w:firstRowFirstColumn="0" w:firstRowLastColumn="0" w:lastRowFirstColumn="0" w:lastRowLastColumn="0"/>
              <w:rPr>
                <w:rFonts w:cstheme="minorHAnsi"/>
                <w:b/>
              </w:rPr>
            </w:pPr>
          </w:p>
          <w:p w:rsidR="00486619"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86619">
              <w:rPr>
                <w:rFonts w:asciiTheme="minorHAnsi" w:hAnsiTheme="minorHAnsi" w:cstheme="minorHAnsi"/>
                <w:b/>
              </w:rPr>
              <w:t xml:space="preserve">Work to develop HLHF brand, website and messaging </w:t>
            </w:r>
          </w:p>
          <w:p w:rsidR="00486619" w:rsidRPr="00486619" w:rsidRDefault="00486619" w:rsidP="0048661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rsidR="00486619" w:rsidRDefault="00486619" w:rsidP="0048661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Develop workforce and OD plans</w:t>
            </w:r>
          </w:p>
          <w:p w:rsidR="00486619" w:rsidRPr="00486619" w:rsidRDefault="00486619" w:rsidP="00486619">
            <w:pPr>
              <w:cnfStyle w:val="000000100000" w:firstRow="0" w:lastRow="0" w:firstColumn="0" w:lastColumn="0" w:oddVBand="0" w:evenVBand="0" w:oddHBand="1" w:evenHBand="0" w:firstRowFirstColumn="0" w:firstRowLastColumn="0" w:lastRowFirstColumn="0" w:lastRowLastColumn="0"/>
              <w:rPr>
                <w:rFonts w:cstheme="minorHAnsi"/>
                <w:b/>
              </w:rPr>
            </w:pPr>
          </w:p>
          <w:p w:rsidR="00486619" w:rsidRPr="00486619" w:rsidRDefault="00486619" w:rsidP="00486619">
            <w:pPr>
              <w:cnfStyle w:val="000000100000" w:firstRow="0" w:lastRow="0" w:firstColumn="0" w:lastColumn="0" w:oddVBand="0" w:evenVBand="0" w:oddHBand="1" w:evenHBand="0" w:firstRowFirstColumn="0" w:firstRowLastColumn="0" w:lastRowFirstColumn="0" w:lastRowLastColumn="0"/>
              <w:rPr>
                <w:rFonts w:cstheme="minorHAnsi"/>
                <w:u w:val="single"/>
              </w:rPr>
            </w:pPr>
          </w:p>
        </w:tc>
      </w:tr>
    </w:tbl>
    <w:p w:rsidR="00C21DF4" w:rsidRDefault="00C21DF4" w:rsidP="00DA4D31">
      <w:pPr>
        <w:rPr>
          <w:sz w:val="24"/>
          <w:u w:val="single"/>
        </w:rPr>
      </w:pPr>
    </w:p>
    <w:p w:rsidR="00C21DF4" w:rsidRPr="00654BC6" w:rsidRDefault="00C21DF4" w:rsidP="00654BC6">
      <w:pPr>
        <w:pStyle w:val="ListParagraph"/>
        <w:numPr>
          <w:ilvl w:val="0"/>
          <w:numId w:val="2"/>
        </w:numPr>
        <w:rPr>
          <w:rFonts w:asciiTheme="minorHAnsi" w:hAnsiTheme="minorHAnsi" w:cstheme="minorHAnsi"/>
          <w:u w:val="single"/>
        </w:rPr>
      </w:pPr>
      <w:r w:rsidRPr="00654BC6">
        <w:rPr>
          <w:rFonts w:asciiTheme="minorHAnsi" w:hAnsiTheme="minorHAnsi" w:cstheme="minorHAnsi"/>
          <w:u w:val="single"/>
        </w:rPr>
        <w:t xml:space="preserve">Programme Overview </w:t>
      </w:r>
    </w:p>
    <w:p w:rsidR="007A515F" w:rsidRDefault="007A515F" w:rsidP="007A515F">
      <w:pPr>
        <w:rPr>
          <w:u w:val="single"/>
        </w:rPr>
      </w:pPr>
    </w:p>
    <w:p w:rsidR="007A515F" w:rsidRPr="00FB53E7" w:rsidRDefault="00FB53E7" w:rsidP="007A515F">
      <w:r w:rsidRPr="00FB53E7">
        <w:t>The table below shows the total number of schemes due to be implemented in 2015/16 that are being tracked by the HLHF programme</w:t>
      </w:r>
      <w:r w:rsidR="000E0750">
        <w:t xml:space="preserve">. The programme board are currently working on “pipeline planning” for years 2-5. </w:t>
      </w:r>
    </w:p>
    <w:p w:rsidR="007A515F" w:rsidRPr="00654BC6" w:rsidRDefault="007A515F" w:rsidP="00654BC6">
      <w:pPr>
        <w:pStyle w:val="ListParagraph"/>
        <w:rPr>
          <w:u w:val="single"/>
        </w:rPr>
      </w:pPr>
    </w:p>
    <w:tbl>
      <w:tblPr>
        <w:tblStyle w:val="LightGrid-Accent1"/>
        <w:tblW w:w="10740" w:type="dxa"/>
        <w:tblLook w:val="04A0" w:firstRow="1" w:lastRow="0" w:firstColumn="1" w:lastColumn="0" w:noHBand="0" w:noVBand="1"/>
      </w:tblPr>
      <w:tblGrid>
        <w:gridCol w:w="1754"/>
        <w:gridCol w:w="2215"/>
        <w:gridCol w:w="1985"/>
        <w:gridCol w:w="1843"/>
        <w:gridCol w:w="2943"/>
      </w:tblGrid>
      <w:tr w:rsidR="007A1026" w:rsidRPr="000E0750" w:rsidTr="000E0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rsidR="007A1026" w:rsidRPr="000E0750" w:rsidRDefault="007A1026" w:rsidP="00EA0FDB">
            <w:pPr>
              <w:rPr>
                <w:rFonts w:asciiTheme="minorHAnsi" w:hAnsiTheme="minorHAnsi" w:cstheme="minorHAnsi"/>
              </w:rPr>
            </w:pPr>
            <w:r w:rsidRPr="000E0750">
              <w:rPr>
                <w:rFonts w:asciiTheme="minorHAnsi" w:hAnsiTheme="minorHAnsi" w:cstheme="minorHAnsi"/>
              </w:rPr>
              <w:t xml:space="preserve">Total Number of HLHF schemes </w:t>
            </w:r>
          </w:p>
        </w:tc>
        <w:tc>
          <w:tcPr>
            <w:tcW w:w="2215"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NEL CCG Lead organisation </w:t>
            </w:r>
          </w:p>
        </w:tc>
        <w:tc>
          <w:tcPr>
            <w:tcW w:w="1985"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NL CCG lead organisation </w:t>
            </w:r>
          </w:p>
        </w:tc>
        <w:tc>
          <w:tcPr>
            <w:tcW w:w="1843"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NLaG lead organisation  </w:t>
            </w:r>
          </w:p>
        </w:tc>
        <w:tc>
          <w:tcPr>
            <w:tcW w:w="2943"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Jointly led </w:t>
            </w:r>
          </w:p>
        </w:tc>
      </w:tr>
      <w:tr w:rsidR="007A1026" w:rsidRPr="000E0750" w:rsidTr="000E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rsidR="007A1026" w:rsidRPr="000E0750" w:rsidRDefault="00FA75B1" w:rsidP="00EA0FDB">
            <w:pPr>
              <w:rPr>
                <w:rFonts w:asciiTheme="minorHAnsi" w:hAnsiTheme="minorHAnsi" w:cstheme="minorHAnsi"/>
              </w:rPr>
            </w:pPr>
            <w:r>
              <w:rPr>
                <w:rFonts w:asciiTheme="minorHAnsi" w:hAnsiTheme="minorHAnsi" w:cstheme="minorHAnsi"/>
              </w:rPr>
              <w:t>40</w:t>
            </w:r>
          </w:p>
        </w:tc>
        <w:tc>
          <w:tcPr>
            <w:tcW w:w="2215" w:type="dxa"/>
          </w:tcPr>
          <w:p w:rsidR="007A1026" w:rsidRPr="000E0750" w:rsidRDefault="009C1A4D" w:rsidP="00EA0FD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w:t>
            </w:r>
          </w:p>
        </w:tc>
        <w:tc>
          <w:tcPr>
            <w:tcW w:w="1985" w:type="dxa"/>
          </w:tcPr>
          <w:p w:rsidR="007A1026" w:rsidRPr="000E0750" w:rsidRDefault="00FA75B1" w:rsidP="00EA0FD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w:t>
            </w:r>
          </w:p>
        </w:tc>
        <w:tc>
          <w:tcPr>
            <w:tcW w:w="1843" w:type="dxa"/>
          </w:tcPr>
          <w:p w:rsidR="007A1026" w:rsidRPr="000E0750" w:rsidRDefault="009C1A4D" w:rsidP="00EA0FD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w:t>
            </w:r>
          </w:p>
        </w:tc>
        <w:tc>
          <w:tcPr>
            <w:tcW w:w="2943" w:type="dxa"/>
          </w:tcPr>
          <w:p w:rsidR="007A1026" w:rsidRPr="000E0750" w:rsidRDefault="007A1026" w:rsidP="00EA0FDB">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1</w:t>
            </w:r>
          </w:p>
        </w:tc>
      </w:tr>
    </w:tbl>
    <w:p w:rsidR="00C21DF4" w:rsidRPr="000E0750" w:rsidRDefault="00C21DF4" w:rsidP="00DA4D31">
      <w:pPr>
        <w:rPr>
          <w:u w:val="single"/>
        </w:rPr>
      </w:pPr>
    </w:p>
    <w:p w:rsidR="00304D36" w:rsidRDefault="00304D36" w:rsidP="00DA4D31">
      <w:pPr>
        <w:rPr>
          <w:sz w:val="24"/>
        </w:rPr>
      </w:pPr>
    </w:p>
    <w:p w:rsidR="00A87537" w:rsidRDefault="00A87537" w:rsidP="00DA4D31">
      <w:pPr>
        <w:rPr>
          <w:sz w:val="24"/>
        </w:rPr>
      </w:pPr>
      <w:r>
        <w:rPr>
          <w:sz w:val="24"/>
        </w:rPr>
        <w:lastRenderedPageBreak/>
        <w:t>All HLHF schemes are monitored on a gateway system via the HLHF scheme tracker to indicate project progress. A breakdown of the ga</w:t>
      </w:r>
      <w:r w:rsidR="00CE220B">
        <w:rPr>
          <w:sz w:val="24"/>
        </w:rPr>
        <w:t>teway system a</w:t>
      </w:r>
      <w:r w:rsidR="007A515F">
        <w:rPr>
          <w:sz w:val="24"/>
        </w:rPr>
        <w:t>nd the number of schemes currently sitting in</w:t>
      </w:r>
      <w:r w:rsidR="00CE220B">
        <w:rPr>
          <w:sz w:val="24"/>
        </w:rPr>
        <w:t xml:space="preserve"> each gateway </w:t>
      </w:r>
      <w:r>
        <w:rPr>
          <w:sz w:val="24"/>
        </w:rPr>
        <w:t xml:space="preserve">for all HLHF schemes can be seen below: </w:t>
      </w:r>
    </w:p>
    <w:p w:rsidR="00A87537" w:rsidRDefault="00EA768B" w:rsidP="00DA4D31">
      <w:pPr>
        <w:rPr>
          <w:sz w:val="24"/>
          <w:u w:val="single"/>
        </w:rPr>
      </w:pPr>
      <w:r>
        <w:rPr>
          <w:sz w:val="24"/>
          <w:u w:val="single"/>
        </w:rPr>
        <w:t>Gateway Status (No of Projects in each Gateway)</w:t>
      </w:r>
    </w:p>
    <w:p w:rsidR="00EA768B" w:rsidRDefault="00FA75B1" w:rsidP="00DA4D31">
      <w:pPr>
        <w:rPr>
          <w:noProof/>
          <w:lang w:eastAsia="en-GB"/>
        </w:rPr>
      </w:pPr>
      <w:r>
        <w:rPr>
          <w:noProof/>
          <w:lang w:eastAsia="en-GB"/>
        </w:rPr>
        <w:drawing>
          <wp:inline distT="0" distB="0" distL="0" distR="0" wp14:anchorId="427490E9" wp14:editId="1B5CAAC0">
            <wp:extent cx="6743700" cy="20002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1122" w:rsidRDefault="002F1122" w:rsidP="00DA4D31">
      <w:pPr>
        <w:rPr>
          <w:sz w:val="24"/>
        </w:rPr>
      </w:pPr>
    </w:p>
    <w:p w:rsidR="00DD6DFD" w:rsidRDefault="004702FB"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t xml:space="preserve">North East Lincolnshire Transformational Schemes </w:t>
      </w:r>
    </w:p>
    <w:p w:rsidR="004702FB" w:rsidRDefault="004702FB" w:rsidP="004702FB">
      <w:pPr>
        <w:rPr>
          <w:rFonts w:cstheme="minorHAnsi"/>
          <w:u w:val="single"/>
        </w:rPr>
      </w:pPr>
    </w:p>
    <w:p w:rsidR="00F96FF3" w:rsidRDefault="00F96FF3" w:rsidP="004702FB">
      <w:pPr>
        <w:rPr>
          <w:rFonts w:cstheme="minorHAnsi"/>
        </w:rPr>
      </w:pPr>
      <w:r>
        <w:rPr>
          <w:rFonts w:cstheme="minorHAnsi"/>
        </w:rPr>
        <w:t>The table below describes the current North East Lincolnshire schemes being tracked by the Healthy Lives, Healthy Futures programme and the project gateway in which they currently sit. Gateway deadlines are currently being defined and each report will assess actual progress against planned gateway comple</w:t>
      </w:r>
      <w:r w:rsidR="00C60E9B">
        <w:rPr>
          <w:rFonts w:cstheme="minorHAnsi"/>
        </w:rPr>
        <w:t xml:space="preserve">tion dates – current data indicates that all NEL schemes are on track. </w:t>
      </w:r>
    </w:p>
    <w:p w:rsidR="00304D36" w:rsidRPr="00F96FF3" w:rsidRDefault="00304D36" w:rsidP="004702FB">
      <w:pPr>
        <w:rPr>
          <w:rFonts w:cstheme="minorHAnsi"/>
        </w:rPr>
      </w:pPr>
    </w:p>
    <w:tbl>
      <w:tblPr>
        <w:tblW w:w="10054"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18"/>
        <w:gridCol w:w="4568"/>
      </w:tblGrid>
      <w:tr w:rsidR="00CA166D" w:rsidRPr="001D45E1" w:rsidTr="00C10486">
        <w:trPr>
          <w:trHeight w:val="416"/>
          <w:jc w:val="center"/>
        </w:trPr>
        <w:tc>
          <w:tcPr>
            <w:tcW w:w="4068" w:type="dxa"/>
            <w:shd w:val="clear" w:color="auto" w:fill="C6D9F1" w:themeFill="text2" w:themeFillTint="33"/>
          </w:tcPr>
          <w:p w:rsidR="00CA166D" w:rsidRPr="001D45E1" w:rsidRDefault="00CA166D"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Scheme </w:t>
            </w:r>
          </w:p>
        </w:tc>
        <w:tc>
          <w:tcPr>
            <w:tcW w:w="1418" w:type="dxa"/>
            <w:shd w:val="clear" w:color="auto" w:fill="C6D9F1" w:themeFill="text2" w:themeFillTint="33"/>
          </w:tcPr>
          <w:p w:rsidR="00CA166D" w:rsidRDefault="00CA166D"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Actual Gateway </w:t>
            </w:r>
          </w:p>
        </w:tc>
        <w:tc>
          <w:tcPr>
            <w:tcW w:w="4568" w:type="dxa"/>
            <w:shd w:val="clear" w:color="auto" w:fill="C6D9F1" w:themeFill="text2" w:themeFillTint="33"/>
          </w:tcPr>
          <w:p w:rsidR="00CA166D" w:rsidRPr="001D45E1" w:rsidRDefault="00CA166D"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Update/Comments</w:t>
            </w:r>
          </w:p>
        </w:tc>
      </w:tr>
      <w:tr w:rsidR="00CA166D" w:rsidRPr="001D45E1" w:rsidTr="00C10486">
        <w:trPr>
          <w:trHeight w:val="416"/>
          <w:jc w:val="center"/>
        </w:trPr>
        <w:tc>
          <w:tcPr>
            <w:tcW w:w="4068" w:type="dxa"/>
            <w:shd w:val="clear" w:color="auto" w:fill="auto"/>
            <w:hideMark/>
          </w:tcPr>
          <w:p w:rsidR="00CA166D" w:rsidRPr="008D4318" w:rsidRDefault="00CA166D" w:rsidP="00F96FF3">
            <w:pPr>
              <w:spacing w:after="0" w:line="240" w:lineRule="auto"/>
              <w:rPr>
                <w:rFonts w:ascii="Calibri" w:eastAsia="Times New Roman" w:hAnsi="Calibri" w:cs="Calibri"/>
                <w:color w:val="000000"/>
                <w:lang w:eastAsia="en-GB"/>
              </w:rPr>
            </w:pPr>
            <w:r w:rsidRPr="008D4318">
              <w:rPr>
                <w:rFonts w:ascii="Calibri" w:eastAsia="Times New Roman" w:hAnsi="Calibri" w:cs="Calibri"/>
                <w:color w:val="000000"/>
                <w:lang w:eastAsia="en-GB"/>
              </w:rPr>
              <w:t xml:space="preserve">Advanced Community Care </w:t>
            </w:r>
          </w:p>
        </w:tc>
        <w:tc>
          <w:tcPr>
            <w:tcW w:w="1418" w:type="dxa"/>
          </w:tcPr>
          <w:p w:rsidR="00CA166D" w:rsidRDefault="002F1122"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tcPr>
          <w:p w:rsidR="00CA166D" w:rsidRPr="001D45E1"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On track </w:t>
            </w:r>
          </w:p>
        </w:tc>
      </w:tr>
      <w:tr w:rsidR="00CA166D" w:rsidRPr="001D45E1" w:rsidTr="00C10486">
        <w:trPr>
          <w:trHeight w:val="416"/>
          <w:jc w:val="center"/>
        </w:trPr>
        <w:tc>
          <w:tcPr>
            <w:tcW w:w="4068" w:type="dxa"/>
            <w:shd w:val="clear" w:color="auto" w:fill="auto"/>
          </w:tcPr>
          <w:p w:rsidR="00CA166D" w:rsidRPr="008D4318" w:rsidRDefault="00CA166D" w:rsidP="00F96FF3">
            <w:pPr>
              <w:spacing w:after="0" w:line="240" w:lineRule="auto"/>
              <w:rPr>
                <w:rFonts w:ascii="Calibri" w:eastAsia="Times New Roman" w:hAnsi="Calibri" w:cs="Calibri"/>
                <w:color w:val="000000"/>
                <w:lang w:eastAsia="en-GB"/>
              </w:rPr>
            </w:pPr>
            <w:r w:rsidRPr="008D4318">
              <w:rPr>
                <w:rFonts w:ascii="Calibri" w:eastAsia="Times New Roman" w:hAnsi="Calibri" w:cs="Calibri"/>
                <w:color w:val="000000"/>
                <w:lang w:eastAsia="en-GB"/>
              </w:rPr>
              <w:t>End of Life / Palliative Care</w:t>
            </w:r>
          </w:p>
        </w:tc>
        <w:tc>
          <w:tcPr>
            <w:tcW w:w="1418" w:type="dxa"/>
          </w:tcPr>
          <w:p w:rsidR="00CA166D" w:rsidRDefault="007E021B"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tcPr>
          <w:p w:rsidR="00CA166D"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CA166D" w:rsidRPr="001D45E1" w:rsidTr="007E021B">
        <w:trPr>
          <w:trHeight w:val="450"/>
          <w:jc w:val="center"/>
        </w:trPr>
        <w:tc>
          <w:tcPr>
            <w:tcW w:w="4068" w:type="dxa"/>
            <w:shd w:val="clear" w:color="000000" w:fill="FFFFFF"/>
            <w:hideMark/>
          </w:tcPr>
          <w:p w:rsidR="00CA166D" w:rsidRPr="008D4318" w:rsidRDefault="00CA166D" w:rsidP="00F96FF3">
            <w:pPr>
              <w:spacing w:after="0" w:line="240" w:lineRule="auto"/>
              <w:rPr>
                <w:rFonts w:ascii="Calibri" w:eastAsia="Times New Roman" w:hAnsi="Calibri" w:cs="Calibri"/>
                <w:color w:val="000000"/>
                <w:lang w:eastAsia="en-GB"/>
              </w:rPr>
            </w:pPr>
            <w:r w:rsidRPr="008D4318">
              <w:rPr>
                <w:rFonts w:ascii="Calibri" w:eastAsia="Times New Roman" w:hAnsi="Calibri" w:cs="Calibri"/>
                <w:color w:val="000000"/>
                <w:lang w:eastAsia="en-GB"/>
              </w:rPr>
              <w:t>Extra Care Housing</w:t>
            </w:r>
          </w:p>
        </w:tc>
        <w:tc>
          <w:tcPr>
            <w:tcW w:w="1418" w:type="dxa"/>
            <w:shd w:val="clear" w:color="000000" w:fill="FFFFFF"/>
          </w:tcPr>
          <w:p w:rsidR="00CA166D" w:rsidRDefault="002F1122"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shd w:val="clear" w:color="000000" w:fill="FFFFFF"/>
          </w:tcPr>
          <w:p w:rsidR="00CA166D" w:rsidRPr="001D45E1"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CA166D" w:rsidRPr="001D45E1" w:rsidTr="00C10486">
        <w:trPr>
          <w:trHeight w:val="407"/>
          <w:jc w:val="center"/>
        </w:trPr>
        <w:tc>
          <w:tcPr>
            <w:tcW w:w="4068" w:type="dxa"/>
            <w:shd w:val="clear" w:color="000000" w:fill="FFFFFF"/>
            <w:hideMark/>
          </w:tcPr>
          <w:p w:rsidR="00CA166D" w:rsidRPr="008D4318" w:rsidRDefault="00CA166D" w:rsidP="00F96FF3">
            <w:pPr>
              <w:spacing w:after="0" w:line="240" w:lineRule="auto"/>
              <w:rPr>
                <w:rFonts w:ascii="Calibri" w:eastAsia="Times New Roman" w:hAnsi="Calibri" w:cs="Calibri"/>
                <w:color w:val="000000"/>
                <w:lang w:eastAsia="en-GB"/>
              </w:rPr>
            </w:pPr>
            <w:r w:rsidRPr="008D4318">
              <w:rPr>
                <w:rFonts w:ascii="Calibri" w:eastAsia="Times New Roman" w:hAnsi="Calibri" w:cs="Calibri"/>
                <w:color w:val="000000"/>
                <w:lang w:eastAsia="en-GB"/>
              </w:rPr>
              <w:t>Frequent Service Users</w:t>
            </w:r>
          </w:p>
        </w:tc>
        <w:tc>
          <w:tcPr>
            <w:tcW w:w="1418" w:type="dxa"/>
            <w:shd w:val="clear" w:color="000000" w:fill="FFFFFF"/>
          </w:tcPr>
          <w:p w:rsidR="00CA166D" w:rsidRDefault="002F1122"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shd w:val="clear" w:color="000000" w:fill="FFFFFF"/>
          </w:tcPr>
          <w:p w:rsidR="00CA166D" w:rsidRPr="001D45E1"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CA166D" w:rsidRPr="001D45E1" w:rsidTr="007E021B">
        <w:trPr>
          <w:trHeight w:val="418"/>
          <w:jc w:val="center"/>
        </w:trPr>
        <w:tc>
          <w:tcPr>
            <w:tcW w:w="4068" w:type="dxa"/>
            <w:shd w:val="clear" w:color="000000" w:fill="FFFFFF"/>
            <w:hideMark/>
          </w:tcPr>
          <w:p w:rsidR="00CA166D" w:rsidRPr="008D4318" w:rsidRDefault="007E021B"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GP Front ending</w:t>
            </w:r>
          </w:p>
        </w:tc>
        <w:tc>
          <w:tcPr>
            <w:tcW w:w="1418" w:type="dxa"/>
            <w:shd w:val="clear" w:color="000000" w:fill="FFFFFF"/>
          </w:tcPr>
          <w:p w:rsidR="00CA166D" w:rsidRDefault="002F1122"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shd w:val="clear" w:color="000000" w:fill="FFFFFF"/>
          </w:tcPr>
          <w:p w:rsidR="00CA166D" w:rsidRPr="001D45E1"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CA166D" w:rsidRPr="001D45E1" w:rsidTr="00C10486">
        <w:trPr>
          <w:trHeight w:val="423"/>
          <w:jc w:val="center"/>
        </w:trPr>
        <w:tc>
          <w:tcPr>
            <w:tcW w:w="4068" w:type="dxa"/>
            <w:shd w:val="clear" w:color="000000" w:fill="FFFFFF"/>
            <w:hideMark/>
          </w:tcPr>
          <w:p w:rsidR="00CA166D" w:rsidRPr="008D4318" w:rsidRDefault="00CA166D" w:rsidP="00F96FF3">
            <w:pPr>
              <w:spacing w:after="0" w:line="240" w:lineRule="auto"/>
              <w:rPr>
                <w:rFonts w:ascii="Calibri" w:eastAsia="Times New Roman" w:hAnsi="Calibri" w:cs="Calibri"/>
                <w:color w:val="000000"/>
                <w:lang w:eastAsia="en-GB"/>
              </w:rPr>
            </w:pPr>
            <w:r w:rsidRPr="008D4318">
              <w:rPr>
                <w:rFonts w:ascii="Calibri" w:eastAsia="Times New Roman" w:hAnsi="Calibri" w:cs="Calibri"/>
                <w:color w:val="000000"/>
                <w:lang w:eastAsia="en-GB"/>
              </w:rPr>
              <w:t>Home from Home (Grimsby)</w:t>
            </w:r>
          </w:p>
        </w:tc>
        <w:tc>
          <w:tcPr>
            <w:tcW w:w="1418" w:type="dxa"/>
            <w:shd w:val="clear" w:color="000000" w:fill="FFFFFF"/>
          </w:tcPr>
          <w:p w:rsidR="00CA166D" w:rsidRDefault="007E021B"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shd w:val="clear" w:color="000000" w:fill="FFFFFF"/>
          </w:tcPr>
          <w:p w:rsidR="00CA166D" w:rsidRPr="001D45E1"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CA166D" w:rsidRPr="001D45E1" w:rsidTr="00C10486">
        <w:trPr>
          <w:trHeight w:val="420"/>
          <w:jc w:val="center"/>
        </w:trPr>
        <w:tc>
          <w:tcPr>
            <w:tcW w:w="4068" w:type="dxa"/>
            <w:shd w:val="clear" w:color="000000" w:fill="FFFFFF"/>
            <w:hideMark/>
          </w:tcPr>
          <w:p w:rsidR="00CA166D" w:rsidRPr="008D4318" w:rsidRDefault="00CA166D" w:rsidP="00F96FF3">
            <w:pPr>
              <w:spacing w:after="0" w:line="240" w:lineRule="auto"/>
              <w:rPr>
                <w:rFonts w:ascii="Calibri" w:eastAsia="Times New Roman" w:hAnsi="Calibri" w:cs="Calibri"/>
                <w:color w:val="000000"/>
                <w:lang w:eastAsia="en-GB"/>
              </w:rPr>
            </w:pPr>
            <w:r w:rsidRPr="008D4318">
              <w:rPr>
                <w:rFonts w:ascii="Calibri" w:eastAsia="Times New Roman" w:hAnsi="Calibri" w:cs="Calibri"/>
                <w:color w:val="000000"/>
                <w:lang w:eastAsia="en-GB"/>
              </w:rPr>
              <w:t>Single Point of Access (Grimsby)</w:t>
            </w:r>
          </w:p>
        </w:tc>
        <w:tc>
          <w:tcPr>
            <w:tcW w:w="1418" w:type="dxa"/>
            <w:shd w:val="clear" w:color="000000" w:fill="FFFFFF"/>
          </w:tcPr>
          <w:p w:rsidR="00CA166D" w:rsidRDefault="002F1122" w:rsidP="002F112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shd w:val="clear" w:color="000000" w:fill="FFFFFF"/>
          </w:tcPr>
          <w:p w:rsidR="00CA166D" w:rsidRPr="001D45E1"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CA166D" w:rsidRPr="001D45E1" w:rsidTr="00C10486">
        <w:trPr>
          <w:trHeight w:val="696"/>
          <w:jc w:val="center"/>
        </w:trPr>
        <w:tc>
          <w:tcPr>
            <w:tcW w:w="4068" w:type="dxa"/>
            <w:shd w:val="clear" w:color="000000" w:fill="FFFFFF"/>
            <w:hideMark/>
          </w:tcPr>
          <w:p w:rsidR="00CA166D" w:rsidRPr="008D4318" w:rsidRDefault="00CA166D" w:rsidP="00F96FF3">
            <w:pPr>
              <w:spacing w:after="0" w:line="240" w:lineRule="auto"/>
              <w:rPr>
                <w:rFonts w:ascii="Calibri" w:eastAsia="Times New Roman" w:hAnsi="Calibri" w:cs="Calibri"/>
                <w:color w:val="000000"/>
                <w:lang w:eastAsia="en-GB"/>
              </w:rPr>
            </w:pPr>
            <w:r w:rsidRPr="008D4318">
              <w:rPr>
                <w:rFonts w:ascii="Calibri" w:eastAsia="Times New Roman" w:hAnsi="Calibri" w:cs="Calibri"/>
                <w:color w:val="000000"/>
                <w:lang w:eastAsia="en-GB"/>
              </w:rPr>
              <w:t>Support to Care homes (including GP alignment &amp; MDT options)</w:t>
            </w:r>
          </w:p>
        </w:tc>
        <w:tc>
          <w:tcPr>
            <w:tcW w:w="1418" w:type="dxa"/>
            <w:shd w:val="clear" w:color="000000" w:fill="FFFFFF"/>
          </w:tcPr>
          <w:p w:rsidR="00CA166D" w:rsidRDefault="002F1122"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4568" w:type="dxa"/>
            <w:shd w:val="clear" w:color="000000" w:fill="FFFFFF"/>
          </w:tcPr>
          <w:p w:rsidR="00CA166D" w:rsidRPr="001D45E1" w:rsidRDefault="00CA166D"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bl>
    <w:p w:rsidR="008D4318" w:rsidRDefault="008D4318" w:rsidP="004702FB">
      <w:pPr>
        <w:rPr>
          <w:rFonts w:cstheme="minorHAnsi"/>
          <w:u w:val="single"/>
        </w:rPr>
      </w:pPr>
    </w:p>
    <w:p w:rsidR="007E021B" w:rsidRDefault="007E021B" w:rsidP="004702FB">
      <w:pPr>
        <w:rPr>
          <w:rFonts w:cstheme="minorHAnsi"/>
          <w:u w:val="single"/>
        </w:rPr>
      </w:pPr>
    </w:p>
    <w:p w:rsidR="007E021B" w:rsidRDefault="007E021B" w:rsidP="004702FB">
      <w:pPr>
        <w:rPr>
          <w:rFonts w:cstheme="minorHAnsi"/>
          <w:u w:val="single"/>
        </w:rPr>
      </w:pPr>
    </w:p>
    <w:p w:rsidR="007E021B" w:rsidRDefault="007E021B" w:rsidP="004702FB">
      <w:pPr>
        <w:rPr>
          <w:rFonts w:cstheme="minorHAnsi"/>
          <w:u w:val="single"/>
        </w:rPr>
      </w:pPr>
    </w:p>
    <w:p w:rsidR="007E021B" w:rsidRDefault="007E021B" w:rsidP="004702FB">
      <w:pPr>
        <w:rPr>
          <w:rFonts w:cstheme="minorHAnsi"/>
          <w:u w:val="single"/>
        </w:rPr>
      </w:pPr>
    </w:p>
    <w:p w:rsidR="00D901E4" w:rsidRDefault="00D901E4"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lastRenderedPageBreak/>
        <w:t xml:space="preserve">Quality </w:t>
      </w:r>
    </w:p>
    <w:p w:rsidR="00D901E4" w:rsidRDefault="00D901E4" w:rsidP="00D901E4">
      <w:pPr>
        <w:rPr>
          <w:rFonts w:cstheme="minorHAnsi"/>
          <w:u w:val="single"/>
        </w:rPr>
      </w:pPr>
    </w:p>
    <w:p w:rsidR="004702FB" w:rsidRDefault="00D901E4" w:rsidP="00D901E4">
      <w:pPr>
        <w:rPr>
          <w:rFonts w:cstheme="minorHAnsi"/>
        </w:rPr>
      </w:pPr>
      <w:r w:rsidRPr="00265A2C">
        <w:rPr>
          <w:rFonts w:cstheme="minorHAnsi"/>
        </w:rPr>
        <w:t>Work is currently on-going to define programme level Key Performance Indicators and quality targets. These KPIs will be monitored via the HLHF operational group and exceptions escalated to the appropriate senior leads from relevant organisations.   This report will define the month on month performance of key quality indicators an</w:t>
      </w:r>
      <w:r>
        <w:rPr>
          <w:rFonts w:cstheme="minorHAnsi"/>
        </w:rPr>
        <w:t>d provide brief trend analysis.</w:t>
      </w:r>
    </w:p>
    <w:p w:rsidR="00700B6B" w:rsidRPr="00700B6B" w:rsidRDefault="009914FA" w:rsidP="00700B6B">
      <w:pPr>
        <w:rPr>
          <w:rFonts w:cstheme="minorHAnsi"/>
          <w:i/>
          <w:iCs/>
        </w:rPr>
      </w:pPr>
      <w:r>
        <w:rPr>
          <w:rFonts w:cstheme="minorHAnsi"/>
        </w:rPr>
        <w:t>A</w:t>
      </w:r>
      <w:r w:rsidR="00700B6B">
        <w:rPr>
          <w:rFonts w:cstheme="minorHAnsi"/>
        </w:rPr>
        <w:t>n</w:t>
      </w:r>
      <w:r w:rsidR="00083D46">
        <w:rPr>
          <w:rFonts w:cstheme="minorHAnsi"/>
        </w:rPr>
        <w:t xml:space="preserve"> </w:t>
      </w:r>
      <w:r w:rsidR="00083D46" w:rsidRPr="00D629C3">
        <w:rPr>
          <w:rFonts w:cstheme="minorHAnsi"/>
          <w:b/>
          <w:i/>
        </w:rPr>
        <w:t>updated version</w:t>
      </w:r>
      <w:r w:rsidR="00083D46">
        <w:rPr>
          <w:rFonts w:cstheme="minorHAnsi"/>
        </w:rPr>
        <w:t xml:space="preserve"> of the</w:t>
      </w:r>
      <w:r w:rsidR="00700B6B">
        <w:rPr>
          <w:rFonts w:cstheme="minorHAnsi"/>
        </w:rPr>
        <w:t xml:space="preserve"> </w:t>
      </w:r>
      <w:r w:rsidR="00700B6B" w:rsidRPr="00700B6B">
        <w:rPr>
          <w:rFonts w:cstheme="minorHAnsi"/>
          <w:b/>
        </w:rPr>
        <w:t>Integrated Quality O</w:t>
      </w:r>
      <w:r w:rsidRPr="00700B6B">
        <w:rPr>
          <w:rFonts w:cstheme="minorHAnsi"/>
          <w:b/>
        </w:rPr>
        <w:t>utcomes Framework</w:t>
      </w:r>
      <w:r>
        <w:rPr>
          <w:rFonts w:cstheme="minorHAnsi"/>
        </w:rPr>
        <w:t xml:space="preserve"> has been developed</w:t>
      </w:r>
      <w:r w:rsidR="00083D46">
        <w:rPr>
          <w:rFonts w:cstheme="minorHAnsi"/>
        </w:rPr>
        <w:t xml:space="preserve"> with draft </w:t>
      </w:r>
      <w:proofErr w:type="gramStart"/>
      <w:r w:rsidR="00083D46">
        <w:rPr>
          <w:rFonts w:cstheme="minorHAnsi"/>
        </w:rPr>
        <w:t xml:space="preserve">KPIs </w:t>
      </w:r>
      <w:r>
        <w:rPr>
          <w:rFonts w:cstheme="minorHAnsi"/>
        </w:rPr>
        <w:t xml:space="preserve"> and</w:t>
      </w:r>
      <w:proofErr w:type="gramEnd"/>
      <w:r>
        <w:rPr>
          <w:rFonts w:cstheme="minorHAnsi"/>
        </w:rPr>
        <w:t xml:space="preserve"> all programme level K</w:t>
      </w:r>
      <w:r w:rsidR="00700B6B">
        <w:rPr>
          <w:rFonts w:cstheme="minorHAnsi"/>
        </w:rPr>
        <w:t xml:space="preserve">PIs will be mapped against this. </w:t>
      </w:r>
      <w:r>
        <w:rPr>
          <w:rFonts w:cstheme="minorHAnsi"/>
        </w:rPr>
        <w:t xml:space="preserve"> </w:t>
      </w:r>
      <w:r w:rsidR="00083D46">
        <w:rPr>
          <w:rFonts w:cstheme="minorHAnsi"/>
        </w:rPr>
        <w:t>Clinical leaders from all organisations within Northern Lincolnshire now need to review this and agree the critical success factors required to define the success of the HLHF programme</w:t>
      </w:r>
      <w:r w:rsidR="00D629C3">
        <w:rPr>
          <w:rFonts w:cstheme="minorHAnsi"/>
        </w:rPr>
        <w:t>,</w:t>
      </w:r>
      <w:r w:rsidR="00083D46">
        <w:rPr>
          <w:rFonts w:cstheme="minorHAnsi"/>
        </w:rPr>
        <w:t xml:space="preserve"> in terms of positive impact on quality of services and outcomes for local people. </w:t>
      </w:r>
    </w:p>
    <w:p w:rsidR="009914FA" w:rsidRPr="00D901E4" w:rsidRDefault="00083D46" w:rsidP="009914FA">
      <w:pPr>
        <w:jc w:val="center"/>
        <w:rPr>
          <w:rFonts w:cstheme="minorHAnsi"/>
        </w:rPr>
      </w:pPr>
      <w:r>
        <w:rPr>
          <w:noProof/>
          <w:lang w:eastAsia="en-GB"/>
        </w:rPr>
        <w:drawing>
          <wp:inline distT="0" distB="0" distL="0" distR="0" wp14:anchorId="04466AE9" wp14:editId="1C801A34">
            <wp:extent cx="6684308" cy="4276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91985" cy="4281637"/>
                    </a:xfrm>
                    <a:prstGeom prst="rect">
                      <a:avLst/>
                    </a:prstGeom>
                  </pic:spPr>
                </pic:pic>
              </a:graphicData>
            </a:graphic>
          </wp:inline>
        </w:drawing>
      </w:r>
    </w:p>
    <w:p w:rsidR="00700B6B" w:rsidRDefault="00700B6B" w:rsidP="00700B6B">
      <w:pPr>
        <w:rPr>
          <w:rFonts w:cstheme="minorHAnsi"/>
          <w:i/>
          <w:iCs/>
        </w:rPr>
      </w:pPr>
      <w:r w:rsidRPr="00700B6B">
        <w:rPr>
          <w:rFonts w:cstheme="minorHAnsi"/>
        </w:rPr>
        <w:t xml:space="preserve">The framework draws on the following four key national frameworks: </w:t>
      </w:r>
      <w:r w:rsidRPr="00700B6B">
        <w:rPr>
          <w:rFonts w:cstheme="minorHAnsi"/>
          <w:i/>
          <w:iCs/>
        </w:rPr>
        <w:t>DH (2014) Adult social care outcomes framework 2015/16; DH (2014) NHS Outcomes Framework 2015; DH (2013) Public Health Outcomes Framework 2013/16; Policy Innovation Research Unit (PIRU) (2014) Integrated care and support Pioneers: Indicators for measuring the quality of integrated care Final report.</w:t>
      </w:r>
    </w:p>
    <w:p w:rsidR="00700B6B" w:rsidRDefault="00700B6B"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083D46" w:rsidRDefault="00083D46" w:rsidP="00700B6B">
      <w:pPr>
        <w:pStyle w:val="ListParagraph"/>
        <w:rPr>
          <w:rFonts w:asciiTheme="minorHAnsi" w:hAnsiTheme="minorHAnsi" w:cstheme="minorHAnsi"/>
          <w:u w:val="single"/>
        </w:rPr>
      </w:pPr>
    </w:p>
    <w:p w:rsidR="00D901E4" w:rsidRDefault="00D901E4"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t xml:space="preserve">Financial Summary </w:t>
      </w:r>
    </w:p>
    <w:p w:rsidR="00C3415D" w:rsidRDefault="00C3415D" w:rsidP="00C3415D">
      <w:pPr>
        <w:rPr>
          <w:rFonts w:cstheme="minorHAnsi"/>
          <w:u w:val="single"/>
        </w:rPr>
      </w:pPr>
    </w:p>
    <w:p w:rsidR="00F52522" w:rsidRDefault="00D629C3" w:rsidP="00DD6DFD">
      <w:pPr>
        <w:rPr>
          <w:rFonts w:cstheme="minorHAnsi"/>
        </w:rPr>
      </w:pPr>
      <w:r>
        <w:rPr>
          <w:rFonts w:cstheme="minorHAnsi"/>
        </w:rPr>
        <w:lastRenderedPageBreak/>
        <w:t>Work is currently underway to provide a refreshed community finance</w:t>
      </w:r>
      <w:r w:rsidR="00F52522">
        <w:rPr>
          <w:rFonts w:cstheme="minorHAnsi"/>
        </w:rPr>
        <w:t xml:space="preserve"> plan and position against the overall financial gap of £104m by 2019</w:t>
      </w:r>
      <w:r>
        <w:rPr>
          <w:rFonts w:cstheme="minorHAnsi"/>
        </w:rPr>
        <w:t>. A “lock in” meeting is to be held on 9</w:t>
      </w:r>
      <w:r w:rsidRPr="00D629C3">
        <w:rPr>
          <w:rFonts w:cstheme="minorHAnsi"/>
          <w:vertAlign w:val="superscript"/>
        </w:rPr>
        <w:t>th</w:t>
      </w:r>
      <w:r>
        <w:rPr>
          <w:rFonts w:cstheme="minorHAnsi"/>
        </w:rPr>
        <w:t xml:space="preserve"> Sept to facilitate this and set out the key elements of the financial timeline over the next few months.  </w:t>
      </w:r>
    </w:p>
    <w:p w:rsidR="00F52522" w:rsidRDefault="00D629C3" w:rsidP="00DD6DFD">
      <w:pPr>
        <w:rPr>
          <w:rFonts w:cstheme="minorHAnsi"/>
        </w:rPr>
      </w:pPr>
      <w:r>
        <w:rPr>
          <w:rFonts w:cstheme="minorHAnsi"/>
        </w:rPr>
        <w:t>Following the dissemination</w:t>
      </w:r>
      <w:r w:rsidR="00F52522">
        <w:rPr>
          <w:rFonts w:cstheme="minorHAnsi"/>
        </w:rPr>
        <w:t xml:space="preserve"> </w:t>
      </w:r>
      <w:r>
        <w:rPr>
          <w:rFonts w:cstheme="minorHAnsi"/>
        </w:rPr>
        <w:t>of letters to all trusts by Monitor requesting that they find additional savings to those planned for the year 15/16</w:t>
      </w:r>
      <w:r w:rsidR="00F52522">
        <w:rPr>
          <w:rFonts w:cstheme="minorHAnsi"/>
        </w:rPr>
        <w:t>, t</w:t>
      </w:r>
      <w:r>
        <w:rPr>
          <w:rFonts w:cstheme="minorHAnsi"/>
        </w:rPr>
        <w:t>here is a requirement for NLaG to submit their financial plan to Monitor by 31</w:t>
      </w:r>
      <w:r w:rsidRPr="00D629C3">
        <w:rPr>
          <w:rFonts w:cstheme="minorHAnsi"/>
          <w:vertAlign w:val="superscript"/>
        </w:rPr>
        <w:t>st</w:t>
      </w:r>
      <w:r>
        <w:rPr>
          <w:rFonts w:cstheme="minorHAnsi"/>
        </w:rPr>
        <w:t xml:space="preserve"> December 2015</w:t>
      </w:r>
      <w:r w:rsidR="00F52522">
        <w:rPr>
          <w:rFonts w:cstheme="minorHAnsi"/>
        </w:rPr>
        <w:t xml:space="preserve">. It has been agreed that this should be set in the context of the community finance plan and the work of the HLHF finance group between now and December will support that approach. </w:t>
      </w:r>
    </w:p>
    <w:p w:rsidR="00F52522" w:rsidRDefault="00F52522" w:rsidP="00DD6DFD">
      <w:pPr>
        <w:rPr>
          <w:rFonts w:cstheme="minorHAnsi"/>
        </w:rPr>
      </w:pPr>
    </w:p>
    <w:p w:rsidR="00353C1F" w:rsidRDefault="00353C1F" w:rsidP="00353C1F">
      <w:pPr>
        <w:pStyle w:val="ListParagraph"/>
        <w:numPr>
          <w:ilvl w:val="0"/>
          <w:numId w:val="2"/>
        </w:numPr>
        <w:rPr>
          <w:rFonts w:asciiTheme="minorHAnsi" w:hAnsiTheme="minorHAnsi" w:cstheme="minorHAnsi"/>
          <w:u w:val="single"/>
        </w:rPr>
      </w:pPr>
      <w:r>
        <w:rPr>
          <w:rFonts w:asciiTheme="minorHAnsi" w:hAnsiTheme="minorHAnsi" w:cstheme="minorHAnsi"/>
          <w:u w:val="single"/>
        </w:rPr>
        <w:t xml:space="preserve">Programme Risk Summary </w:t>
      </w:r>
      <w:r w:rsidR="00C3415D">
        <w:rPr>
          <w:rFonts w:asciiTheme="minorHAnsi" w:hAnsiTheme="minorHAnsi" w:cstheme="minorHAnsi"/>
          <w:u w:val="single"/>
        </w:rPr>
        <w:t xml:space="preserve"> </w:t>
      </w:r>
    </w:p>
    <w:p w:rsidR="003E5D9C" w:rsidRPr="003E5D9C" w:rsidRDefault="003E5D9C" w:rsidP="003E5D9C">
      <w:pPr>
        <w:pStyle w:val="ListParagraph"/>
        <w:rPr>
          <w:rFonts w:asciiTheme="minorHAnsi" w:hAnsiTheme="minorHAnsi" w:cstheme="minorHAnsi"/>
          <w:u w:val="single"/>
        </w:rPr>
      </w:pPr>
    </w:p>
    <w:p w:rsidR="00134F74" w:rsidRPr="00134F74" w:rsidRDefault="00134F74" w:rsidP="00134F74">
      <w:pPr>
        <w:rPr>
          <w:noProof/>
          <w:sz w:val="24"/>
          <w:lang w:eastAsia="en-GB"/>
        </w:rPr>
      </w:pPr>
      <w:r w:rsidRPr="00134F74">
        <w:rPr>
          <w:noProof/>
          <w:sz w:val="24"/>
          <w:lang w:eastAsia="en-GB"/>
        </w:rPr>
        <w:t>PMO have reviewed the risk register and identified the need to change the way that  programme risks are managed</w:t>
      </w:r>
      <w:r>
        <w:rPr>
          <w:noProof/>
          <w:sz w:val="24"/>
          <w:lang w:eastAsia="en-GB"/>
        </w:rPr>
        <w:t xml:space="preserve"> in order to create ownership by those responsible for delivery of mitigating actions. Over the coming weeks, </w:t>
      </w:r>
      <w:r>
        <w:rPr>
          <w:rFonts w:cstheme="minorHAnsi"/>
          <w:noProof/>
        </w:rPr>
        <w:t>t</w:t>
      </w:r>
      <w:r w:rsidRPr="00134F74">
        <w:rPr>
          <w:rFonts w:cstheme="minorHAnsi"/>
          <w:noProof/>
        </w:rPr>
        <w:t xml:space="preserve">he PMO will work with risk sponsors/workstream leads to: </w:t>
      </w:r>
    </w:p>
    <w:p w:rsidR="00134F74" w:rsidRPr="00134F74" w:rsidRDefault="00134F74" w:rsidP="00134F74">
      <w:pPr>
        <w:pStyle w:val="ListParagraph"/>
        <w:numPr>
          <w:ilvl w:val="0"/>
          <w:numId w:val="5"/>
        </w:numPr>
        <w:rPr>
          <w:rFonts w:asciiTheme="minorHAnsi" w:hAnsiTheme="minorHAnsi" w:cstheme="minorHAnsi"/>
          <w:noProof/>
        </w:rPr>
      </w:pPr>
      <w:r w:rsidRPr="00134F74">
        <w:rPr>
          <w:rFonts w:asciiTheme="minorHAnsi" w:hAnsiTheme="minorHAnsi" w:cstheme="minorHAnsi"/>
          <w:noProof/>
        </w:rPr>
        <w:t xml:space="preserve">Review the risk owners for each risk </w:t>
      </w:r>
    </w:p>
    <w:p w:rsidR="00134F74" w:rsidRPr="00134F74" w:rsidRDefault="00134F74" w:rsidP="00134F74">
      <w:pPr>
        <w:pStyle w:val="ListParagraph"/>
        <w:numPr>
          <w:ilvl w:val="0"/>
          <w:numId w:val="5"/>
        </w:numPr>
        <w:rPr>
          <w:rFonts w:asciiTheme="minorHAnsi" w:hAnsiTheme="minorHAnsi" w:cstheme="minorHAnsi"/>
          <w:noProof/>
        </w:rPr>
      </w:pPr>
      <w:r w:rsidRPr="00134F74">
        <w:rPr>
          <w:rFonts w:asciiTheme="minorHAnsi" w:hAnsiTheme="minorHAnsi" w:cstheme="minorHAnsi"/>
          <w:noProof/>
        </w:rPr>
        <w:t xml:space="preserve">Review each risk and ensure that mitigating actions are relevant and appropriate </w:t>
      </w:r>
    </w:p>
    <w:p w:rsidR="00134F74" w:rsidRPr="00134F74" w:rsidRDefault="00134F74" w:rsidP="00134F74">
      <w:pPr>
        <w:pStyle w:val="ListParagraph"/>
        <w:numPr>
          <w:ilvl w:val="0"/>
          <w:numId w:val="5"/>
        </w:numPr>
        <w:rPr>
          <w:rFonts w:asciiTheme="minorHAnsi" w:hAnsiTheme="minorHAnsi" w:cstheme="minorHAnsi"/>
          <w:noProof/>
        </w:rPr>
      </w:pPr>
      <w:r w:rsidRPr="00134F74">
        <w:rPr>
          <w:rFonts w:asciiTheme="minorHAnsi" w:hAnsiTheme="minorHAnsi" w:cstheme="minorHAnsi"/>
          <w:noProof/>
        </w:rPr>
        <w:t>Remove any duplication of risks</w:t>
      </w:r>
    </w:p>
    <w:p w:rsidR="00EA0FDB" w:rsidRPr="00134F74" w:rsidRDefault="00134F74" w:rsidP="00134F74">
      <w:pPr>
        <w:pStyle w:val="ListParagraph"/>
        <w:numPr>
          <w:ilvl w:val="0"/>
          <w:numId w:val="5"/>
        </w:numPr>
        <w:rPr>
          <w:rFonts w:asciiTheme="minorHAnsi" w:hAnsiTheme="minorHAnsi" w:cstheme="minorHAnsi"/>
          <w:noProof/>
        </w:rPr>
      </w:pPr>
      <w:r w:rsidRPr="00134F74">
        <w:rPr>
          <w:rFonts w:asciiTheme="minorHAnsi" w:hAnsiTheme="minorHAnsi" w:cstheme="minorHAnsi"/>
          <w:noProof/>
        </w:rPr>
        <w:t>Amend the risk register to reflect risk scores after mitigation has occurred</w:t>
      </w:r>
    </w:p>
    <w:p w:rsidR="009C1A4D" w:rsidRDefault="009C1A4D" w:rsidP="00654BC6">
      <w:pPr>
        <w:rPr>
          <w:noProof/>
          <w:sz w:val="24"/>
          <w:lang w:eastAsia="en-GB"/>
        </w:rPr>
      </w:pPr>
    </w:p>
    <w:p w:rsidR="00134F74" w:rsidRDefault="00134F74" w:rsidP="00654BC6">
      <w:pPr>
        <w:rPr>
          <w:noProof/>
          <w:sz w:val="24"/>
          <w:lang w:eastAsia="en-GB"/>
        </w:rPr>
      </w:pPr>
      <w:r>
        <w:rPr>
          <w:noProof/>
          <w:sz w:val="24"/>
          <w:lang w:eastAsia="en-GB"/>
        </w:rPr>
        <w:t>The risk register is therefore currently under review but the process that will be used is outlined below:</w:t>
      </w:r>
    </w:p>
    <w:p w:rsidR="00134F74" w:rsidRPr="009F19E8" w:rsidRDefault="009F19E8" w:rsidP="009F19E8">
      <w:pPr>
        <w:jc w:val="center"/>
        <w:rPr>
          <w:noProof/>
          <w:sz w:val="24"/>
          <w:lang w:eastAsia="en-GB"/>
        </w:rPr>
      </w:pPr>
      <w:r>
        <w:rPr>
          <w:noProof/>
          <w:lang w:eastAsia="en-GB"/>
        </w:rPr>
        <w:drawing>
          <wp:inline distT="0" distB="0" distL="0" distR="0" wp14:anchorId="4A8A5E0C" wp14:editId="3946DB56">
            <wp:extent cx="4581525" cy="441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81525" cy="4410075"/>
                    </a:xfrm>
                    <a:prstGeom prst="rect">
                      <a:avLst/>
                    </a:prstGeom>
                  </pic:spPr>
                </pic:pic>
              </a:graphicData>
            </a:graphic>
          </wp:inline>
        </w:drawing>
      </w:r>
    </w:p>
    <w:p w:rsidR="00134F74" w:rsidRPr="009C1A4D" w:rsidRDefault="00134F74" w:rsidP="00654BC6">
      <w:pPr>
        <w:rPr>
          <w:noProof/>
          <w:sz w:val="20"/>
          <w:szCs w:val="20"/>
          <w:lang w:eastAsia="en-GB"/>
        </w:rPr>
      </w:pPr>
    </w:p>
    <w:p w:rsidR="009C1A4D" w:rsidRPr="00700B6B" w:rsidRDefault="00700B6B" w:rsidP="00700B6B">
      <w:pPr>
        <w:pStyle w:val="ListParagraph"/>
        <w:numPr>
          <w:ilvl w:val="0"/>
          <w:numId w:val="2"/>
        </w:numPr>
        <w:rPr>
          <w:rFonts w:asciiTheme="minorHAnsi" w:hAnsiTheme="minorHAnsi" w:cstheme="minorHAnsi"/>
          <w:noProof/>
        </w:rPr>
      </w:pPr>
      <w:r w:rsidRPr="00700B6B">
        <w:rPr>
          <w:rFonts w:asciiTheme="minorHAnsi" w:hAnsiTheme="minorHAnsi" w:cstheme="minorHAnsi"/>
          <w:noProof/>
        </w:rPr>
        <w:t xml:space="preserve">Programme Timeline </w:t>
      </w:r>
    </w:p>
    <w:p w:rsidR="00700B6B" w:rsidRDefault="00700B6B" w:rsidP="00700B6B">
      <w:pPr>
        <w:pStyle w:val="ListParagraph"/>
        <w:rPr>
          <w:noProof/>
          <w:sz w:val="20"/>
          <w:szCs w:val="20"/>
        </w:rPr>
      </w:pPr>
    </w:p>
    <w:p w:rsidR="00700B6B" w:rsidRPr="00700B6B" w:rsidRDefault="00700B6B" w:rsidP="00700B6B">
      <w:pPr>
        <w:pStyle w:val="ListParagraph"/>
        <w:rPr>
          <w:noProof/>
          <w:sz w:val="20"/>
          <w:szCs w:val="20"/>
        </w:rPr>
      </w:pPr>
    </w:p>
    <w:p w:rsidR="009C1A4D" w:rsidRPr="0058243C" w:rsidRDefault="00134F74" w:rsidP="00134F74">
      <w:pPr>
        <w:rPr>
          <w:noProof/>
          <w:sz w:val="20"/>
          <w:szCs w:val="20"/>
          <w:lang w:eastAsia="en-GB"/>
        </w:rPr>
        <w:sectPr w:rsidR="009C1A4D" w:rsidRPr="0058243C" w:rsidSect="00F52522">
          <w:pgSz w:w="11906" w:h="16838"/>
          <w:pgMar w:top="720" w:right="720" w:bottom="720" w:left="720" w:header="708" w:footer="708" w:gutter="0"/>
          <w:cols w:space="708"/>
          <w:docGrid w:linePitch="360"/>
        </w:sectPr>
      </w:pPr>
      <w:r>
        <w:rPr>
          <w:noProof/>
          <w:lang w:eastAsia="en-GB"/>
        </w:rPr>
        <w:drawing>
          <wp:inline distT="0" distB="0" distL="0" distR="0" wp14:anchorId="7337BD5A" wp14:editId="3C68169D">
            <wp:extent cx="6705600" cy="4695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05600" cy="4695825"/>
                    </a:xfrm>
                    <a:prstGeom prst="rect">
                      <a:avLst/>
                    </a:prstGeom>
                  </pic:spPr>
                </pic:pic>
              </a:graphicData>
            </a:graphic>
          </wp:inline>
        </w:drawing>
      </w:r>
    </w:p>
    <w:p w:rsidR="003E5D9C" w:rsidRPr="0058243C" w:rsidRDefault="003E5D9C" w:rsidP="007E021B">
      <w:pPr>
        <w:rPr>
          <w:rFonts w:cstheme="minorHAnsi"/>
          <w:u w:val="single"/>
        </w:rPr>
      </w:pPr>
    </w:p>
    <w:sectPr w:rsidR="003E5D9C" w:rsidRPr="0058243C" w:rsidSect="009C1A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8FC"/>
    <w:multiLevelType w:val="hybridMultilevel"/>
    <w:tmpl w:val="17C4436C"/>
    <w:lvl w:ilvl="0" w:tplc="E222D3BA">
      <w:start w:val="1"/>
      <w:numFmt w:val="bullet"/>
      <w:lvlText w:val="•"/>
      <w:lvlJc w:val="left"/>
      <w:pPr>
        <w:tabs>
          <w:tab w:val="num" w:pos="720"/>
        </w:tabs>
        <w:ind w:left="720" w:hanging="360"/>
      </w:pPr>
      <w:rPr>
        <w:rFonts w:ascii="Arial" w:hAnsi="Arial" w:hint="default"/>
      </w:rPr>
    </w:lvl>
    <w:lvl w:ilvl="1" w:tplc="0644C036" w:tentative="1">
      <w:start w:val="1"/>
      <w:numFmt w:val="bullet"/>
      <w:lvlText w:val="•"/>
      <w:lvlJc w:val="left"/>
      <w:pPr>
        <w:tabs>
          <w:tab w:val="num" w:pos="1440"/>
        </w:tabs>
        <w:ind w:left="1440" w:hanging="360"/>
      </w:pPr>
      <w:rPr>
        <w:rFonts w:ascii="Arial" w:hAnsi="Arial" w:hint="default"/>
      </w:rPr>
    </w:lvl>
    <w:lvl w:ilvl="2" w:tplc="819813F2" w:tentative="1">
      <w:start w:val="1"/>
      <w:numFmt w:val="bullet"/>
      <w:lvlText w:val="•"/>
      <w:lvlJc w:val="left"/>
      <w:pPr>
        <w:tabs>
          <w:tab w:val="num" w:pos="2160"/>
        </w:tabs>
        <w:ind w:left="2160" w:hanging="360"/>
      </w:pPr>
      <w:rPr>
        <w:rFonts w:ascii="Arial" w:hAnsi="Arial" w:hint="default"/>
      </w:rPr>
    </w:lvl>
    <w:lvl w:ilvl="3" w:tplc="A96C0724" w:tentative="1">
      <w:start w:val="1"/>
      <w:numFmt w:val="bullet"/>
      <w:lvlText w:val="•"/>
      <w:lvlJc w:val="left"/>
      <w:pPr>
        <w:tabs>
          <w:tab w:val="num" w:pos="2880"/>
        </w:tabs>
        <w:ind w:left="2880" w:hanging="360"/>
      </w:pPr>
      <w:rPr>
        <w:rFonts w:ascii="Arial" w:hAnsi="Arial" w:hint="default"/>
      </w:rPr>
    </w:lvl>
    <w:lvl w:ilvl="4" w:tplc="2D80E5FE" w:tentative="1">
      <w:start w:val="1"/>
      <w:numFmt w:val="bullet"/>
      <w:lvlText w:val="•"/>
      <w:lvlJc w:val="left"/>
      <w:pPr>
        <w:tabs>
          <w:tab w:val="num" w:pos="3600"/>
        </w:tabs>
        <w:ind w:left="3600" w:hanging="360"/>
      </w:pPr>
      <w:rPr>
        <w:rFonts w:ascii="Arial" w:hAnsi="Arial" w:hint="default"/>
      </w:rPr>
    </w:lvl>
    <w:lvl w:ilvl="5" w:tplc="EFEE3A34" w:tentative="1">
      <w:start w:val="1"/>
      <w:numFmt w:val="bullet"/>
      <w:lvlText w:val="•"/>
      <w:lvlJc w:val="left"/>
      <w:pPr>
        <w:tabs>
          <w:tab w:val="num" w:pos="4320"/>
        </w:tabs>
        <w:ind w:left="4320" w:hanging="360"/>
      </w:pPr>
      <w:rPr>
        <w:rFonts w:ascii="Arial" w:hAnsi="Arial" w:hint="default"/>
      </w:rPr>
    </w:lvl>
    <w:lvl w:ilvl="6" w:tplc="42F64586" w:tentative="1">
      <w:start w:val="1"/>
      <w:numFmt w:val="bullet"/>
      <w:lvlText w:val="•"/>
      <w:lvlJc w:val="left"/>
      <w:pPr>
        <w:tabs>
          <w:tab w:val="num" w:pos="5040"/>
        </w:tabs>
        <w:ind w:left="5040" w:hanging="360"/>
      </w:pPr>
      <w:rPr>
        <w:rFonts w:ascii="Arial" w:hAnsi="Arial" w:hint="default"/>
      </w:rPr>
    </w:lvl>
    <w:lvl w:ilvl="7" w:tplc="BAF28546" w:tentative="1">
      <w:start w:val="1"/>
      <w:numFmt w:val="bullet"/>
      <w:lvlText w:val="•"/>
      <w:lvlJc w:val="left"/>
      <w:pPr>
        <w:tabs>
          <w:tab w:val="num" w:pos="5760"/>
        </w:tabs>
        <w:ind w:left="5760" w:hanging="360"/>
      </w:pPr>
      <w:rPr>
        <w:rFonts w:ascii="Arial" w:hAnsi="Arial" w:hint="default"/>
      </w:rPr>
    </w:lvl>
    <w:lvl w:ilvl="8" w:tplc="40D6D154" w:tentative="1">
      <w:start w:val="1"/>
      <w:numFmt w:val="bullet"/>
      <w:lvlText w:val="•"/>
      <w:lvlJc w:val="left"/>
      <w:pPr>
        <w:tabs>
          <w:tab w:val="num" w:pos="6480"/>
        </w:tabs>
        <w:ind w:left="6480" w:hanging="360"/>
      </w:pPr>
      <w:rPr>
        <w:rFonts w:ascii="Arial" w:hAnsi="Arial" w:hint="default"/>
      </w:rPr>
    </w:lvl>
  </w:abstractNum>
  <w:abstractNum w:abstractNumId="1">
    <w:nsid w:val="1DDD546F"/>
    <w:multiLevelType w:val="hybridMultilevel"/>
    <w:tmpl w:val="D7628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3404FB"/>
    <w:multiLevelType w:val="hybridMultilevel"/>
    <w:tmpl w:val="8FD2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F07DE3"/>
    <w:multiLevelType w:val="hybridMultilevel"/>
    <w:tmpl w:val="46D4A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6628B8"/>
    <w:multiLevelType w:val="hybridMultilevel"/>
    <w:tmpl w:val="B7D8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31"/>
    <w:rsid w:val="00083D46"/>
    <w:rsid w:val="000E0750"/>
    <w:rsid w:val="00134F74"/>
    <w:rsid w:val="001D40EA"/>
    <w:rsid w:val="00200E4A"/>
    <w:rsid w:val="00265A2C"/>
    <w:rsid w:val="002F1122"/>
    <w:rsid w:val="00304D36"/>
    <w:rsid w:val="00353C1F"/>
    <w:rsid w:val="003E5D9C"/>
    <w:rsid w:val="00423302"/>
    <w:rsid w:val="004702FB"/>
    <w:rsid w:val="00486619"/>
    <w:rsid w:val="004B6A1C"/>
    <w:rsid w:val="004C22AC"/>
    <w:rsid w:val="00581E7C"/>
    <w:rsid w:val="0058243C"/>
    <w:rsid w:val="005F31F1"/>
    <w:rsid w:val="006439D0"/>
    <w:rsid w:val="00654BC6"/>
    <w:rsid w:val="006F744C"/>
    <w:rsid w:val="00700B6B"/>
    <w:rsid w:val="007234A2"/>
    <w:rsid w:val="00780414"/>
    <w:rsid w:val="007A1026"/>
    <w:rsid w:val="007A515F"/>
    <w:rsid w:val="007E021B"/>
    <w:rsid w:val="00813983"/>
    <w:rsid w:val="008D3102"/>
    <w:rsid w:val="008D4318"/>
    <w:rsid w:val="009914FA"/>
    <w:rsid w:val="009C1A4D"/>
    <w:rsid w:val="009F19E8"/>
    <w:rsid w:val="00A553A5"/>
    <w:rsid w:val="00A87537"/>
    <w:rsid w:val="00B3460D"/>
    <w:rsid w:val="00B51AAE"/>
    <w:rsid w:val="00C10486"/>
    <w:rsid w:val="00C21DF4"/>
    <w:rsid w:val="00C3415D"/>
    <w:rsid w:val="00C60E9B"/>
    <w:rsid w:val="00CA166D"/>
    <w:rsid w:val="00CE220B"/>
    <w:rsid w:val="00D2166A"/>
    <w:rsid w:val="00D629C3"/>
    <w:rsid w:val="00D901E4"/>
    <w:rsid w:val="00DA4D31"/>
    <w:rsid w:val="00DD6DFD"/>
    <w:rsid w:val="00E0780B"/>
    <w:rsid w:val="00E169F9"/>
    <w:rsid w:val="00E82069"/>
    <w:rsid w:val="00EA0FDB"/>
    <w:rsid w:val="00EA768B"/>
    <w:rsid w:val="00EB170D"/>
    <w:rsid w:val="00F52522"/>
    <w:rsid w:val="00F96FF3"/>
    <w:rsid w:val="00FA75B1"/>
    <w:rsid w:val="00FB53E7"/>
    <w:rsid w:val="00FD4A3F"/>
    <w:rsid w:val="00FD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4A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3F"/>
    <w:rPr>
      <w:rFonts w:ascii="Tahoma" w:hAnsi="Tahoma" w:cs="Tahoma"/>
      <w:sz w:val="16"/>
      <w:szCs w:val="16"/>
    </w:rPr>
  </w:style>
  <w:style w:type="table" w:styleId="TableGrid">
    <w:name w:val="Table Grid"/>
    <w:basedOn w:val="TableNormal"/>
    <w:uiPriority w:val="59"/>
    <w:rsid w:val="007A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E07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E07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4A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3F"/>
    <w:rPr>
      <w:rFonts w:ascii="Tahoma" w:hAnsi="Tahoma" w:cs="Tahoma"/>
      <w:sz w:val="16"/>
      <w:szCs w:val="16"/>
    </w:rPr>
  </w:style>
  <w:style w:type="table" w:styleId="TableGrid">
    <w:name w:val="Table Grid"/>
    <w:basedOn w:val="TableNormal"/>
    <w:uiPriority w:val="59"/>
    <w:rsid w:val="007A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E07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E07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0610">
      <w:bodyDiv w:val="1"/>
      <w:marLeft w:val="0"/>
      <w:marRight w:val="0"/>
      <w:marTop w:val="0"/>
      <w:marBottom w:val="0"/>
      <w:divBdr>
        <w:top w:val="none" w:sz="0" w:space="0" w:color="auto"/>
        <w:left w:val="none" w:sz="0" w:space="0" w:color="auto"/>
        <w:bottom w:val="none" w:sz="0" w:space="0" w:color="auto"/>
        <w:right w:val="none" w:sz="0" w:space="0" w:color="auto"/>
      </w:divBdr>
    </w:div>
    <w:div w:id="484010242">
      <w:bodyDiv w:val="1"/>
      <w:marLeft w:val="0"/>
      <w:marRight w:val="0"/>
      <w:marTop w:val="0"/>
      <w:marBottom w:val="0"/>
      <w:divBdr>
        <w:top w:val="none" w:sz="0" w:space="0" w:color="auto"/>
        <w:left w:val="none" w:sz="0" w:space="0" w:color="auto"/>
        <w:bottom w:val="none" w:sz="0" w:space="0" w:color="auto"/>
        <w:right w:val="none" w:sz="0" w:space="0" w:color="auto"/>
      </w:divBdr>
    </w:div>
    <w:div w:id="1405029192">
      <w:bodyDiv w:val="1"/>
      <w:marLeft w:val="0"/>
      <w:marRight w:val="0"/>
      <w:marTop w:val="0"/>
      <w:marBottom w:val="0"/>
      <w:divBdr>
        <w:top w:val="none" w:sz="0" w:space="0" w:color="auto"/>
        <w:left w:val="none" w:sz="0" w:space="0" w:color="auto"/>
        <w:bottom w:val="none" w:sz="0" w:space="0" w:color="auto"/>
        <w:right w:val="none" w:sz="0" w:space="0" w:color="auto"/>
      </w:divBdr>
    </w:div>
    <w:div w:id="1848209110">
      <w:bodyDiv w:val="1"/>
      <w:marLeft w:val="0"/>
      <w:marRight w:val="0"/>
      <w:marTop w:val="0"/>
      <w:marBottom w:val="0"/>
      <w:divBdr>
        <w:top w:val="none" w:sz="0" w:space="0" w:color="auto"/>
        <w:left w:val="none" w:sz="0" w:space="0" w:color="auto"/>
        <w:bottom w:val="none" w:sz="0" w:space="0" w:color="auto"/>
        <w:right w:val="none" w:sz="0" w:space="0" w:color="auto"/>
      </w:divBdr>
    </w:div>
    <w:div w:id="1969049939">
      <w:bodyDiv w:val="1"/>
      <w:marLeft w:val="0"/>
      <w:marRight w:val="0"/>
      <w:marTop w:val="0"/>
      <w:marBottom w:val="0"/>
      <w:divBdr>
        <w:top w:val="none" w:sz="0" w:space="0" w:color="auto"/>
        <w:left w:val="none" w:sz="0" w:space="0" w:color="auto"/>
        <w:bottom w:val="none" w:sz="0" w:space="0" w:color="auto"/>
        <w:right w:val="none" w:sz="0" w:space="0" w:color="auto"/>
      </w:divBdr>
    </w:div>
    <w:div w:id="1974752311">
      <w:bodyDiv w:val="1"/>
      <w:marLeft w:val="0"/>
      <w:marRight w:val="0"/>
      <w:marTop w:val="0"/>
      <w:marBottom w:val="0"/>
      <w:divBdr>
        <w:top w:val="none" w:sz="0" w:space="0" w:color="auto"/>
        <w:left w:val="none" w:sz="0" w:space="0" w:color="auto"/>
        <w:bottom w:val="none" w:sz="0" w:space="0" w:color="auto"/>
        <w:right w:val="none" w:sz="0" w:space="0" w:color="auto"/>
      </w:divBdr>
    </w:div>
    <w:div w:id="2062898052">
      <w:bodyDiv w:val="1"/>
      <w:marLeft w:val="0"/>
      <w:marRight w:val="0"/>
      <w:marTop w:val="0"/>
      <w:marBottom w:val="0"/>
      <w:divBdr>
        <w:top w:val="none" w:sz="0" w:space="0" w:color="auto"/>
        <w:left w:val="none" w:sz="0" w:space="0" w:color="auto"/>
        <w:bottom w:val="none" w:sz="0" w:space="0" w:color="auto"/>
        <w:right w:val="none" w:sz="0" w:space="0" w:color="auto"/>
      </w:divBdr>
      <w:divsChild>
        <w:div w:id="873346136">
          <w:marLeft w:val="274"/>
          <w:marRight w:val="0"/>
          <w:marTop w:val="0"/>
          <w:marBottom w:val="0"/>
          <w:divBdr>
            <w:top w:val="none" w:sz="0" w:space="0" w:color="auto"/>
            <w:left w:val="none" w:sz="0" w:space="0" w:color="auto"/>
            <w:bottom w:val="none" w:sz="0" w:space="0" w:color="auto"/>
            <w:right w:val="none" w:sz="0" w:space="0" w:color="auto"/>
          </w:divBdr>
        </w:div>
        <w:div w:id="495150021">
          <w:marLeft w:val="274"/>
          <w:marRight w:val="0"/>
          <w:marTop w:val="0"/>
          <w:marBottom w:val="0"/>
          <w:divBdr>
            <w:top w:val="none" w:sz="0" w:space="0" w:color="auto"/>
            <w:left w:val="none" w:sz="0" w:space="0" w:color="auto"/>
            <w:bottom w:val="none" w:sz="0" w:space="0" w:color="auto"/>
            <w:right w:val="none" w:sz="0" w:space="0" w:color="auto"/>
          </w:divBdr>
        </w:div>
        <w:div w:id="400296597">
          <w:marLeft w:val="274"/>
          <w:marRight w:val="0"/>
          <w:marTop w:val="0"/>
          <w:marBottom w:val="0"/>
          <w:divBdr>
            <w:top w:val="none" w:sz="0" w:space="0" w:color="auto"/>
            <w:left w:val="none" w:sz="0" w:space="0" w:color="auto"/>
            <w:bottom w:val="none" w:sz="0" w:space="0" w:color="auto"/>
            <w:right w:val="none" w:sz="0" w:space="0" w:color="auto"/>
          </w:divBdr>
        </w:div>
        <w:div w:id="1076904904">
          <w:marLeft w:val="274"/>
          <w:marRight w:val="0"/>
          <w:marTop w:val="0"/>
          <w:marBottom w:val="0"/>
          <w:divBdr>
            <w:top w:val="none" w:sz="0" w:space="0" w:color="auto"/>
            <w:left w:val="none" w:sz="0" w:space="0" w:color="auto"/>
            <w:bottom w:val="none" w:sz="0" w:space="0" w:color="auto"/>
            <w:right w:val="none" w:sz="0" w:space="0" w:color="auto"/>
          </w:divBdr>
        </w:div>
        <w:div w:id="909466161">
          <w:marLeft w:val="274"/>
          <w:marRight w:val="0"/>
          <w:marTop w:val="0"/>
          <w:marBottom w:val="0"/>
          <w:divBdr>
            <w:top w:val="none" w:sz="0" w:space="0" w:color="auto"/>
            <w:left w:val="none" w:sz="0" w:space="0" w:color="auto"/>
            <w:bottom w:val="none" w:sz="0" w:space="0" w:color="auto"/>
            <w:right w:val="none" w:sz="0" w:space="0" w:color="auto"/>
          </w:divBdr>
        </w:div>
        <w:div w:id="78330925">
          <w:marLeft w:val="274"/>
          <w:marRight w:val="0"/>
          <w:marTop w:val="0"/>
          <w:marBottom w:val="0"/>
          <w:divBdr>
            <w:top w:val="none" w:sz="0" w:space="0" w:color="auto"/>
            <w:left w:val="none" w:sz="0" w:space="0" w:color="auto"/>
            <w:bottom w:val="none" w:sz="0" w:space="0" w:color="auto"/>
            <w:right w:val="none" w:sz="0" w:space="0" w:color="auto"/>
          </w:divBdr>
        </w:div>
        <w:div w:id="2007319588">
          <w:marLeft w:val="274"/>
          <w:marRight w:val="0"/>
          <w:marTop w:val="0"/>
          <w:marBottom w:val="0"/>
          <w:divBdr>
            <w:top w:val="none" w:sz="0" w:space="0" w:color="auto"/>
            <w:left w:val="none" w:sz="0" w:space="0" w:color="auto"/>
            <w:bottom w:val="none" w:sz="0" w:space="0" w:color="auto"/>
            <w:right w:val="none" w:sz="0" w:space="0" w:color="auto"/>
          </w:divBdr>
        </w:div>
        <w:div w:id="1410076310">
          <w:marLeft w:val="274"/>
          <w:marRight w:val="0"/>
          <w:marTop w:val="0"/>
          <w:marBottom w:val="0"/>
          <w:divBdr>
            <w:top w:val="none" w:sz="0" w:space="0" w:color="auto"/>
            <w:left w:val="none" w:sz="0" w:space="0" w:color="auto"/>
            <w:bottom w:val="none" w:sz="0" w:space="0" w:color="auto"/>
            <w:right w:val="none" w:sz="0" w:space="0" w:color="auto"/>
          </w:divBdr>
        </w:div>
        <w:div w:id="2023050442">
          <w:marLeft w:val="274"/>
          <w:marRight w:val="0"/>
          <w:marTop w:val="0"/>
          <w:marBottom w:val="0"/>
          <w:divBdr>
            <w:top w:val="none" w:sz="0" w:space="0" w:color="auto"/>
            <w:left w:val="none" w:sz="0" w:space="0" w:color="auto"/>
            <w:bottom w:val="none" w:sz="0" w:space="0" w:color="auto"/>
            <w:right w:val="none" w:sz="0" w:space="0" w:color="auto"/>
          </w:divBdr>
        </w:div>
        <w:div w:id="879442651">
          <w:marLeft w:val="274"/>
          <w:marRight w:val="0"/>
          <w:marTop w:val="0"/>
          <w:marBottom w:val="0"/>
          <w:divBdr>
            <w:top w:val="none" w:sz="0" w:space="0" w:color="auto"/>
            <w:left w:val="none" w:sz="0" w:space="0" w:color="auto"/>
            <w:bottom w:val="none" w:sz="0" w:space="0" w:color="auto"/>
            <w:right w:val="none" w:sz="0" w:space="0" w:color="auto"/>
          </w:divBdr>
        </w:div>
        <w:div w:id="2064400867">
          <w:marLeft w:val="274"/>
          <w:marRight w:val="0"/>
          <w:marTop w:val="0"/>
          <w:marBottom w:val="0"/>
          <w:divBdr>
            <w:top w:val="none" w:sz="0" w:space="0" w:color="auto"/>
            <w:left w:val="none" w:sz="0" w:space="0" w:color="auto"/>
            <w:bottom w:val="none" w:sz="0" w:space="0" w:color="auto"/>
            <w:right w:val="none" w:sz="0" w:space="0" w:color="auto"/>
          </w:divBdr>
        </w:div>
        <w:div w:id="223760357">
          <w:marLeft w:val="274"/>
          <w:marRight w:val="0"/>
          <w:marTop w:val="0"/>
          <w:marBottom w:val="0"/>
          <w:divBdr>
            <w:top w:val="none" w:sz="0" w:space="0" w:color="auto"/>
            <w:left w:val="none" w:sz="0" w:space="0" w:color="auto"/>
            <w:bottom w:val="none" w:sz="0" w:space="0" w:color="auto"/>
            <w:right w:val="none" w:sz="0" w:space="0" w:color="auto"/>
          </w:divBdr>
        </w:div>
        <w:div w:id="523247878">
          <w:marLeft w:val="274"/>
          <w:marRight w:val="0"/>
          <w:marTop w:val="0"/>
          <w:marBottom w:val="0"/>
          <w:divBdr>
            <w:top w:val="none" w:sz="0" w:space="0" w:color="auto"/>
            <w:left w:val="none" w:sz="0" w:space="0" w:color="auto"/>
            <w:bottom w:val="none" w:sz="0" w:space="0" w:color="auto"/>
            <w:right w:val="none" w:sz="0" w:space="0" w:color="auto"/>
          </w:divBdr>
        </w:div>
        <w:div w:id="2003503025">
          <w:marLeft w:val="274"/>
          <w:marRight w:val="0"/>
          <w:marTop w:val="0"/>
          <w:marBottom w:val="0"/>
          <w:divBdr>
            <w:top w:val="none" w:sz="0" w:space="0" w:color="auto"/>
            <w:left w:val="none" w:sz="0" w:space="0" w:color="auto"/>
            <w:bottom w:val="none" w:sz="0" w:space="0" w:color="auto"/>
            <w:right w:val="none" w:sz="0" w:space="0" w:color="auto"/>
          </w:divBdr>
        </w:div>
        <w:div w:id="847602153">
          <w:marLeft w:val="274"/>
          <w:marRight w:val="0"/>
          <w:marTop w:val="0"/>
          <w:marBottom w:val="0"/>
          <w:divBdr>
            <w:top w:val="none" w:sz="0" w:space="0" w:color="auto"/>
            <w:left w:val="none" w:sz="0" w:space="0" w:color="auto"/>
            <w:bottom w:val="none" w:sz="0" w:space="0" w:color="auto"/>
            <w:right w:val="none" w:sz="0" w:space="0" w:color="auto"/>
          </w:divBdr>
        </w:div>
        <w:div w:id="524557585">
          <w:marLeft w:val="274"/>
          <w:marRight w:val="0"/>
          <w:marTop w:val="0"/>
          <w:marBottom w:val="0"/>
          <w:divBdr>
            <w:top w:val="none" w:sz="0" w:space="0" w:color="auto"/>
            <w:left w:val="none" w:sz="0" w:space="0" w:color="auto"/>
            <w:bottom w:val="none" w:sz="0" w:space="0" w:color="auto"/>
            <w:right w:val="none" w:sz="0" w:space="0" w:color="auto"/>
          </w:divBdr>
        </w:div>
      </w:divsChild>
    </w:div>
    <w:div w:id="21167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Stats!$K$18</c:f>
              <c:strCache>
                <c:ptCount val="1"/>
                <c:pt idx="0">
                  <c:v>NL CCG</c:v>
                </c:pt>
              </c:strCache>
            </c:strRef>
          </c:tx>
          <c:invertIfNegative val="0"/>
          <c:cat>
            <c:strRef>
              <c:f>Stats!$L$15:$Q$17</c:f>
              <c:strCache>
                <c:ptCount val="6"/>
                <c:pt idx="0">
                  <c:v>0 (Idea)</c:v>
                </c:pt>
                <c:pt idx="1">
                  <c:v>1 (Scoping)</c:v>
                </c:pt>
                <c:pt idx="2">
                  <c:v>2 (Development)</c:v>
                </c:pt>
                <c:pt idx="3">
                  <c:v>3 (Implementation)</c:v>
                </c:pt>
                <c:pt idx="4">
                  <c:v>4 (Benefits Realisation)</c:v>
                </c:pt>
                <c:pt idx="5">
                  <c:v>5 (Closure)</c:v>
                </c:pt>
              </c:strCache>
            </c:strRef>
          </c:cat>
          <c:val>
            <c:numRef>
              <c:f>Stats!$L$18:$Q$18</c:f>
              <c:numCache>
                <c:formatCode>General</c:formatCode>
                <c:ptCount val="6"/>
                <c:pt idx="0">
                  <c:v>0</c:v>
                </c:pt>
                <c:pt idx="1">
                  <c:v>2</c:v>
                </c:pt>
                <c:pt idx="2">
                  <c:v>1</c:v>
                </c:pt>
                <c:pt idx="3">
                  <c:v>5</c:v>
                </c:pt>
                <c:pt idx="4">
                  <c:v>1</c:v>
                </c:pt>
                <c:pt idx="5">
                  <c:v>0</c:v>
                </c:pt>
              </c:numCache>
            </c:numRef>
          </c:val>
        </c:ser>
        <c:ser>
          <c:idx val="1"/>
          <c:order val="1"/>
          <c:tx>
            <c:strRef>
              <c:f>Stats!$K$19</c:f>
              <c:strCache>
                <c:ptCount val="1"/>
                <c:pt idx="0">
                  <c:v>NEL CCG</c:v>
                </c:pt>
              </c:strCache>
            </c:strRef>
          </c:tx>
          <c:invertIfNegative val="0"/>
          <c:cat>
            <c:strRef>
              <c:f>Stats!$L$15:$Q$17</c:f>
              <c:strCache>
                <c:ptCount val="6"/>
                <c:pt idx="0">
                  <c:v>0 (Idea)</c:v>
                </c:pt>
                <c:pt idx="1">
                  <c:v>1 (Scoping)</c:v>
                </c:pt>
                <c:pt idx="2">
                  <c:v>2 (Development)</c:v>
                </c:pt>
                <c:pt idx="3">
                  <c:v>3 (Implementation)</c:v>
                </c:pt>
                <c:pt idx="4">
                  <c:v>4 (Benefits Realisation)</c:v>
                </c:pt>
                <c:pt idx="5">
                  <c:v>5 (Closure)</c:v>
                </c:pt>
              </c:strCache>
            </c:strRef>
          </c:cat>
          <c:val>
            <c:numRef>
              <c:f>Stats!$L$19:$Q$19</c:f>
              <c:numCache>
                <c:formatCode>General</c:formatCode>
                <c:ptCount val="6"/>
                <c:pt idx="0">
                  <c:v>0</c:v>
                </c:pt>
                <c:pt idx="1">
                  <c:v>0</c:v>
                </c:pt>
                <c:pt idx="2">
                  <c:v>0</c:v>
                </c:pt>
                <c:pt idx="3">
                  <c:v>1</c:v>
                </c:pt>
                <c:pt idx="4">
                  <c:v>7</c:v>
                </c:pt>
                <c:pt idx="5">
                  <c:v>0</c:v>
                </c:pt>
              </c:numCache>
            </c:numRef>
          </c:val>
        </c:ser>
        <c:ser>
          <c:idx val="2"/>
          <c:order val="2"/>
          <c:tx>
            <c:strRef>
              <c:f>Stats!$K$20</c:f>
              <c:strCache>
                <c:ptCount val="1"/>
                <c:pt idx="0">
                  <c:v>NLAG</c:v>
                </c:pt>
              </c:strCache>
            </c:strRef>
          </c:tx>
          <c:invertIfNegative val="0"/>
          <c:cat>
            <c:strRef>
              <c:f>Stats!$L$15:$Q$17</c:f>
              <c:strCache>
                <c:ptCount val="6"/>
                <c:pt idx="0">
                  <c:v>0 (Idea)</c:v>
                </c:pt>
                <c:pt idx="1">
                  <c:v>1 (Scoping)</c:v>
                </c:pt>
                <c:pt idx="2">
                  <c:v>2 (Development)</c:v>
                </c:pt>
                <c:pt idx="3">
                  <c:v>3 (Implementation)</c:v>
                </c:pt>
                <c:pt idx="4">
                  <c:v>4 (Benefits Realisation)</c:v>
                </c:pt>
                <c:pt idx="5">
                  <c:v>5 (Closure)</c:v>
                </c:pt>
              </c:strCache>
            </c:strRef>
          </c:cat>
          <c:val>
            <c:numRef>
              <c:f>Stats!$L$20:$Q$20</c:f>
              <c:numCache>
                <c:formatCode>General</c:formatCode>
                <c:ptCount val="6"/>
                <c:pt idx="0">
                  <c:v>2</c:v>
                </c:pt>
                <c:pt idx="1">
                  <c:v>0</c:v>
                </c:pt>
                <c:pt idx="2">
                  <c:v>14</c:v>
                </c:pt>
                <c:pt idx="3">
                  <c:v>1</c:v>
                </c:pt>
                <c:pt idx="4">
                  <c:v>4</c:v>
                </c:pt>
                <c:pt idx="5">
                  <c:v>0</c:v>
                </c:pt>
              </c:numCache>
            </c:numRef>
          </c:val>
        </c:ser>
        <c:dLbls>
          <c:showLegendKey val="0"/>
          <c:showVal val="0"/>
          <c:showCatName val="0"/>
          <c:showSerName val="0"/>
          <c:showPercent val="0"/>
          <c:showBubbleSize val="0"/>
        </c:dLbls>
        <c:gapWidth val="150"/>
        <c:axId val="108389888"/>
        <c:axId val="108391424"/>
      </c:barChart>
      <c:catAx>
        <c:axId val="108389888"/>
        <c:scaling>
          <c:orientation val="minMax"/>
        </c:scaling>
        <c:delete val="0"/>
        <c:axPos val="b"/>
        <c:numFmt formatCode="General" sourceLinked="1"/>
        <c:majorTickMark val="none"/>
        <c:minorTickMark val="none"/>
        <c:tickLblPos val="nextTo"/>
        <c:crossAx val="108391424"/>
        <c:crosses val="autoZero"/>
        <c:auto val="1"/>
        <c:lblAlgn val="ctr"/>
        <c:lblOffset val="100"/>
        <c:noMultiLvlLbl val="0"/>
      </c:catAx>
      <c:valAx>
        <c:axId val="108391424"/>
        <c:scaling>
          <c:orientation val="minMax"/>
        </c:scaling>
        <c:delete val="0"/>
        <c:axPos val="l"/>
        <c:majorGridlines/>
        <c:title>
          <c:tx>
            <c:rich>
              <a:bodyPr/>
              <a:lstStyle/>
              <a:p>
                <a:pPr>
                  <a:defRPr/>
                </a:pPr>
                <a:r>
                  <a:rPr lang="en-US"/>
                  <a:t>No per gateway</a:t>
                </a:r>
              </a:p>
            </c:rich>
          </c:tx>
          <c:layout>
            <c:manualLayout>
              <c:xMode val="edge"/>
              <c:yMode val="edge"/>
              <c:x val="2.7491407517802154E-2"/>
              <c:y val="2.3911519730553912E-2"/>
            </c:manualLayout>
          </c:layout>
          <c:overlay val="0"/>
        </c:title>
        <c:numFmt formatCode="General" sourceLinked="1"/>
        <c:majorTickMark val="none"/>
        <c:minorTickMark val="none"/>
        <c:tickLblPos val="nextTo"/>
        <c:crossAx val="108389888"/>
        <c:crosses val="autoZero"/>
        <c:crossBetween val="between"/>
      </c:valAx>
      <c:dTable>
        <c:showHorzBorder val="1"/>
        <c:showVertBorder val="1"/>
        <c:showOutline val="1"/>
        <c:showKeys val="1"/>
      </c:dTable>
    </c:plotArea>
    <c:plotVisOnly val="1"/>
    <c:dispBlanksAs val="gap"/>
    <c:showDLblsOverMax val="0"/>
  </c:chart>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Helen Askham</cp:lastModifiedBy>
  <cp:revision>2</cp:revision>
  <cp:lastPrinted>2015-09-09T11:52:00Z</cp:lastPrinted>
  <dcterms:created xsi:type="dcterms:W3CDTF">2015-09-10T07:51:00Z</dcterms:created>
  <dcterms:modified xsi:type="dcterms:W3CDTF">2015-09-10T07:51:00Z</dcterms:modified>
</cp:coreProperties>
</file>