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3"/>
        <w:gridCol w:w="3859"/>
      </w:tblGrid>
      <w:tr w:rsidR="00615DB3" w:rsidRPr="00615DB3" w:rsidTr="00615DB3">
        <w:tc>
          <w:tcPr>
            <w:tcW w:w="11573"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15DB3" w:rsidRPr="00615DB3" w:rsidRDefault="006523D3" w:rsidP="00615DB3">
            <w:pPr>
              <w:spacing w:after="0" w:line="240" w:lineRule="auto"/>
              <w:rPr>
                <w:rFonts w:ascii="Times New Roman" w:eastAsia="Times New Roman" w:hAnsi="Times New Roman" w:cs="Times New Roman"/>
                <w:sz w:val="24"/>
                <w:szCs w:val="24"/>
                <w:lang w:eastAsia="en-GB"/>
              </w:rPr>
            </w:pPr>
            <w:bookmarkStart w:id="0" w:name="_GoBack"/>
            <w:bookmarkEnd w:id="0"/>
            <w:r w:rsidRPr="006523D3">
              <w:rPr>
                <w:rFonts w:ascii="Times New Roman" w:eastAsia="Times New Roman" w:hAnsi="Times New Roman" w:cs="Times New Roman"/>
                <w:color w:val="FFFFFF"/>
                <w:sz w:val="24"/>
                <w:szCs w:val="24"/>
                <w:lang w:eastAsia="en-GB"/>
              </w:rPr>
              <w:t xml:space="preserve"> </w:t>
            </w:r>
            <w:r w:rsidR="00615DB3" w:rsidRPr="00615DB3">
              <w:rPr>
                <w:rFonts w:ascii="Verdana" w:eastAsia="Verdana" w:hAnsi="Verdana" w:cs="Verdana"/>
                <w:b/>
                <w:color w:val="000000"/>
                <w:sz w:val="32"/>
                <w:szCs w:val="24"/>
                <w:lang w:eastAsia="en-GB"/>
              </w:rPr>
              <w:t xml:space="preserve">Corporate Action Plan 2015/16 </w:t>
            </w:r>
            <w:r w:rsidR="00615DB3">
              <w:rPr>
                <w:rFonts w:ascii="Verdana" w:eastAsia="Verdana" w:hAnsi="Verdana" w:cs="Verdana"/>
                <w:noProof/>
                <w:color w:val="000000"/>
                <w:sz w:val="16"/>
                <w:szCs w:val="24"/>
                <w:lang w:eastAsia="en-GB"/>
              </w:rPr>
              <w:drawing>
                <wp:inline distT="0" distB="0" distL="0" distR="0" wp14:anchorId="1FA3EE1A" wp14:editId="6EF2100B">
                  <wp:extent cx="971550" cy="20955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859"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615DB3" w:rsidRPr="00615DB3" w:rsidRDefault="00615DB3" w:rsidP="00615DB3">
            <w:pPr>
              <w:spacing w:after="0" w:line="240" w:lineRule="auto"/>
              <w:jc w:val="right"/>
              <w:rPr>
                <w:rFonts w:ascii="Verdana" w:eastAsia="Verdana" w:hAnsi="Verdana" w:cs="Verdana"/>
                <w:color w:val="000000"/>
                <w:sz w:val="16"/>
                <w:szCs w:val="24"/>
                <w:lang w:eastAsia="en-GB"/>
              </w:rPr>
            </w:pPr>
          </w:p>
        </w:tc>
      </w:tr>
    </w:tbl>
    <w:p w:rsidR="00615DB3" w:rsidRPr="00615DB3" w:rsidRDefault="00615DB3" w:rsidP="00615DB3">
      <w:pPr>
        <w:spacing w:after="0" w:line="240" w:lineRule="auto"/>
        <w:rPr>
          <w:rFonts w:ascii="Times New Roman" w:eastAsia="Times New Roman" w:hAnsi="Times New Roman" w:cs="Times New Roman"/>
          <w:sz w:val="24"/>
          <w:szCs w:val="24"/>
          <w:lang w:eastAsia="en-GB"/>
        </w:rPr>
        <w:sectPr w:rsidR="00615DB3" w:rsidRPr="00615DB3" w:rsidSect="00615DB3">
          <w:headerReference w:type="default" r:id="rId9"/>
          <w:footerReference w:type="default" r:id="rId10"/>
          <w:type w:val="continuous"/>
          <w:pgSz w:w="16838" w:h="11906" w:orient="landscape"/>
          <w:pgMar w:top="680" w:right="743" w:bottom="454" w:left="74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496"/>
        <w:gridCol w:w="1609"/>
        <w:gridCol w:w="2815"/>
        <w:gridCol w:w="1334"/>
        <w:gridCol w:w="1230"/>
        <w:gridCol w:w="1876"/>
        <w:gridCol w:w="2571"/>
      </w:tblGrid>
      <w:tr w:rsidR="00615DB3" w:rsidRPr="00615DB3" w:rsidTr="00223491">
        <w:trPr>
          <w:tblHeader/>
        </w:trPr>
        <w:tc>
          <w:tcPr>
            <w:tcW w:w="501"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Times New Roman" w:eastAsia="Times New Roman" w:hAnsi="Times New Roman" w:cs="Times New Roman"/>
                <w:sz w:val="24"/>
                <w:szCs w:val="24"/>
                <w:lang w:eastAsia="en-GB"/>
              </w:rPr>
            </w:pPr>
          </w:p>
        </w:tc>
        <w:tc>
          <w:tcPr>
            <w:tcW w:w="3497"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b/>
                <w:color w:val="191970"/>
                <w:sz w:val="16"/>
                <w:szCs w:val="24"/>
                <w:lang w:eastAsia="en-GB"/>
              </w:rPr>
              <w:t>Action Title</w:t>
            </w:r>
          </w:p>
        </w:tc>
        <w:tc>
          <w:tcPr>
            <w:tcW w:w="1610"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b/>
                <w:color w:val="191970"/>
                <w:sz w:val="16"/>
                <w:szCs w:val="24"/>
                <w:lang w:eastAsia="en-GB"/>
              </w:rPr>
            </w:pPr>
            <w:r w:rsidRPr="00615DB3">
              <w:rPr>
                <w:rFonts w:ascii="Verdana" w:eastAsia="Verdana" w:hAnsi="Verdana" w:cs="Verdana"/>
                <w:b/>
                <w:color w:val="191970"/>
                <w:sz w:val="16"/>
                <w:szCs w:val="24"/>
                <w:lang w:eastAsia="en-GB"/>
              </w:rPr>
              <w:t>Ownership Assigned To</w:t>
            </w:r>
          </w:p>
        </w:tc>
        <w:tc>
          <w:tcPr>
            <w:tcW w:w="2816"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b/>
                <w:color w:val="191970"/>
                <w:sz w:val="16"/>
                <w:szCs w:val="24"/>
                <w:lang w:eastAsia="en-GB"/>
              </w:rPr>
            </w:pPr>
            <w:r w:rsidRPr="00615DB3">
              <w:rPr>
                <w:rFonts w:ascii="Verdana" w:eastAsia="Verdana" w:hAnsi="Verdana" w:cs="Verdana"/>
                <w:b/>
                <w:color w:val="191970"/>
                <w:sz w:val="16"/>
                <w:szCs w:val="24"/>
                <w:lang w:eastAsia="en-GB"/>
              </w:rPr>
              <w:t>Milestone Description</w:t>
            </w:r>
          </w:p>
        </w:tc>
        <w:tc>
          <w:tcPr>
            <w:tcW w:w="1335"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b/>
                <w:color w:val="191970"/>
                <w:sz w:val="16"/>
                <w:szCs w:val="24"/>
                <w:lang w:eastAsia="en-GB"/>
              </w:rPr>
            </w:pPr>
            <w:r w:rsidRPr="00615DB3">
              <w:rPr>
                <w:rFonts w:ascii="Verdana" w:eastAsia="Verdana" w:hAnsi="Verdana" w:cs="Verdana"/>
                <w:b/>
                <w:color w:val="191970"/>
                <w:sz w:val="16"/>
                <w:szCs w:val="24"/>
                <w:lang w:eastAsia="en-GB"/>
              </w:rPr>
              <w:t>Milestones Due Date</w:t>
            </w:r>
          </w:p>
        </w:tc>
        <w:tc>
          <w:tcPr>
            <w:tcW w:w="1230"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b/>
                <w:color w:val="191970"/>
                <w:sz w:val="16"/>
                <w:szCs w:val="24"/>
                <w:lang w:eastAsia="en-GB"/>
              </w:rPr>
            </w:pPr>
            <w:r w:rsidRPr="00615DB3">
              <w:rPr>
                <w:rFonts w:ascii="Verdana" w:eastAsia="Verdana" w:hAnsi="Verdana" w:cs="Verdana"/>
                <w:b/>
                <w:color w:val="191970"/>
                <w:sz w:val="16"/>
                <w:szCs w:val="24"/>
                <w:lang w:eastAsia="en-GB"/>
              </w:rPr>
              <w:t>Milestone Completed</w:t>
            </w:r>
          </w:p>
        </w:tc>
        <w:tc>
          <w:tcPr>
            <w:tcW w:w="1877"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b/>
                <w:color w:val="191970"/>
                <w:sz w:val="16"/>
                <w:szCs w:val="24"/>
                <w:lang w:eastAsia="en-GB"/>
              </w:rPr>
            </w:pPr>
            <w:r w:rsidRPr="00615DB3">
              <w:rPr>
                <w:rFonts w:ascii="Verdana" w:eastAsia="Verdana" w:hAnsi="Verdana" w:cs="Verdana"/>
                <w:b/>
                <w:color w:val="191970"/>
                <w:sz w:val="16"/>
                <w:szCs w:val="24"/>
                <w:lang w:eastAsia="en-GB"/>
              </w:rPr>
              <w:t>Progress</w:t>
            </w:r>
          </w:p>
        </w:tc>
        <w:tc>
          <w:tcPr>
            <w:tcW w:w="2572" w:type="dxa"/>
            <w:tcBorders>
              <w:top w:val="single" w:sz="8" w:space="0" w:color="787878"/>
              <w:left w:val="single" w:sz="8" w:space="0" w:color="787878"/>
              <w:bottom w:val="single" w:sz="8" w:space="0" w:color="787878"/>
              <w:right w:val="single" w:sz="8" w:space="0" w:color="787878"/>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b/>
                <w:color w:val="191970"/>
                <w:sz w:val="16"/>
                <w:szCs w:val="24"/>
                <w:lang w:eastAsia="en-GB"/>
              </w:rPr>
            </w:pPr>
            <w:r w:rsidRPr="00615DB3">
              <w:rPr>
                <w:rFonts w:ascii="Verdana" w:eastAsia="Verdana" w:hAnsi="Verdana" w:cs="Verdana"/>
                <w:b/>
                <w:color w:val="191970"/>
                <w:sz w:val="16"/>
                <w:szCs w:val="24"/>
                <w:lang w:eastAsia="en-GB"/>
              </w:rPr>
              <w:t>Milestone Note</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88" w:type="dxa"/>
            <w:gridSpan w:val="5"/>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Urgent Care and crisis care system (out of hospital) </w:t>
            </w:r>
          </w:p>
        </w:tc>
        <w:tc>
          <w:tcPr>
            <w:tcW w:w="1877"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GP Front Ending of A&amp;E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Work with all core providers to develop a new specification and business case for out of hospital urgent care model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Prescribing</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Rachel Staniforth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Ensure practices engage with PBC monitoring incentive scheme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Ensure practices engage with PBC monitoring incentive scheme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Ensure practices engage with PBC monitoring incentive scheme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Out of hospital urgent care model</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new specification and business case for out of hospital urgent response model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Resilience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SRG meetings to be held monthly - this group is responsible for overseeing the surge and escalation arrangements so that they are effective throughout the year in particular during winter</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88" w:type="dxa"/>
            <w:gridSpan w:val="5"/>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Proactive care models </w:t>
            </w:r>
          </w:p>
        </w:tc>
        <w:tc>
          <w:tcPr>
            <w:tcW w:w="1877"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Advanced community teams/ACC</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Helen Kenyon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Test phase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Formal evaluation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Roll out if successful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Chronic Disease management - IAPT</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Helen Kenyon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Approval and implementation of the business plan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Home from Home</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Helen Kenyon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Test phase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Formal evaluation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Continuation if successful OR development of exit strategy if not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lastRenderedPageBreak/>
              <w:drawing>
                <wp:inline distT="0" distB="0" distL="0" distR="0">
                  <wp:extent cx="200025" cy="200025"/>
                  <wp:effectExtent l="0" t="0" r="9525" b="952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NEL support to care homes/care home liaison/GP alignment project</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Presentation to CoM</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Write service specification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Secure GP to undertake support within care homes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31-Jan-2016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Launch the service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End of life care</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Lisa Revell</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Living with and beyond cancer service specification needs completing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Haven service to support end of life care acute discharges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Early rehab for COPD</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Pauline Bamgbala</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Review of service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30-Nov-2015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Falls Prevention</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Kylie Fairbrase; 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Sign off on business case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business case approved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Implement the business case requirements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31-Jan-2016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 non-NEL patients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Lynn Popplewell</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Gain confirmation from NL&amp;G re charging mechanism</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Frequent service users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Monitor the achievements of the providers via SRG group</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Outpatient follow up project</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Sarah Dawson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Produce paper for clinical leads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Paper submitted to clinical leads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Seek clinical input into project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Clinical input has been sourced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Feedback clinical input into the working group to develop action plan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Domestic Abuse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Jill Cunningham</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Secondment to NELC</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01-Apr-2015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4 month secondment has now been completed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LTC Management: COPD</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Pauline Bamgbala; Sarah Dawson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Draft paper outlining long term conditions model for clinical leads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Arrange meeting/s for practice engagement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Prepare paper for CoM for decision on long term conditions model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30-Nov-2015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lastRenderedPageBreak/>
              <w:drawing>
                <wp:inline distT="0" distB="0" distL="0" distR="0">
                  <wp:extent cx="200025" cy="200025"/>
                  <wp:effectExtent l="0" t="0" r="952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LTC Management: Diabetes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Pauline Bamgbala; Sarah Dawson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Evaluation of patient guide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Tier 3 weight management</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Jill Cunningham</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Service commencement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01-Jun-2015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Service now up and running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Video conferencing in primary care</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Pauline Bamgbala; Debbee Walker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Engage with GPs to receive buy-in for the local pilot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GPs have been engaged and sign up is complete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Go Live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Women and children's triangle priorities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Michelle Barnard</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Maternity specification review</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Business case for nurse prescriber</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Women's and children's quarterly newsletter</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Patient transport services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Jill Cunningham</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Review existing contracts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01-Jun-2015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contracts reviewed and notice has been served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Go out to tender</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Primary care triangle priorities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Debbee Walker; Julie Wilson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Launch pathway information portal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portal launched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7 day services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Re-commission LTC for dementia / enhanced and OOA dementia</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Reviewing all out of area and reviewing enhanced care pathway for people with complex dementia who need long-term care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31-Jan-2016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Commission step-down mental health provision</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Development of an apartment for people with mental health conditions who require step down accommodation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Re-commission advocacy services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Complete handover to new provider</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Implement parity of esteem across mental health</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Identify areas for parity of esteem and develop clear action plans to improve access for people with mental health</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31-Jan-2016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LTC - secure and </w:t>
            </w:r>
            <w:r w:rsidR="00626D07" w:rsidRPr="00615DB3">
              <w:rPr>
                <w:rFonts w:ascii="Verdana" w:eastAsia="Verdana" w:hAnsi="Verdana" w:cs="Verdana"/>
                <w:color w:val="000000"/>
                <w:sz w:val="16"/>
                <w:szCs w:val="24"/>
                <w:lang w:eastAsia="en-GB"/>
              </w:rPr>
              <w:t>stabilise</w:t>
            </w:r>
            <w:r w:rsidRPr="00615DB3">
              <w:rPr>
                <w:rFonts w:ascii="Verdana" w:eastAsia="Verdana" w:hAnsi="Verdana" w:cs="Verdana"/>
                <w:color w:val="000000"/>
                <w:sz w:val="16"/>
                <w:szCs w:val="24"/>
                <w:lang w:eastAsia="en-GB"/>
              </w:rPr>
              <w:t xml:space="preserve"> residential nursing home sector - options planning</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Write briefing paper on nursing provision for NEL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31-Aug-2015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Briefing paper completed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Re-launch LTC provider forum</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lastRenderedPageBreak/>
              <w:drawing>
                <wp:inline distT="0" distB="0" distL="0" distR="0">
                  <wp:extent cx="200025" cy="200025"/>
                  <wp:effectExtent l="0" t="0" r="9525" b="952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Wheelchair commissioning</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Understand new national data requirements for local provision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Work has been completed between the Provider, Service Lead and Performance Team to ensure the requirements are understood and can be reported against. Data has been captured since the required date of 1st July 2015, for the first report out in October 2015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Ensure first data capture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Dementia priorities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Produce a refreshed visioning document for dementia services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Older peoples carer and dementia triangle priorities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Implement and deliver the NEL carers strategy and ensure effective delivery</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Undertake 2016 Care Home Awards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Work with highest overspending practices to identify area for reduction - programme of visits for clinical lead</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Rachel Staniforth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Undertake all prescribing reviews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programme of visits for the prescribing programme lead</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Install formulary to GP prescribing system</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Rachel Staniforth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Install formulary</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Task and finish group with dieticians to review prescribing of oral nutrition supplements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Rachel Staniforth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Set up initial meeting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Meeting took place. Arranging additional meeting to produce action plan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Produce action plan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policies/shared care guidance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Rachel Staniforth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Linked to action "NEL shared care prescribing"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Social Prescribing</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Lisa Hilder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an NEL specific model for social prescribing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30-Apr-2015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Model developed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Submit an expression of interest to the Big Lottery Fund commissioning best outcomes programme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Expression of interest submitted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Submit the stage 2 application for development grant to Big </w:t>
            </w:r>
            <w:r w:rsidRPr="00615DB3">
              <w:rPr>
                <w:rFonts w:ascii="Verdana" w:eastAsia="Verdana" w:hAnsi="Verdana" w:cs="Verdana"/>
                <w:color w:val="000000"/>
                <w:sz w:val="16"/>
                <w:szCs w:val="24"/>
                <w:lang w:eastAsia="en-GB"/>
              </w:rPr>
              <w:lastRenderedPageBreak/>
              <w:t>Lottery Fund</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lastRenderedPageBreak/>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the model for social impact bonds for social prescribing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Write a business case for NEL social prescribing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Subject to success in stage 2 complete and submit Stage 3 application form to commissioning better outcomes programme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Tender for brokerage function to support social prescribing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VCS infrastructure procurement</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Lisa Hilder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Consult with local VCS organisations on the brief for their infrastructure support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consult taken place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Construct draft brief</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Brief constructed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Undertake tender process to commission VCS infrastructure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88" w:type="dxa"/>
            <w:gridSpan w:val="5"/>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Access &amp; Diversion </w:t>
            </w:r>
          </w:p>
        </w:tc>
        <w:tc>
          <w:tcPr>
            <w:tcW w:w="1877"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Extra Care Housing</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Jake Rollin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Opening of Strand Court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13-Jul-2015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Strand Court is now open with first residents moving in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Monitoring of changes in care packages as a result of extra care housing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19-Oct-2015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Martin and Rachel monitoring and producing data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Academic research by Leeds University and Whole Systems Partnership will provide analysis of the whole system efficiency including health and social care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Seven day services (Docks Collaborative)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 Julie Wilson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7 day services evaluation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Seven day services (Grimsby Central Collaborative facilitated by Lincs)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 Julie Wilson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Initial bid submitted</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Following conversation at CoM where concerns were raised re multiple 'pilots' &amp; ltd resources it was agreed that Lincs would </w:t>
            </w:r>
            <w:r w:rsidRPr="00615DB3">
              <w:rPr>
                <w:rFonts w:ascii="Verdana" w:eastAsia="Verdana" w:hAnsi="Verdana" w:cs="Verdana"/>
                <w:color w:val="000000"/>
                <w:sz w:val="16"/>
                <w:szCs w:val="24"/>
                <w:lang w:eastAsia="en-GB"/>
              </w:rPr>
              <w:lastRenderedPageBreak/>
              <w:t>facilitate an event to inc all local practices inc those fro m NEL Docks Collaborative to better understand the approa</w:t>
            </w:r>
            <w:r w:rsidR="00626D07">
              <w:rPr>
                <w:rFonts w:ascii="Verdana" w:eastAsia="Verdana" w:hAnsi="Verdana" w:cs="Verdana"/>
                <w:color w:val="000000"/>
                <w:sz w:val="16"/>
                <w:szCs w:val="24"/>
                <w:lang w:eastAsia="en-GB"/>
              </w:rPr>
              <w:t>c</w:t>
            </w:r>
            <w:r w:rsidRPr="00615DB3">
              <w:rPr>
                <w:rFonts w:ascii="Verdana" w:eastAsia="Verdana" w:hAnsi="Verdana" w:cs="Verdana"/>
                <w:color w:val="000000"/>
                <w:sz w:val="16"/>
                <w:szCs w:val="24"/>
                <w:lang w:eastAsia="en-GB"/>
              </w:rPr>
              <w:t xml:space="preserve">h being piloted by NEL Docks &amp; early proposals from Grimsby Central to agree a way forward (additional info within Covalent notes)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Pilot service commences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Evaluation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Seven Day Services (Whole System)</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Michelle Barnard</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Quarterly performance monitoring - Adults community nursing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17-Aug-2015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Complete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Quarterly performance monitoring </w:t>
            </w:r>
            <w:r w:rsidR="00626D07">
              <w:rPr>
                <w:rFonts w:ascii="Verdana" w:eastAsia="Verdana" w:hAnsi="Verdana" w:cs="Verdana"/>
                <w:color w:val="000000"/>
                <w:sz w:val="16"/>
                <w:szCs w:val="24"/>
                <w:lang w:eastAsia="en-GB"/>
              </w:rPr>
              <w:t>–</w:t>
            </w:r>
            <w:r w:rsidRPr="00615DB3">
              <w:rPr>
                <w:rFonts w:ascii="Verdana" w:eastAsia="Verdana" w:hAnsi="Verdana" w:cs="Verdana"/>
                <w:color w:val="000000"/>
                <w:sz w:val="16"/>
                <w:szCs w:val="24"/>
                <w:lang w:eastAsia="en-GB"/>
              </w:rPr>
              <w:t xml:space="preserve"> Children</w:t>
            </w:r>
            <w:r w:rsidR="00626D07">
              <w:rPr>
                <w:rFonts w:ascii="Verdana" w:eastAsia="Verdana" w:hAnsi="Verdana" w:cs="Verdana"/>
                <w:color w:val="000000"/>
                <w:sz w:val="16"/>
                <w:szCs w:val="24"/>
                <w:lang w:eastAsia="en-GB"/>
              </w:rPr>
              <w:t>’</w:t>
            </w:r>
            <w:r w:rsidRPr="00615DB3">
              <w:rPr>
                <w:rFonts w:ascii="Verdana" w:eastAsia="Verdana" w:hAnsi="Verdana" w:cs="Verdana"/>
                <w:color w:val="000000"/>
                <w:sz w:val="16"/>
                <w:szCs w:val="24"/>
                <w:lang w:eastAsia="en-GB"/>
              </w:rPr>
              <w:t>s community nursing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07-Sep-2015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Quarterly performance monitoring - Children's community nursing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10-Dec-2015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Quarterly performance monitoring - Adults community nursing</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14-Jan-2016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Single Point of Access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Jake Rollin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Work to develop a SPA performance report - Martin's team</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Low priority procedures / IVF</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Michelle Barnard</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Discussion paper to DCU</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15-Jul-2015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Paper went to DCU and CoM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Decision as to whether to change current policy with regards cycles offered</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Review current policy</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ASC efficiencies and system stability</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Jake Rollin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Evidence showing reduced spend in line with available budget - financial report produced which is scrutinised at the financial programme board monthly - Rachel B</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lastRenderedPageBreak/>
              <w:drawing>
                <wp:inline distT="0" distB="0" distL="0" distR="0">
                  <wp:extent cx="200025" cy="2000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Intermediate Care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Andy Ombler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Ensure performance targets are achieved within the area which forms part of the SRG objectives and out of hospital model objective to minimise delayed transfer of care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29-Jan-2016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Primary care strategy</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Debbee Walker; Julie Wilson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Recruitment drive in the Netherlands for GPs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30-Jun-2015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completed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educational programme to support primary care transformation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Stimulate substitute services</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Jake Rollin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Report showing how many non recurrent projects invested</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31-Jul-2015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Yes</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Annual report published - See attached documentation within Covalent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LD and PD supported living review and re-commissioning</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Develop a consistent hourly rate and service specification across all providers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Close Gatehouse and re-commission</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Complete the closure of gatehouse and purchase 4 bungalows within Immingham</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30-Nov-2015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ASC Efficiencies, oversee assessments, project plan, EqIA and reviews to ensure delivery of plan - Relates to Day care Provision</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Angie Dyson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Work with Care Plus to implement the efficiencies identified re day care, meals on wheels and transport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31-Dec-2015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Care Act 2016 / hotel v care cost</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Implement the changes required as a result of the Care Act reforms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Domiciliary care contract management and transition to new model</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Jake Rollin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Ensure all service users transferred to new providers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Produce and implement adult social care strategy inc cabinet liaison and approval</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Jake Rollin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Strategy to go to cabinet for approval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Defining strategic commissioning intentions</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Julie Wilson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Agree draft commissioning intentions with clinical leads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05-Sep-2015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Agree final commissioning intensions following stakeholder engagement and publish</w:t>
            </w:r>
          </w:p>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lastRenderedPageBreak/>
              <w:drawing>
                <wp:inline distT="0" distB="0" distL="0" distR="0">
                  <wp:extent cx="200025" cy="20002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HLHF Programme - in hospital commissioner evaluation and response</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Julie Wilson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HLHF workshop sharing initial ideas for in hospital models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03-Sep-2015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Commissioner meetings to agree in hospital models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88" w:type="dxa"/>
            <w:gridSpan w:val="5"/>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Prevention and early intervention </w:t>
            </w:r>
          </w:p>
        </w:tc>
        <w:tc>
          <w:tcPr>
            <w:tcW w:w="1877"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C6D9F1" w:themeFill="text2" w:themeFillTint="33"/>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Community Equipment Services - Assisted Living Centre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Nicola McVeigh</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Imbed the service specification in delivery and launch the self purchase model</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NEL shared care prescribing</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Rachel Staniforth; Debbee Walker</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Undertake paper for GP Development group for agreement of the service implementation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TeleDermatology</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Pauline Bamgbala; Sarah Dawson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Roll out within 5 practices</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30-Sep-2015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Stroke</w:t>
            </w:r>
          </w:p>
        </w:tc>
        <w:tc>
          <w:tcPr>
            <w:tcW w:w="161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Sarah Dawson</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Input into regional stroke work reviewing hyper acute centres across the region</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31-Mar-2016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Cancer</w:t>
            </w:r>
          </w:p>
        </w:tc>
        <w:tc>
          <w:tcPr>
            <w:tcW w:w="161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Pauline Bamgbala</w:t>
            </w: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On-going work with Trusts re new key measures for 62 day wait</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31-Oct-2015</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971550" cy="2095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r w:rsidR="00615DB3" w:rsidRPr="00615DB3" w:rsidTr="00223491">
        <w:tc>
          <w:tcPr>
            <w:tcW w:w="50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349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161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8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Implement NICE guidance</w:t>
            </w:r>
          </w:p>
        </w:tc>
        <w:tc>
          <w:tcPr>
            <w:tcW w:w="133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29-Feb-2016</w:t>
            </w:r>
          </w:p>
        </w:tc>
        <w:tc>
          <w:tcPr>
            <w:tcW w:w="123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No</w:t>
            </w:r>
          </w:p>
        </w:tc>
        <w:tc>
          <w:tcPr>
            <w:tcW w:w="187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p>
        </w:tc>
        <w:tc>
          <w:tcPr>
            <w:tcW w:w="25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 xml:space="preserve"> </w:t>
            </w:r>
          </w:p>
        </w:tc>
      </w:tr>
    </w:tbl>
    <w:p w:rsidR="00615DB3" w:rsidRPr="00615DB3" w:rsidRDefault="00615DB3" w:rsidP="00615DB3">
      <w:pPr>
        <w:spacing w:after="0" w:line="240" w:lineRule="auto"/>
        <w:rPr>
          <w:rFonts w:ascii="Times New Roman" w:eastAsia="Times New Roman" w:hAnsi="Times New Roman" w:cs="Times New Roman"/>
          <w:sz w:val="24"/>
          <w:szCs w:val="24"/>
          <w:lang w:eastAsia="en-GB"/>
        </w:rPr>
        <w:sectPr w:rsidR="00615DB3" w:rsidRPr="00615DB3" w:rsidSect="002B123D">
          <w:type w:val="continuous"/>
          <w:pgSz w:w="16838" w:h="11906" w:orient="landscape"/>
          <w:pgMar w:top="680" w:right="743" w:bottom="454" w:left="743" w:header="709" w:footer="709" w:gutter="0"/>
          <w:cols w:space="708"/>
          <w:docGrid w:linePitch="360"/>
        </w:sectPr>
      </w:pPr>
    </w:p>
    <w:p w:rsidR="00615DB3" w:rsidRPr="00615DB3" w:rsidRDefault="00615DB3" w:rsidP="00615DB3">
      <w:pPr>
        <w:spacing w:after="0" w:line="12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5131"/>
        <w:gridCol w:w="5131"/>
      </w:tblGrid>
      <w:tr w:rsidR="00615DB3" w:rsidRPr="00615DB3" w:rsidTr="00223491">
        <w:tc>
          <w:tcPr>
            <w:tcW w:w="5132" w:type="dxa"/>
            <w:tcBorders>
              <w:top w:val="none" w:sz="0" w:space="0" w:color="78786E"/>
              <w:left w:val="none" w:sz="0" w:space="0" w:color="78786E"/>
              <w:bottom w:val="none" w:sz="0" w:space="0" w:color="78786E"/>
              <w:right w:val="none" w:sz="0" w:space="0" w:color="78786E"/>
            </w:tcBorders>
            <w:shd w:val="clear" w:color="auto" w:fill="FFFFFF"/>
            <w:tcMar>
              <w:top w:w="20" w:type="dxa"/>
              <w:left w:w="20" w:type="dxa"/>
              <w:bottom w:w="20" w:type="dxa"/>
              <w:right w:w="2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4310"/>
            </w:tblGrid>
            <w:tr w:rsidR="00615DB3" w:rsidRPr="00615DB3" w:rsidTr="00223491">
              <w:tc>
                <w:tcPr>
                  <w:tcW w:w="5072" w:type="dxa"/>
                  <w:gridSpan w:val="2"/>
                  <w:tcBorders>
                    <w:top w:val="single" w:sz="8" w:space="0" w:color="404040"/>
                    <w:left w:val="single" w:sz="8" w:space="0" w:color="404040"/>
                    <w:bottom w:val="none" w:sz="0" w:space="0" w:color="404040"/>
                    <w:right w:val="single" w:sz="8" w:space="0" w:color="404040"/>
                  </w:tcBorders>
                  <w:shd w:val="clear" w:color="auto" w:fill="C0C0C0"/>
                  <w:tcMar>
                    <w:top w:w="40" w:type="dxa"/>
                    <w:left w:w="40" w:type="dxa"/>
                    <w:bottom w:w="40" w:type="dxa"/>
                    <w:right w:w="40" w:type="dxa"/>
                  </w:tcMar>
                  <w:vAlign w:val="center"/>
                </w:tcPr>
                <w:p w:rsidR="00615DB3" w:rsidRPr="00615DB3" w:rsidRDefault="00615DB3" w:rsidP="00615DB3">
                  <w:pPr>
                    <w:spacing w:after="0" w:line="240" w:lineRule="auto"/>
                    <w:jc w:val="center"/>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Action Status</w:t>
                  </w:r>
                </w:p>
              </w:tc>
            </w:tr>
            <w:tr w:rsidR="00615DB3" w:rsidRPr="00615DB3" w:rsidTr="00223491">
              <w:tc>
                <w:tcPr>
                  <w:tcW w:w="760"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jc w:val="center"/>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12"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Overdue</w:t>
                  </w:r>
                </w:p>
              </w:tc>
            </w:tr>
            <w:tr w:rsidR="00615DB3" w:rsidRPr="00615DB3" w:rsidTr="00223491">
              <w:tc>
                <w:tcPr>
                  <w:tcW w:w="760"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jc w:val="center"/>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12"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Check Progress</w:t>
                  </w:r>
                </w:p>
              </w:tc>
            </w:tr>
            <w:tr w:rsidR="00615DB3" w:rsidRPr="00615DB3" w:rsidTr="00223491">
              <w:tc>
                <w:tcPr>
                  <w:tcW w:w="760"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jc w:val="center"/>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12"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In Progress</w:t>
                  </w:r>
                </w:p>
              </w:tc>
            </w:tr>
            <w:tr w:rsidR="00615DB3" w:rsidRPr="00615DB3" w:rsidTr="00223491">
              <w:tc>
                <w:tcPr>
                  <w:tcW w:w="760"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jc w:val="center"/>
                    <w:rPr>
                      <w:rFonts w:ascii="Verdana" w:eastAsia="Verdana" w:hAnsi="Verdana" w:cs="Verdana"/>
                      <w:color w:val="000000"/>
                      <w:sz w:val="16"/>
                      <w:szCs w:val="24"/>
                      <w:lang w:eastAsia="en-GB"/>
                    </w:rPr>
                  </w:pPr>
                  <w:r>
                    <w:rPr>
                      <w:rFonts w:ascii="Verdana" w:eastAsia="Verdana" w:hAnsi="Verdana" w:cs="Verdana"/>
                      <w:noProof/>
                      <w:color w:val="000000"/>
                      <w:sz w:val="16"/>
                      <w:szCs w:val="24"/>
                      <w:lang w:eastAsia="en-GB"/>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12" w:type="dxa"/>
                  <w:tcBorders>
                    <w:top w:val="single" w:sz="8" w:space="0" w:color="404040"/>
                    <w:left w:val="single" w:sz="8" w:space="0" w:color="404040"/>
                    <w:bottom w:val="single" w:sz="8" w:space="0" w:color="404040"/>
                    <w:right w:val="single" w:sz="8" w:space="0" w:color="404040"/>
                  </w:tcBorders>
                  <w:shd w:val="clear" w:color="auto" w:fill="FFFFFF"/>
                  <w:tcMar>
                    <w:top w:w="40" w:type="dxa"/>
                    <w:left w:w="40" w:type="dxa"/>
                    <w:bottom w:w="40" w:type="dxa"/>
                    <w:right w:w="40" w:type="dxa"/>
                  </w:tcMar>
                  <w:vAlign w:val="center"/>
                </w:tcPr>
                <w:p w:rsidR="00615DB3" w:rsidRPr="00615DB3" w:rsidRDefault="00615DB3" w:rsidP="00615DB3">
                  <w:pPr>
                    <w:spacing w:after="0" w:line="240" w:lineRule="auto"/>
                    <w:rPr>
                      <w:rFonts w:ascii="Verdana" w:eastAsia="Verdana" w:hAnsi="Verdana" w:cs="Verdana"/>
                      <w:color w:val="000000"/>
                      <w:sz w:val="16"/>
                      <w:szCs w:val="24"/>
                      <w:lang w:eastAsia="en-GB"/>
                    </w:rPr>
                  </w:pPr>
                  <w:r w:rsidRPr="00615DB3">
                    <w:rPr>
                      <w:rFonts w:ascii="Verdana" w:eastAsia="Verdana" w:hAnsi="Verdana" w:cs="Verdana"/>
                      <w:color w:val="000000"/>
                      <w:sz w:val="16"/>
                      <w:szCs w:val="24"/>
                      <w:lang w:eastAsia="en-GB"/>
                    </w:rPr>
                    <w:t>Completed</w:t>
                  </w:r>
                </w:p>
              </w:tc>
            </w:tr>
          </w:tbl>
          <w:p w:rsidR="00615DB3" w:rsidRPr="00615DB3" w:rsidRDefault="00615DB3" w:rsidP="00615DB3">
            <w:pPr>
              <w:spacing w:after="0" w:line="240" w:lineRule="auto"/>
              <w:jc w:val="right"/>
              <w:rPr>
                <w:rFonts w:ascii="Verdana" w:eastAsia="Verdana" w:hAnsi="Verdana" w:cs="Verdana"/>
                <w:sz w:val="16"/>
                <w:szCs w:val="24"/>
                <w:lang w:eastAsia="en-GB"/>
              </w:rPr>
            </w:pPr>
          </w:p>
        </w:tc>
        <w:tc>
          <w:tcPr>
            <w:tcW w:w="5133" w:type="dxa"/>
            <w:tcBorders>
              <w:top w:val="none" w:sz="0" w:space="0" w:color="78786E"/>
              <w:left w:val="none" w:sz="0" w:space="0" w:color="78786E"/>
              <w:bottom w:val="none" w:sz="0" w:space="0" w:color="78786E"/>
              <w:right w:val="none" w:sz="0" w:space="0" w:color="78786E"/>
            </w:tcBorders>
            <w:shd w:val="clear" w:color="auto" w:fill="FFFFFF"/>
            <w:tcMar>
              <w:top w:w="20" w:type="dxa"/>
              <w:left w:w="20" w:type="dxa"/>
              <w:bottom w:w="20" w:type="dxa"/>
              <w:right w:w="20" w:type="dxa"/>
            </w:tcMar>
          </w:tcPr>
          <w:p w:rsidR="00615DB3" w:rsidRPr="00615DB3" w:rsidRDefault="00615DB3" w:rsidP="00615DB3">
            <w:pPr>
              <w:spacing w:after="0" w:line="240" w:lineRule="auto"/>
              <w:jc w:val="right"/>
              <w:rPr>
                <w:rFonts w:ascii="Verdana" w:eastAsia="Verdana" w:hAnsi="Verdana" w:cs="Verdana"/>
                <w:sz w:val="16"/>
                <w:szCs w:val="24"/>
                <w:lang w:eastAsia="en-GB"/>
              </w:rPr>
            </w:pPr>
          </w:p>
        </w:tc>
        <w:tc>
          <w:tcPr>
            <w:tcW w:w="5133" w:type="dxa"/>
            <w:tcBorders>
              <w:top w:val="none" w:sz="0" w:space="0" w:color="78786E"/>
              <w:left w:val="none" w:sz="0" w:space="0" w:color="78786E"/>
              <w:bottom w:val="none" w:sz="0" w:space="0" w:color="78786E"/>
              <w:right w:val="none" w:sz="0" w:space="0" w:color="78786E"/>
            </w:tcBorders>
            <w:shd w:val="clear" w:color="auto" w:fill="FFFFFF"/>
            <w:tcMar>
              <w:top w:w="20" w:type="dxa"/>
              <w:left w:w="20" w:type="dxa"/>
              <w:bottom w:w="20" w:type="dxa"/>
              <w:right w:w="20" w:type="dxa"/>
            </w:tcMar>
          </w:tcPr>
          <w:p w:rsidR="00615DB3" w:rsidRPr="00615DB3" w:rsidRDefault="00615DB3" w:rsidP="00615DB3">
            <w:pPr>
              <w:spacing w:after="0" w:line="240" w:lineRule="auto"/>
              <w:jc w:val="right"/>
              <w:rPr>
                <w:rFonts w:ascii="Verdana" w:eastAsia="Verdana" w:hAnsi="Verdana" w:cs="Verdana"/>
                <w:color w:val="000000"/>
                <w:sz w:val="16"/>
                <w:szCs w:val="24"/>
                <w:lang w:eastAsia="en-GB"/>
              </w:rPr>
            </w:pPr>
          </w:p>
        </w:tc>
      </w:tr>
    </w:tbl>
    <w:p w:rsidR="00615DB3" w:rsidRPr="00615DB3" w:rsidRDefault="00615DB3" w:rsidP="00615DB3">
      <w:pPr>
        <w:spacing w:after="0" w:line="240" w:lineRule="auto"/>
        <w:rPr>
          <w:rFonts w:ascii="Times New Roman" w:eastAsia="Times New Roman" w:hAnsi="Times New Roman" w:cs="Times New Roman"/>
          <w:sz w:val="24"/>
          <w:szCs w:val="24"/>
          <w:lang w:eastAsia="en-GB"/>
        </w:rPr>
        <w:sectPr w:rsidR="00615DB3" w:rsidRPr="00615DB3" w:rsidSect="002B123D">
          <w:type w:val="continuous"/>
          <w:pgSz w:w="16838" w:h="11906" w:orient="landscape"/>
          <w:pgMar w:top="680" w:right="743" w:bottom="454" w:left="743" w:header="709" w:footer="709" w:gutter="0"/>
          <w:cols w:space="708"/>
          <w:docGrid w:linePitch="360"/>
        </w:sectPr>
      </w:pPr>
    </w:p>
    <w:p w:rsidR="00615DB3" w:rsidRPr="00615DB3" w:rsidRDefault="00615DB3" w:rsidP="00615DB3">
      <w:pPr>
        <w:spacing w:after="0" w:line="120" w:lineRule="auto"/>
        <w:rPr>
          <w:rFonts w:ascii="Times New Roman" w:eastAsia="Times New Roman" w:hAnsi="Times New Roman" w:cs="Times New Roman"/>
          <w:sz w:val="24"/>
          <w:szCs w:val="24"/>
          <w:lang w:eastAsia="en-GB"/>
        </w:rPr>
      </w:pPr>
    </w:p>
    <w:p w:rsidR="00615DB3" w:rsidRPr="00615DB3" w:rsidRDefault="00615DB3" w:rsidP="00615DB3">
      <w:pPr>
        <w:spacing w:after="0" w:line="240" w:lineRule="auto"/>
        <w:rPr>
          <w:rFonts w:ascii="Times New Roman" w:eastAsia="Times New Roman" w:hAnsi="Times New Roman" w:cs="Times New Roman"/>
          <w:sz w:val="24"/>
          <w:szCs w:val="24"/>
          <w:lang w:eastAsia="en-GB"/>
        </w:rPr>
      </w:pPr>
      <w:r w:rsidRPr="00615DB3">
        <w:rPr>
          <w:rFonts w:ascii="Times New Roman" w:eastAsia="Times New Roman" w:hAnsi="Times New Roman" w:cs="Times New Roman"/>
          <w:color w:val="FFFFFF"/>
          <w:sz w:val="24"/>
          <w:szCs w:val="24"/>
          <w:lang w:eastAsia="en-GB"/>
        </w:rPr>
        <w:t xml:space="preserve"> </w:t>
      </w:r>
    </w:p>
    <w:p w:rsidR="00A81CB7" w:rsidRPr="00A81CB7" w:rsidRDefault="00A81CB7" w:rsidP="006523D3">
      <w:pPr>
        <w:spacing w:after="0" w:line="240" w:lineRule="auto"/>
      </w:pPr>
    </w:p>
    <w:sectPr w:rsidR="00A81CB7" w:rsidRPr="00A81CB7" w:rsidSect="00245660">
      <w:footerReference w:type="default" r:id="rId26"/>
      <w:type w:val="continuous"/>
      <w:pgSz w:w="16838" w:h="11906" w:orient="landscape"/>
      <w:pgMar w:top="567" w:right="743" w:bottom="454"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A3" w:rsidRDefault="00A918A3" w:rsidP="00B908ED">
      <w:pPr>
        <w:spacing w:after="0" w:line="240" w:lineRule="auto"/>
      </w:pPr>
      <w:r>
        <w:separator/>
      </w:r>
    </w:p>
  </w:endnote>
  <w:endnote w:type="continuationSeparator" w:id="0">
    <w:p w:rsidR="00A918A3" w:rsidRDefault="00A918A3" w:rsidP="00B9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B3" w:rsidRDefault="00615DB3">
    <w:pPr>
      <w:jc w:val="center"/>
    </w:pPr>
    <w:r>
      <w:fldChar w:fldCharType="begin"/>
    </w:r>
    <w:r>
      <w:instrText>PAGE</w:instrText>
    </w:r>
    <w:r>
      <w:fldChar w:fldCharType="separate"/>
    </w:r>
    <w:r w:rsidR="006D07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60" w:rsidRDefault="00245660">
    <w:pPr>
      <w:jc w:val="center"/>
    </w:pPr>
    <w:r>
      <w:fldChar w:fldCharType="begin"/>
    </w:r>
    <w:r>
      <w:instrText>PAGE</w:instrText>
    </w:r>
    <w:r>
      <w:fldChar w:fldCharType="separate"/>
    </w:r>
    <w:r w:rsidR="00615D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A3" w:rsidRDefault="00A918A3" w:rsidP="00B908ED">
      <w:pPr>
        <w:spacing w:after="0" w:line="240" w:lineRule="auto"/>
      </w:pPr>
      <w:r>
        <w:separator/>
      </w:r>
    </w:p>
  </w:footnote>
  <w:footnote w:type="continuationSeparator" w:id="0">
    <w:p w:rsidR="00A918A3" w:rsidRDefault="00A918A3" w:rsidP="00B9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07" w:rsidRDefault="00626D07" w:rsidP="00626D07">
    <w:pPr>
      <w:pStyle w:val="Header"/>
      <w:jc w:val="right"/>
    </w:pPr>
    <w:r>
      <w:rPr>
        <w:noProof/>
        <w:lang w:eastAsia="en-GB"/>
      </w:rPr>
      <w:drawing>
        <wp:inline distT="0" distB="0" distL="0" distR="0" wp14:anchorId="4B33667B" wp14:editId="0DEF576D">
          <wp:extent cx="20066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DBD"/>
    <w:multiLevelType w:val="hybridMultilevel"/>
    <w:tmpl w:val="337812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087A6F"/>
    <w:multiLevelType w:val="hybridMultilevel"/>
    <w:tmpl w:val="B074EC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76E4DDC"/>
    <w:multiLevelType w:val="hybridMultilevel"/>
    <w:tmpl w:val="6D282020"/>
    <w:lvl w:ilvl="0" w:tplc="EAB22CA2">
      <w:start w:val="1"/>
      <w:numFmt w:val="bullet"/>
      <w:lvlText w:val="•"/>
      <w:lvlJc w:val="left"/>
      <w:pPr>
        <w:tabs>
          <w:tab w:val="num" w:pos="720"/>
        </w:tabs>
        <w:ind w:left="720" w:hanging="360"/>
      </w:pPr>
      <w:rPr>
        <w:rFonts w:ascii="Arial" w:hAnsi="Arial" w:hint="default"/>
      </w:rPr>
    </w:lvl>
    <w:lvl w:ilvl="1" w:tplc="A50E7520" w:tentative="1">
      <w:start w:val="1"/>
      <w:numFmt w:val="bullet"/>
      <w:lvlText w:val="•"/>
      <w:lvlJc w:val="left"/>
      <w:pPr>
        <w:tabs>
          <w:tab w:val="num" w:pos="1440"/>
        </w:tabs>
        <w:ind w:left="1440" w:hanging="360"/>
      </w:pPr>
      <w:rPr>
        <w:rFonts w:ascii="Arial" w:hAnsi="Arial" w:hint="default"/>
      </w:rPr>
    </w:lvl>
    <w:lvl w:ilvl="2" w:tplc="DD1E8CB2" w:tentative="1">
      <w:start w:val="1"/>
      <w:numFmt w:val="bullet"/>
      <w:lvlText w:val="•"/>
      <w:lvlJc w:val="left"/>
      <w:pPr>
        <w:tabs>
          <w:tab w:val="num" w:pos="2160"/>
        </w:tabs>
        <w:ind w:left="2160" w:hanging="360"/>
      </w:pPr>
      <w:rPr>
        <w:rFonts w:ascii="Arial" w:hAnsi="Arial" w:hint="default"/>
      </w:rPr>
    </w:lvl>
    <w:lvl w:ilvl="3" w:tplc="292CC94E" w:tentative="1">
      <w:start w:val="1"/>
      <w:numFmt w:val="bullet"/>
      <w:lvlText w:val="•"/>
      <w:lvlJc w:val="left"/>
      <w:pPr>
        <w:tabs>
          <w:tab w:val="num" w:pos="2880"/>
        </w:tabs>
        <w:ind w:left="2880" w:hanging="360"/>
      </w:pPr>
      <w:rPr>
        <w:rFonts w:ascii="Arial" w:hAnsi="Arial" w:hint="default"/>
      </w:rPr>
    </w:lvl>
    <w:lvl w:ilvl="4" w:tplc="62DC2D56" w:tentative="1">
      <w:start w:val="1"/>
      <w:numFmt w:val="bullet"/>
      <w:lvlText w:val="•"/>
      <w:lvlJc w:val="left"/>
      <w:pPr>
        <w:tabs>
          <w:tab w:val="num" w:pos="3600"/>
        </w:tabs>
        <w:ind w:left="3600" w:hanging="360"/>
      </w:pPr>
      <w:rPr>
        <w:rFonts w:ascii="Arial" w:hAnsi="Arial" w:hint="default"/>
      </w:rPr>
    </w:lvl>
    <w:lvl w:ilvl="5" w:tplc="C08AF298" w:tentative="1">
      <w:start w:val="1"/>
      <w:numFmt w:val="bullet"/>
      <w:lvlText w:val="•"/>
      <w:lvlJc w:val="left"/>
      <w:pPr>
        <w:tabs>
          <w:tab w:val="num" w:pos="4320"/>
        </w:tabs>
        <w:ind w:left="4320" w:hanging="360"/>
      </w:pPr>
      <w:rPr>
        <w:rFonts w:ascii="Arial" w:hAnsi="Arial" w:hint="default"/>
      </w:rPr>
    </w:lvl>
    <w:lvl w:ilvl="6" w:tplc="4FE0D2E8" w:tentative="1">
      <w:start w:val="1"/>
      <w:numFmt w:val="bullet"/>
      <w:lvlText w:val="•"/>
      <w:lvlJc w:val="left"/>
      <w:pPr>
        <w:tabs>
          <w:tab w:val="num" w:pos="5040"/>
        </w:tabs>
        <w:ind w:left="5040" w:hanging="360"/>
      </w:pPr>
      <w:rPr>
        <w:rFonts w:ascii="Arial" w:hAnsi="Arial" w:hint="default"/>
      </w:rPr>
    </w:lvl>
    <w:lvl w:ilvl="7" w:tplc="AE22CCC8" w:tentative="1">
      <w:start w:val="1"/>
      <w:numFmt w:val="bullet"/>
      <w:lvlText w:val="•"/>
      <w:lvlJc w:val="left"/>
      <w:pPr>
        <w:tabs>
          <w:tab w:val="num" w:pos="5760"/>
        </w:tabs>
        <w:ind w:left="5760" w:hanging="360"/>
      </w:pPr>
      <w:rPr>
        <w:rFonts w:ascii="Arial" w:hAnsi="Arial" w:hint="default"/>
      </w:rPr>
    </w:lvl>
    <w:lvl w:ilvl="8" w:tplc="D3EEE868" w:tentative="1">
      <w:start w:val="1"/>
      <w:numFmt w:val="bullet"/>
      <w:lvlText w:val="•"/>
      <w:lvlJc w:val="left"/>
      <w:pPr>
        <w:tabs>
          <w:tab w:val="num" w:pos="6480"/>
        </w:tabs>
        <w:ind w:left="6480" w:hanging="360"/>
      </w:pPr>
      <w:rPr>
        <w:rFonts w:ascii="Arial" w:hAnsi="Arial" w:hint="default"/>
      </w:rPr>
    </w:lvl>
  </w:abstractNum>
  <w:abstractNum w:abstractNumId="3">
    <w:nsid w:val="67310BE9"/>
    <w:multiLevelType w:val="hybridMultilevel"/>
    <w:tmpl w:val="24EE284A"/>
    <w:lvl w:ilvl="0" w:tplc="5F744CF4">
      <w:start w:val="1"/>
      <w:numFmt w:val="bullet"/>
      <w:lvlText w:val="•"/>
      <w:lvlJc w:val="left"/>
      <w:pPr>
        <w:tabs>
          <w:tab w:val="num" w:pos="720"/>
        </w:tabs>
        <w:ind w:left="720" w:hanging="360"/>
      </w:pPr>
      <w:rPr>
        <w:rFonts w:ascii="Arial" w:hAnsi="Arial" w:hint="default"/>
      </w:rPr>
    </w:lvl>
    <w:lvl w:ilvl="1" w:tplc="C3F660D0">
      <w:start w:val="1187"/>
      <w:numFmt w:val="bullet"/>
      <w:lvlText w:val="•"/>
      <w:lvlJc w:val="left"/>
      <w:pPr>
        <w:tabs>
          <w:tab w:val="num" w:pos="1440"/>
        </w:tabs>
        <w:ind w:left="1440" w:hanging="360"/>
      </w:pPr>
      <w:rPr>
        <w:rFonts w:ascii="Arial" w:hAnsi="Arial" w:hint="default"/>
      </w:rPr>
    </w:lvl>
    <w:lvl w:ilvl="2" w:tplc="617E9984" w:tentative="1">
      <w:start w:val="1"/>
      <w:numFmt w:val="bullet"/>
      <w:lvlText w:val="•"/>
      <w:lvlJc w:val="left"/>
      <w:pPr>
        <w:tabs>
          <w:tab w:val="num" w:pos="2160"/>
        </w:tabs>
        <w:ind w:left="2160" w:hanging="360"/>
      </w:pPr>
      <w:rPr>
        <w:rFonts w:ascii="Arial" w:hAnsi="Arial" w:hint="default"/>
      </w:rPr>
    </w:lvl>
    <w:lvl w:ilvl="3" w:tplc="D55012EE" w:tentative="1">
      <w:start w:val="1"/>
      <w:numFmt w:val="bullet"/>
      <w:lvlText w:val="•"/>
      <w:lvlJc w:val="left"/>
      <w:pPr>
        <w:tabs>
          <w:tab w:val="num" w:pos="2880"/>
        </w:tabs>
        <w:ind w:left="2880" w:hanging="360"/>
      </w:pPr>
      <w:rPr>
        <w:rFonts w:ascii="Arial" w:hAnsi="Arial" w:hint="default"/>
      </w:rPr>
    </w:lvl>
    <w:lvl w:ilvl="4" w:tplc="AB6006FA" w:tentative="1">
      <w:start w:val="1"/>
      <w:numFmt w:val="bullet"/>
      <w:lvlText w:val="•"/>
      <w:lvlJc w:val="left"/>
      <w:pPr>
        <w:tabs>
          <w:tab w:val="num" w:pos="3600"/>
        </w:tabs>
        <w:ind w:left="3600" w:hanging="360"/>
      </w:pPr>
      <w:rPr>
        <w:rFonts w:ascii="Arial" w:hAnsi="Arial" w:hint="default"/>
      </w:rPr>
    </w:lvl>
    <w:lvl w:ilvl="5" w:tplc="25FECD30" w:tentative="1">
      <w:start w:val="1"/>
      <w:numFmt w:val="bullet"/>
      <w:lvlText w:val="•"/>
      <w:lvlJc w:val="left"/>
      <w:pPr>
        <w:tabs>
          <w:tab w:val="num" w:pos="4320"/>
        </w:tabs>
        <w:ind w:left="4320" w:hanging="360"/>
      </w:pPr>
      <w:rPr>
        <w:rFonts w:ascii="Arial" w:hAnsi="Arial" w:hint="default"/>
      </w:rPr>
    </w:lvl>
    <w:lvl w:ilvl="6" w:tplc="69543918" w:tentative="1">
      <w:start w:val="1"/>
      <w:numFmt w:val="bullet"/>
      <w:lvlText w:val="•"/>
      <w:lvlJc w:val="left"/>
      <w:pPr>
        <w:tabs>
          <w:tab w:val="num" w:pos="5040"/>
        </w:tabs>
        <w:ind w:left="5040" w:hanging="360"/>
      </w:pPr>
      <w:rPr>
        <w:rFonts w:ascii="Arial" w:hAnsi="Arial" w:hint="default"/>
      </w:rPr>
    </w:lvl>
    <w:lvl w:ilvl="7" w:tplc="D4963DE6" w:tentative="1">
      <w:start w:val="1"/>
      <w:numFmt w:val="bullet"/>
      <w:lvlText w:val="•"/>
      <w:lvlJc w:val="left"/>
      <w:pPr>
        <w:tabs>
          <w:tab w:val="num" w:pos="5760"/>
        </w:tabs>
        <w:ind w:left="5760" w:hanging="360"/>
      </w:pPr>
      <w:rPr>
        <w:rFonts w:ascii="Arial" w:hAnsi="Arial" w:hint="default"/>
      </w:rPr>
    </w:lvl>
    <w:lvl w:ilvl="8" w:tplc="F7FC1DC8" w:tentative="1">
      <w:start w:val="1"/>
      <w:numFmt w:val="bullet"/>
      <w:lvlText w:val="•"/>
      <w:lvlJc w:val="left"/>
      <w:pPr>
        <w:tabs>
          <w:tab w:val="num" w:pos="6480"/>
        </w:tabs>
        <w:ind w:left="6480" w:hanging="360"/>
      </w:pPr>
      <w:rPr>
        <w:rFonts w:ascii="Arial" w:hAnsi="Arial" w:hint="default"/>
      </w:rPr>
    </w:lvl>
  </w:abstractNum>
  <w:abstractNum w:abstractNumId="4">
    <w:nsid w:val="6BE85EFC"/>
    <w:multiLevelType w:val="hybridMultilevel"/>
    <w:tmpl w:val="6088BE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48A27F6"/>
    <w:multiLevelType w:val="hybridMultilevel"/>
    <w:tmpl w:val="A73E701E"/>
    <w:lvl w:ilvl="0" w:tplc="C7F221EC">
      <w:start w:val="1"/>
      <w:numFmt w:val="bullet"/>
      <w:lvlText w:val="•"/>
      <w:lvlJc w:val="left"/>
      <w:pPr>
        <w:tabs>
          <w:tab w:val="num" w:pos="720"/>
        </w:tabs>
        <w:ind w:left="720" w:hanging="360"/>
      </w:pPr>
      <w:rPr>
        <w:rFonts w:ascii="Arial" w:hAnsi="Arial" w:hint="default"/>
      </w:rPr>
    </w:lvl>
    <w:lvl w:ilvl="1" w:tplc="BA6C6BA2">
      <w:start w:val="1187"/>
      <w:numFmt w:val="bullet"/>
      <w:lvlText w:val="–"/>
      <w:lvlJc w:val="left"/>
      <w:pPr>
        <w:tabs>
          <w:tab w:val="num" w:pos="1440"/>
        </w:tabs>
        <w:ind w:left="1440" w:hanging="360"/>
      </w:pPr>
      <w:rPr>
        <w:rFonts w:ascii="Arial" w:hAnsi="Arial" w:hint="default"/>
      </w:rPr>
    </w:lvl>
    <w:lvl w:ilvl="2" w:tplc="AA7A7E30" w:tentative="1">
      <w:start w:val="1"/>
      <w:numFmt w:val="bullet"/>
      <w:lvlText w:val="•"/>
      <w:lvlJc w:val="left"/>
      <w:pPr>
        <w:tabs>
          <w:tab w:val="num" w:pos="2160"/>
        </w:tabs>
        <w:ind w:left="2160" w:hanging="360"/>
      </w:pPr>
      <w:rPr>
        <w:rFonts w:ascii="Arial" w:hAnsi="Arial" w:hint="default"/>
      </w:rPr>
    </w:lvl>
    <w:lvl w:ilvl="3" w:tplc="53789EEE" w:tentative="1">
      <w:start w:val="1"/>
      <w:numFmt w:val="bullet"/>
      <w:lvlText w:val="•"/>
      <w:lvlJc w:val="left"/>
      <w:pPr>
        <w:tabs>
          <w:tab w:val="num" w:pos="2880"/>
        </w:tabs>
        <w:ind w:left="2880" w:hanging="360"/>
      </w:pPr>
      <w:rPr>
        <w:rFonts w:ascii="Arial" w:hAnsi="Arial" w:hint="default"/>
      </w:rPr>
    </w:lvl>
    <w:lvl w:ilvl="4" w:tplc="AC40A96C" w:tentative="1">
      <w:start w:val="1"/>
      <w:numFmt w:val="bullet"/>
      <w:lvlText w:val="•"/>
      <w:lvlJc w:val="left"/>
      <w:pPr>
        <w:tabs>
          <w:tab w:val="num" w:pos="3600"/>
        </w:tabs>
        <w:ind w:left="3600" w:hanging="360"/>
      </w:pPr>
      <w:rPr>
        <w:rFonts w:ascii="Arial" w:hAnsi="Arial" w:hint="default"/>
      </w:rPr>
    </w:lvl>
    <w:lvl w:ilvl="5" w:tplc="48A8B7C2" w:tentative="1">
      <w:start w:val="1"/>
      <w:numFmt w:val="bullet"/>
      <w:lvlText w:val="•"/>
      <w:lvlJc w:val="left"/>
      <w:pPr>
        <w:tabs>
          <w:tab w:val="num" w:pos="4320"/>
        </w:tabs>
        <w:ind w:left="4320" w:hanging="360"/>
      </w:pPr>
      <w:rPr>
        <w:rFonts w:ascii="Arial" w:hAnsi="Arial" w:hint="default"/>
      </w:rPr>
    </w:lvl>
    <w:lvl w:ilvl="6" w:tplc="35F083C4" w:tentative="1">
      <w:start w:val="1"/>
      <w:numFmt w:val="bullet"/>
      <w:lvlText w:val="•"/>
      <w:lvlJc w:val="left"/>
      <w:pPr>
        <w:tabs>
          <w:tab w:val="num" w:pos="5040"/>
        </w:tabs>
        <w:ind w:left="5040" w:hanging="360"/>
      </w:pPr>
      <w:rPr>
        <w:rFonts w:ascii="Arial" w:hAnsi="Arial" w:hint="default"/>
      </w:rPr>
    </w:lvl>
    <w:lvl w:ilvl="7" w:tplc="8CFCFFFA" w:tentative="1">
      <w:start w:val="1"/>
      <w:numFmt w:val="bullet"/>
      <w:lvlText w:val="•"/>
      <w:lvlJc w:val="left"/>
      <w:pPr>
        <w:tabs>
          <w:tab w:val="num" w:pos="5760"/>
        </w:tabs>
        <w:ind w:left="5760" w:hanging="360"/>
      </w:pPr>
      <w:rPr>
        <w:rFonts w:ascii="Arial" w:hAnsi="Arial" w:hint="default"/>
      </w:rPr>
    </w:lvl>
    <w:lvl w:ilvl="8" w:tplc="C0948498" w:tentative="1">
      <w:start w:val="1"/>
      <w:numFmt w:val="bullet"/>
      <w:lvlText w:val="•"/>
      <w:lvlJc w:val="left"/>
      <w:pPr>
        <w:tabs>
          <w:tab w:val="num" w:pos="6480"/>
        </w:tabs>
        <w:ind w:left="6480" w:hanging="360"/>
      </w:pPr>
      <w:rPr>
        <w:rFonts w:ascii="Arial" w:hAnsi="Arial" w:hint="default"/>
      </w:rPr>
    </w:lvl>
  </w:abstractNum>
  <w:abstractNum w:abstractNumId="6">
    <w:nsid w:val="7C731D82"/>
    <w:multiLevelType w:val="hybridMultilevel"/>
    <w:tmpl w:val="83FE0F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FE"/>
    <w:rsid w:val="00045E4F"/>
    <w:rsid w:val="00076442"/>
    <w:rsid w:val="000764CB"/>
    <w:rsid w:val="002242E9"/>
    <w:rsid w:val="00245660"/>
    <w:rsid w:val="002E20D9"/>
    <w:rsid w:val="00304FB2"/>
    <w:rsid w:val="003B15CD"/>
    <w:rsid w:val="003E37FE"/>
    <w:rsid w:val="00422453"/>
    <w:rsid w:val="00545B82"/>
    <w:rsid w:val="00615DB3"/>
    <w:rsid w:val="00626D07"/>
    <w:rsid w:val="006523D3"/>
    <w:rsid w:val="006673A0"/>
    <w:rsid w:val="006D078C"/>
    <w:rsid w:val="00931AD3"/>
    <w:rsid w:val="00977995"/>
    <w:rsid w:val="00A81CB7"/>
    <w:rsid w:val="00A918A3"/>
    <w:rsid w:val="00B908ED"/>
    <w:rsid w:val="00BD080C"/>
    <w:rsid w:val="00C14CFD"/>
    <w:rsid w:val="00C86579"/>
    <w:rsid w:val="00CE42D6"/>
    <w:rsid w:val="00D40BE9"/>
    <w:rsid w:val="00EC3EF7"/>
    <w:rsid w:val="00EE339A"/>
    <w:rsid w:val="00F24CB0"/>
    <w:rsid w:val="00F60AB3"/>
    <w:rsid w:val="00F63A3F"/>
    <w:rsid w:val="00FE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00"/>
    <w:pPr>
      <w:ind w:left="720"/>
      <w:contextualSpacing/>
    </w:pPr>
  </w:style>
  <w:style w:type="paragraph" w:styleId="Header">
    <w:name w:val="header"/>
    <w:basedOn w:val="Normal"/>
    <w:link w:val="HeaderChar"/>
    <w:uiPriority w:val="99"/>
    <w:unhideWhenUsed/>
    <w:rsid w:val="00B9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ED"/>
  </w:style>
  <w:style w:type="paragraph" w:styleId="Footer">
    <w:name w:val="footer"/>
    <w:basedOn w:val="Normal"/>
    <w:link w:val="FooterChar"/>
    <w:uiPriority w:val="99"/>
    <w:unhideWhenUsed/>
    <w:rsid w:val="00B9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ED"/>
  </w:style>
  <w:style w:type="paragraph" w:styleId="BalloonText">
    <w:name w:val="Balloon Text"/>
    <w:basedOn w:val="Normal"/>
    <w:link w:val="BalloonTextChar"/>
    <w:uiPriority w:val="99"/>
    <w:semiHidden/>
    <w:unhideWhenUsed/>
    <w:rsid w:val="00B9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ED"/>
    <w:rPr>
      <w:rFonts w:ascii="Tahoma" w:hAnsi="Tahoma" w:cs="Tahoma"/>
      <w:sz w:val="16"/>
      <w:szCs w:val="16"/>
    </w:rPr>
  </w:style>
  <w:style w:type="paragraph" w:styleId="NoSpacing">
    <w:name w:val="No Spacing"/>
    <w:uiPriority w:val="1"/>
    <w:qFormat/>
    <w:rsid w:val="00A81CB7"/>
    <w:pPr>
      <w:spacing w:after="0" w:line="240" w:lineRule="auto"/>
    </w:pPr>
  </w:style>
  <w:style w:type="numbering" w:customStyle="1" w:styleId="NoList1">
    <w:name w:val="No List1"/>
    <w:next w:val="NoList"/>
    <w:semiHidden/>
    <w:rsid w:val="00A81CB7"/>
  </w:style>
  <w:style w:type="numbering" w:customStyle="1" w:styleId="NoList2">
    <w:name w:val="No List2"/>
    <w:next w:val="NoList"/>
    <w:semiHidden/>
    <w:rsid w:val="003B15CD"/>
  </w:style>
  <w:style w:type="numbering" w:customStyle="1" w:styleId="NoList3">
    <w:name w:val="No List3"/>
    <w:next w:val="NoList"/>
    <w:semiHidden/>
    <w:rsid w:val="006523D3"/>
  </w:style>
  <w:style w:type="numbering" w:customStyle="1" w:styleId="NoList4">
    <w:name w:val="No List4"/>
    <w:next w:val="NoList"/>
    <w:semiHidden/>
    <w:rsid w:val="00615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00"/>
    <w:pPr>
      <w:ind w:left="720"/>
      <w:contextualSpacing/>
    </w:pPr>
  </w:style>
  <w:style w:type="paragraph" w:styleId="Header">
    <w:name w:val="header"/>
    <w:basedOn w:val="Normal"/>
    <w:link w:val="HeaderChar"/>
    <w:uiPriority w:val="99"/>
    <w:unhideWhenUsed/>
    <w:rsid w:val="00B9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ED"/>
  </w:style>
  <w:style w:type="paragraph" w:styleId="Footer">
    <w:name w:val="footer"/>
    <w:basedOn w:val="Normal"/>
    <w:link w:val="FooterChar"/>
    <w:uiPriority w:val="99"/>
    <w:unhideWhenUsed/>
    <w:rsid w:val="00B9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ED"/>
  </w:style>
  <w:style w:type="paragraph" w:styleId="BalloonText">
    <w:name w:val="Balloon Text"/>
    <w:basedOn w:val="Normal"/>
    <w:link w:val="BalloonTextChar"/>
    <w:uiPriority w:val="99"/>
    <w:semiHidden/>
    <w:unhideWhenUsed/>
    <w:rsid w:val="00B9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ED"/>
    <w:rPr>
      <w:rFonts w:ascii="Tahoma" w:hAnsi="Tahoma" w:cs="Tahoma"/>
      <w:sz w:val="16"/>
      <w:szCs w:val="16"/>
    </w:rPr>
  </w:style>
  <w:style w:type="paragraph" w:styleId="NoSpacing">
    <w:name w:val="No Spacing"/>
    <w:uiPriority w:val="1"/>
    <w:qFormat/>
    <w:rsid w:val="00A81CB7"/>
    <w:pPr>
      <w:spacing w:after="0" w:line="240" w:lineRule="auto"/>
    </w:pPr>
  </w:style>
  <w:style w:type="numbering" w:customStyle="1" w:styleId="NoList1">
    <w:name w:val="No List1"/>
    <w:next w:val="NoList"/>
    <w:semiHidden/>
    <w:rsid w:val="00A81CB7"/>
  </w:style>
  <w:style w:type="numbering" w:customStyle="1" w:styleId="NoList2">
    <w:name w:val="No List2"/>
    <w:next w:val="NoList"/>
    <w:semiHidden/>
    <w:rsid w:val="003B15CD"/>
  </w:style>
  <w:style w:type="numbering" w:customStyle="1" w:styleId="NoList3">
    <w:name w:val="No List3"/>
    <w:next w:val="NoList"/>
    <w:semiHidden/>
    <w:rsid w:val="006523D3"/>
  </w:style>
  <w:style w:type="numbering" w:customStyle="1" w:styleId="NoList4">
    <w:name w:val="No List4"/>
    <w:next w:val="NoList"/>
    <w:semiHidden/>
    <w:rsid w:val="0061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6461">
      <w:bodyDiv w:val="1"/>
      <w:marLeft w:val="0"/>
      <w:marRight w:val="0"/>
      <w:marTop w:val="0"/>
      <w:marBottom w:val="0"/>
      <w:divBdr>
        <w:top w:val="none" w:sz="0" w:space="0" w:color="auto"/>
        <w:left w:val="none" w:sz="0" w:space="0" w:color="auto"/>
        <w:bottom w:val="none" w:sz="0" w:space="0" w:color="auto"/>
        <w:right w:val="none" w:sz="0" w:space="0" w:color="auto"/>
      </w:divBdr>
      <w:divsChild>
        <w:div w:id="1179538110">
          <w:marLeft w:val="547"/>
          <w:marRight w:val="0"/>
          <w:marTop w:val="154"/>
          <w:marBottom w:val="0"/>
          <w:divBdr>
            <w:top w:val="none" w:sz="0" w:space="0" w:color="auto"/>
            <w:left w:val="none" w:sz="0" w:space="0" w:color="auto"/>
            <w:bottom w:val="none" w:sz="0" w:space="0" w:color="auto"/>
            <w:right w:val="none" w:sz="0" w:space="0" w:color="auto"/>
          </w:divBdr>
        </w:div>
        <w:div w:id="132137549">
          <w:marLeft w:val="547"/>
          <w:marRight w:val="0"/>
          <w:marTop w:val="154"/>
          <w:marBottom w:val="0"/>
          <w:divBdr>
            <w:top w:val="none" w:sz="0" w:space="0" w:color="auto"/>
            <w:left w:val="none" w:sz="0" w:space="0" w:color="auto"/>
            <w:bottom w:val="none" w:sz="0" w:space="0" w:color="auto"/>
            <w:right w:val="none" w:sz="0" w:space="0" w:color="auto"/>
          </w:divBdr>
        </w:div>
        <w:div w:id="921181403">
          <w:marLeft w:val="547"/>
          <w:marRight w:val="0"/>
          <w:marTop w:val="154"/>
          <w:marBottom w:val="0"/>
          <w:divBdr>
            <w:top w:val="none" w:sz="0" w:space="0" w:color="auto"/>
            <w:left w:val="none" w:sz="0" w:space="0" w:color="auto"/>
            <w:bottom w:val="none" w:sz="0" w:space="0" w:color="auto"/>
            <w:right w:val="none" w:sz="0" w:space="0" w:color="auto"/>
          </w:divBdr>
        </w:div>
        <w:div w:id="438570432">
          <w:marLeft w:val="547"/>
          <w:marRight w:val="0"/>
          <w:marTop w:val="154"/>
          <w:marBottom w:val="0"/>
          <w:divBdr>
            <w:top w:val="none" w:sz="0" w:space="0" w:color="auto"/>
            <w:left w:val="none" w:sz="0" w:space="0" w:color="auto"/>
            <w:bottom w:val="none" w:sz="0" w:space="0" w:color="auto"/>
            <w:right w:val="none" w:sz="0" w:space="0" w:color="auto"/>
          </w:divBdr>
        </w:div>
      </w:divsChild>
    </w:div>
    <w:div w:id="999231972">
      <w:bodyDiv w:val="1"/>
      <w:marLeft w:val="0"/>
      <w:marRight w:val="0"/>
      <w:marTop w:val="0"/>
      <w:marBottom w:val="0"/>
      <w:divBdr>
        <w:top w:val="none" w:sz="0" w:space="0" w:color="auto"/>
        <w:left w:val="none" w:sz="0" w:space="0" w:color="auto"/>
        <w:bottom w:val="none" w:sz="0" w:space="0" w:color="auto"/>
        <w:right w:val="none" w:sz="0" w:space="0" w:color="auto"/>
      </w:divBdr>
    </w:div>
    <w:div w:id="1139490557">
      <w:bodyDiv w:val="1"/>
      <w:marLeft w:val="0"/>
      <w:marRight w:val="0"/>
      <w:marTop w:val="0"/>
      <w:marBottom w:val="0"/>
      <w:divBdr>
        <w:top w:val="none" w:sz="0" w:space="0" w:color="auto"/>
        <w:left w:val="none" w:sz="0" w:space="0" w:color="auto"/>
        <w:bottom w:val="none" w:sz="0" w:space="0" w:color="auto"/>
        <w:right w:val="none" w:sz="0" w:space="0" w:color="auto"/>
      </w:divBdr>
      <w:divsChild>
        <w:div w:id="906499415">
          <w:marLeft w:val="547"/>
          <w:marRight w:val="0"/>
          <w:marTop w:val="154"/>
          <w:marBottom w:val="0"/>
          <w:divBdr>
            <w:top w:val="none" w:sz="0" w:space="0" w:color="auto"/>
            <w:left w:val="none" w:sz="0" w:space="0" w:color="auto"/>
            <w:bottom w:val="none" w:sz="0" w:space="0" w:color="auto"/>
            <w:right w:val="none" w:sz="0" w:space="0" w:color="auto"/>
          </w:divBdr>
        </w:div>
        <w:div w:id="237176922">
          <w:marLeft w:val="547"/>
          <w:marRight w:val="0"/>
          <w:marTop w:val="154"/>
          <w:marBottom w:val="0"/>
          <w:divBdr>
            <w:top w:val="none" w:sz="0" w:space="0" w:color="auto"/>
            <w:left w:val="none" w:sz="0" w:space="0" w:color="auto"/>
            <w:bottom w:val="none" w:sz="0" w:space="0" w:color="auto"/>
            <w:right w:val="none" w:sz="0" w:space="0" w:color="auto"/>
          </w:divBdr>
        </w:div>
        <w:div w:id="1431660929">
          <w:marLeft w:val="1166"/>
          <w:marRight w:val="0"/>
          <w:marTop w:val="134"/>
          <w:marBottom w:val="0"/>
          <w:divBdr>
            <w:top w:val="none" w:sz="0" w:space="0" w:color="auto"/>
            <w:left w:val="none" w:sz="0" w:space="0" w:color="auto"/>
            <w:bottom w:val="none" w:sz="0" w:space="0" w:color="auto"/>
            <w:right w:val="none" w:sz="0" w:space="0" w:color="auto"/>
          </w:divBdr>
        </w:div>
        <w:div w:id="1738478371">
          <w:marLeft w:val="547"/>
          <w:marRight w:val="0"/>
          <w:marTop w:val="154"/>
          <w:marBottom w:val="0"/>
          <w:divBdr>
            <w:top w:val="none" w:sz="0" w:space="0" w:color="auto"/>
            <w:left w:val="none" w:sz="0" w:space="0" w:color="auto"/>
            <w:bottom w:val="none" w:sz="0" w:space="0" w:color="auto"/>
            <w:right w:val="none" w:sz="0" w:space="0" w:color="auto"/>
          </w:divBdr>
        </w:div>
        <w:div w:id="1973293212">
          <w:marLeft w:val="547"/>
          <w:marRight w:val="0"/>
          <w:marTop w:val="154"/>
          <w:marBottom w:val="0"/>
          <w:divBdr>
            <w:top w:val="none" w:sz="0" w:space="0" w:color="auto"/>
            <w:left w:val="none" w:sz="0" w:space="0" w:color="auto"/>
            <w:bottom w:val="none" w:sz="0" w:space="0" w:color="auto"/>
            <w:right w:val="none" w:sz="0" w:space="0" w:color="auto"/>
          </w:divBdr>
        </w:div>
        <w:div w:id="202836929">
          <w:marLeft w:val="1166"/>
          <w:marRight w:val="0"/>
          <w:marTop w:val="134"/>
          <w:marBottom w:val="0"/>
          <w:divBdr>
            <w:top w:val="none" w:sz="0" w:space="0" w:color="auto"/>
            <w:left w:val="none" w:sz="0" w:space="0" w:color="auto"/>
            <w:bottom w:val="none" w:sz="0" w:space="0" w:color="auto"/>
            <w:right w:val="none" w:sz="0" w:space="0" w:color="auto"/>
          </w:divBdr>
        </w:div>
        <w:div w:id="2132359454">
          <w:marLeft w:val="1166"/>
          <w:marRight w:val="0"/>
          <w:marTop w:val="134"/>
          <w:marBottom w:val="0"/>
          <w:divBdr>
            <w:top w:val="none" w:sz="0" w:space="0" w:color="auto"/>
            <w:left w:val="none" w:sz="0" w:space="0" w:color="auto"/>
            <w:bottom w:val="none" w:sz="0" w:space="0" w:color="auto"/>
            <w:right w:val="none" w:sz="0" w:space="0" w:color="auto"/>
          </w:divBdr>
        </w:div>
        <w:div w:id="427893247">
          <w:marLeft w:val="547"/>
          <w:marRight w:val="0"/>
          <w:marTop w:val="154"/>
          <w:marBottom w:val="0"/>
          <w:divBdr>
            <w:top w:val="none" w:sz="0" w:space="0" w:color="auto"/>
            <w:left w:val="none" w:sz="0" w:space="0" w:color="auto"/>
            <w:bottom w:val="none" w:sz="0" w:space="0" w:color="auto"/>
            <w:right w:val="none" w:sz="0" w:space="0" w:color="auto"/>
          </w:divBdr>
        </w:div>
      </w:divsChild>
    </w:div>
    <w:div w:id="2145468157">
      <w:bodyDiv w:val="1"/>
      <w:marLeft w:val="0"/>
      <w:marRight w:val="0"/>
      <w:marTop w:val="0"/>
      <w:marBottom w:val="0"/>
      <w:divBdr>
        <w:top w:val="none" w:sz="0" w:space="0" w:color="auto"/>
        <w:left w:val="none" w:sz="0" w:space="0" w:color="auto"/>
        <w:bottom w:val="none" w:sz="0" w:space="0" w:color="auto"/>
        <w:right w:val="none" w:sz="0" w:space="0" w:color="auto"/>
      </w:divBdr>
      <w:divsChild>
        <w:div w:id="21429176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Hilder</dc:creator>
  <cp:lastModifiedBy>Helen Askham</cp:lastModifiedBy>
  <cp:revision>2</cp:revision>
  <dcterms:created xsi:type="dcterms:W3CDTF">2015-09-03T07:40:00Z</dcterms:created>
  <dcterms:modified xsi:type="dcterms:W3CDTF">2015-09-03T07:40:00Z</dcterms:modified>
</cp:coreProperties>
</file>