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BB" w:rsidRDefault="00217CBB" w:rsidP="00217CBB">
      <w:pPr>
        <w:pStyle w:val="Default"/>
      </w:pPr>
    </w:p>
    <w:p w:rsidR="00FD6077" w:rsidRDefault="00217CBB" w:rsidP="00217CBB">
      <w:pPr>
        <w:pStyle w:val="Default"/>
      </w:pPr>
      <w:r>
        <w:t xml:space="preserve">                                                                      </w:t>
      </w:r>
      <w:r>
        <w:rPr>
          <w:noProof/>
          <w:lang w:eastAsia="en-GB"/>
        </w:rPr>
        <w:drawing>
          <wp:inline distT="0" distB="0" distL="0" distR="0" wp14:anchorId="35C8D244" wp14:editId="74373B97">
            <wp:extent cx="26765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AG logo.png"/>
                    <pic:cNvPicPr/>
                  </pic:nvPicPr>
                  <pic:blipFill>
                    <a:blip r:embed="rId9">
                      <a:extLst>
                        <a:ext uri="{28A0092B-C50C-407E-A947-70E740481C1C}">
                          <a14:useLocalDpi xmlns:a14="http://schemas.microsoft.com/office/drawing/2010/main" val="0"/>
                        </a:ext>
                      </a:extLst>
                    </a:blip>
                    <a:stretch>
                      <a:fillRect/>
                    </a:stretch>
                  </pic:blipFill>
                  <pic:spPr>
                    <a:xfrm>
                      <a:off x="0" y="0"/>
                      <a:ext cx="2676525" cy="638175"/>
                    </a:xfrm>
                    <a:prstGeom prst="rect">
                      <a:avLst/>
                    </a:prstGeom>
                  </pic:spPr>
                </pic:pic>
              </a:graphicData>
            </a:graphic>
          </wp:inline>
        </w:drawing>
      </w:r>
    </w:p>
    <w:p w:rsidR="00217CBB" w:rsidRDefault="00217CBB" w:rsidP="00217CBB">
      <w:pPr>
        <w:pStyle w:val="Default"/>
      </w:pPr>
      <w:r>
        <w:rPr>
          <w:b/>
          <w:bCs/>
          <w:noProof/>
          <w:lang w:eastAsia="en-GB"/>
        </w:rPr>
        <w:drawing>
          <wp:inline distT="0" distB="0" distL="0" distR="0" wp14:anchorId="05F5F53D" wp14:editId="47CDCF7F">
            <wp:extent cx="1333500" cy="112045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 2 logo.png"/>
                    <pic:cNvPicPr/>
                  </pic:nvPicPr>
                  <pic:blipFill>
                    <a:blip r:embed="rId10">
                      <a:extLst>
                        <a:ext uri="{28A0092B-C50C-407E-A947-70E740481C1C}">
                          <a14:useLocalDpi xmlns:a14="http://schemas.microsoft.com/office/drawing/2010/main" val="0"/>
                        </a:ext>
                      </a:extLst>
                    </a:blip>
                    <a:stretch>
                      <a:fillRect/>
                    </a:stretch>
                  </pic:blipFill>
                  <pic:spPr>
                    <a:xfrm>
                      <a:off x="0" y="0"/>
                      <a:ext cx="1337598" cy="1123898"/>
                    </a:xfrm>
                    <a:prstGeom prst="rect">
                      <a:avLst/>
                    </a:prstGeom>
                  </pic:spPr>
                </pic:pic>
              </a:graphicData>
            </a:graphic>
          </wp:inline>
        </w:drawing>
      </w:r>
    </w:p>
    <w:p w:rsidR="00217CBB" w:rsidRPr="00FD6077" w:rsidRDefault="00217CBB" w:rsidP="00217CBB">
      <w:pPr>
        <w:pStyle w:val="Default"/>
      </w:pPr>
    </w:p>
    <w:p w:rsidR="00FD6077" w:rsidRDefault="00AC437C" w:rsidP="00FD6077">
      <w:pPr>
        <w:pStyle w:val="Default"/>
        <w:jc w:val="center"/>
        <w:rPr>
          <w:b/>
          <w:bCs/>
        </w:rPr>
      </w:pPr>
      <w:r>
        <w:rPr>
          <w:b/>
          <w:bCs/>
        </w:rPr>
        <w:t xml:space="preserve">MEMORANDUM OF UNDERSTANDING </w:t>
      </w:r>
    </w:p>
    <w:p w:rsidR="00FD6077" w:rsidRDefault="00FD6077" w:rsidP="00FD6077">
      <w:pPr>
        <w:pStyle w:val="Default"/>
        <w:jc w:val="center"/>
        <w:rPr>
          <w:b/>
          <w:bCs/>
        </w:rPr>
      </w:pPr>
    </w:p>
    <w:p w:rsidR="00FD6077" w:rsidRDefault="00FD6077" w:rsidP="00FD6077">
      <w:pPr>
        <w:pStyle w:val="Default"/>
        <w:jc w:val="center"/>
        <w:rPr>
          <w:b/>
          <w:bCs/>
        </w:rPr>
      </w:pPr>
      <w:r w:rsidRPr="00FD6077">
        <w:rPr>
          <w:b/>
          <w:bCs/>
        </w:rPr>
        <w:t>FOR</w:t>
      </w:r>
    </w:p>
    <w:p w:rsidR="00FD6077" w:rsidRDefault="00FD6077" w:rsidP="00FD6077">
      <w:pPr>
        <w:pStyle w:val="Default"/>
        <w:jc w:val="center"/>
        <w:rPr>
          <w:b/>
          <w:bCs/>
        </w:rPr>
      </w:pPr>
    </w:p>
    <w:p w:rsidR="00FD6077" w:rsidRPr="00FD6077" w:rsidRDefault="00FD6077" w:rsidP="00FD6077">
      <w:pPr>
        <w:pStyle w:val="Default"/>
        <w:jc w:val="center"/>
      </w:pPr>
      <w:r w:rsidRPr="00FD6077">
        <w:rPr>
          <w:b/>
          <w:bCs/>
        </w:rPr>
        <w:t xml:space="preserve">THE </w:t>
      </w:r>
      <w:r>
        <w:rPr>
          <w:b/>
          <w:bCs/>
        </w:rPr>
        <w:t>CLINICAL COMMISSIONING GROUPS (CCG)</w:t>
      </w:r>
      <w:r w:rsidRPr="00FD6077">
        <w:rPr>
          <w:b/>
          <w:bCs/>
        </w:rPr>
        <w:t>:</w:t>
      </w:r>
    </w:p>
    <w:p w:rsidR="00FD6077" w:rsidRDefault="00FD6077" w:rsidP="00FD6077">
      <w:pPr>
        <w:pStyle w:val="Default"/>
        <w:jc w:val="center"/>
        <w:rPr>
          <w:b/>
          <w:bCs/>
        </w:rPr>
      </w:pPr>
    </w:p>
    <w:p w:rsidR="00FD6077" w:rsidRPr="00FD6077" w:rsidRDefault="00FD6077" w:rsidP="00FD6077">
      <w:pPr>
        <w:pStyle w:val="Default"/>
        <w:jc w:val="center"/>
      </w:pPr>
      <w:r>
        <w:rPr>
          <w:b/>
          <w:bCs/>
        </w:rPr>
        <w:t>NHS NORTH LINCOLNSHIRE CCG</w:t>
      </w:r>
    </w:p>
    <w:p w:rsidR="00FD6077" w:rsidRPr="00FD6077" w:rsidRDefault="00FD6077" w:rsidP="00FD6077">
      <w:pPr>
        <w:pStyle w:val="Default"/>
        <w:jc w:val="center"/>
      </w:pPr>
      <w:r>
        <w:rPr>
          <w:b/>
          <w:bCs/>
        </w:rPr>
        <w:t>NHS NORTH EAST LINCOLNSHIRE CCG</w:t>
      </w:r>
    </w:p>
    <w:p w:rsidR="00FD6077" w:rsidRDefault="00FD6077" w:rsidP="00FD6077">
      <w:pPr>
        <w:pStyle w:val="Default"/>
        <w:jc w:val="center"/>
        <w:rPr>
          <w:b/>
          <w:bCs/>
        </w:rPr>
      </w:pPr>
    </w:p>
    <w:p w:rsidR="00FD6077" w:rsidRDefault="00FD6077" w:rsidP="00FD6077">
      <w:pPr>
        <w:pStyle w:val="Default"/>
        <w:jc w:val="center"/>
        <w:rPr>
          <w:b/>
          <w:bCs/>
        </w:rPr>
      </w:pPr>
      <w:r>
        <w:rPr>
          <w:b/>
          <w:bCs/>
        </w:rPr>
        <w:t>AND</w:t>
      </w:r>
    </w:p>
    <w:p w:rsidR="00FD6077" w:rsidRDefault="00FD6077" w:rsidP="00FD6077">
      <w:pPr>
        <w:pStyle w:val="Default"/>
        <w:jc w:val="center"/>
        <w:rPr>
          <w:b/>
          <w:bCs/>
        </w:rPr>
      </w:pPr>
    </w:p>
    <w:p w:rsidR="00FD6077" w:rsidRDefault="00FD6077" w:rsidP="00FD6077">
      <w:pPr>
        <w:pStyle w:val="Default"/>
        <w:jc w:val="center"/>
        <w:rPr>
          <w:b/>
          <w:bCs/>
        </w:rPr>
      </w:pPr>
      <w:r>
        <w:rPr>
          <w:b/>
          <w:bCs/>
        </w:rPr>
        <w:t>NORTHERN LINCOLNSHIRE GOOLE NHS FOUNDATION TRUST</w:t>
      </w:r>
    </w:p>
    <w:p w:rsidR="00AC437C" w:rsidRPr="00F32291" w:rsidRDefault="00196765" w:rsidP="00FD6077">
      <w:pPr>
        <w:pStyle w:val="Default"/>
        <w:jc w:val="center"/>
        <w:rPr>
          <w:b/>
        </w:rPr>
      </w:pPr>
      <w:r w:rsidRPr="00F32291">
        <w:rPr>
          <w:b/>
        </w:rPr>
        <w:t>NAViGO</w:t>
      </w:r>
    </w:p>
    <w:p w:rsidR="00FD6077" w:rsidRPr="00F32291" w:rsidRDefault="00A04770" w:rsidP="00FD6077">
      <w:pPr>
        <w:pStyle w:val="Default"/>
        <w:jc w:val="center"/>
        <w:rPr>
          <w:b/>
        </w:rPr>
      </w:pPr>
      <w:r>
        <w:rPr>
          <w:b/>
        </w:rPr>
        <w:t>CARE PLUS GROUP</w:t>
      </w:r>
    </w:p>
    <w:p w:rsidR="00FD6077" w:rsidRPr="00FD6077" w:rsidRDefault="00FD6077" w:rsidP="00FD6077">
      <w:pPr>
        <w:pStyle w:val="Default"/>
        <w:jc w:val="center"/>
      </w:pPr>
    </w:p>
    <w:p w:rsidR="00FD6077" w:rsidRDefault="00FD6077" w:rsidP="00FD6077">
      <w:pPr>
        <w:pStyle w:val="Default"/>
        <w:jc w:val="center"/>
        <w:rPr>
          <w:b/>
          <w:bCs/>
        </w:rPr>
      </w:pPr>
      <w:r>
        <w:rPr>
          <w:b/>
          <w:bCs/>
        </w:rPr>
        <w:t>EFFECTIVE DATE:</w:t>
      </w:r>
    </w:p>
    <w:p w:rsidR="00FD6077" w:rsidRDefault="00FD6077" w:rsidP="00FD6077">
      <w:pPr>
        <w:pStyle w:val="Default"/>
        <w:jc w:val="center"/>
        <w:rPr>
          <w:b/>
          <w:bCs/>
        </w:rPr>
      </w:pPr>
    </w:p>
    <w:p w:rsidR="00FD6077" w:rsidRDefault="00FD6077" w:rsidP="00FD6077">
      <w:pPr>
        <w:pStyle w:val="Default"/>
        <w:jc w:val="center"/>
        <w:rPr>
          <w:b/>
          <w:bCs/>
        </w:rPr>
      </w:pPr>
      <w:r>
        <w:rPr>
          <w:b/>
          <w:bCs/>
        </w:rPr>
        <w:t xml:space="preserve"> 1 APRIL 2015</w:t>
      </w:r>
    </w:p>
    <w:p w:rsidR="003F63B4" w:rsidRDefault="003F63B4" w:rsidP="00FD6077">
      <w:pPr>
        <w:pStyle w:val="Default"/>
        <w:jc w:val="center"/>
        <w:rPr>
          <w:b/>
          <w:bCs/>
        </w:rPr>
      </w:pPr>
    </w:p>
    <w:p w:rsidR="003F63B4" w:rsidRDefault="003F63B4" w:rsidP="00FD6077">
      <w:pPr>
        <w:pStyle w:val="Default"/>
        <w:jc w:val="center"/>
        <w:rPr>
          <w:b/>
          <w:bCs/>
        </w:rPr>
      </w:pPr>
    </w:p>
    <w:p w:rsidR="00FD6077" w:rsidRPr="001B37BF" w:rsidRDefault="001B37BF" w:rsidP="00FD6077">
      <w:pPr>
        <w:pStyle w:val="Default"/>
        <w:rPr>
          <w:b/>
          <w:bCs/>
          <w:color w:val="FF0000"/>
        </w:rPr>
      </w:pPr>
      <w:r w:rsidRPr="001B37BF">
        <w:rPr>
          <w:b/>
          <w:bCs/>
          <w:color w:val="FF0000"/>
        </w:rPr>
        <w:t>Add NAViGO CARE Plus logos</w:t>
      </w:r>
    </w:p>
    <w:p w:rsidR="00217CBB" w:rsidRDefault="00FD6077" w:rsidP="00217CBB">
      <w:pPr>
        <w:pStyle w:val="Default"/>
        <w:jc w:val="right"/>
        <w:rPr>
          <w:b/>
          <w:bCs/>
        </w:rPr>
      </w:pPr>
      <w:r>
        <w:rPr>
          <w:b/>
          <w:bCs/>
          <w:noProof/>
          <w:lang w:eastAsia="en-GB"/>
        </w:rPr>
        <w:drawing>
          <wp:inline distT="0" distB="0" distL="0" distR="0" wp14:anchorId="3D9E06AA" wp14:editId="72728531">
            <wp:extent cx="2152951" cy="562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CG 2 logo.png"/>
                    <pic:cNvPicPr/>
                  </pic:nvPicPr>
                  <pic:blipFill>
                    <a:blip r:embed="rId11">
                      <a:extLst>
                        <a:ext uri="{28A0092B-C50C-407E-A947-70E740481C1C}">
                          <a14:useLocalDpi xmlns:a14="http://schemas.microsoft.com/office/drawing/2010/main" val="0"/>
                        </a:ext>
                      </a:extLst>
                    </a:blip>
                    <a:stretch>
                      <a:fillRect/>
                    </a:stretch>
                  </pic:blipFill>
                  <pic:spPr>
                    <a:xfrm>
                      <a:off x="0" y="0"/>
                      <a:ext cx="2152951" cy="562053"/>
                    </a:xfrm>
                    <a:prstGeom prst="rect">
                      <a:avLst/>
                    </a:prstGeom>
                  </pic:spPr>
                </pic:pic>
              </a:graphicData>
            </a:graphic>
          </wp:inline>
        </w:drawing>
      </w:r>
    </w:p>
    <w:p w:rsidR="00217CBB" w:rsidRDefault="00217CBB" w:rsidP="00217CBB">
      <w:pPr>
        <w:pStyle w:val="Default"/>
        <w:jc w:val="right"/>
        <w:rPr>
          <w:b/>
          <w:bCs/>
        </w:rPr>
      </w:pPr>
    </w:p>
    <w:p w:rsidR="00217CBB" w:rsidRDefault="00217CBB" w:rsidP="00217CBB">
      <w:pPr>
        <w:pStyle w:val="Default"/>
        <w:jc w:val="right"/>
        <w:rPr>
          <w:b/>
          <w:bCs/>
        </w:rPr>
      </w:pPr>
      <w:r>
        <w:rPr>
          <w:b/>
          <w:bCs/>
          <w:noProof/>
          <w:lang w:eastAsia="en-GB"/>
        </w:rPr>
        <w:drawing>
          <wp:inline distT="0" distB="0" distL="0" distR="0" wp14:anchorId="2E6C960C" wp14:editId="16C51DE8">
            <wp:extent cx="2145320" cy="55778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 logo.png"/>
                    <pic:cNvPicPr/>
                  </pic:nvPicPr>
                  <pic:blipFill>
                    <a:blip r:embed="rId12">
                      <a:extLst>
                        <a:ext uri="{28A0092B-C50C-407E-A947-70E740481C1C}">
                          <a14:useLocalDpi xmlns:a14="http://schemas.microsoft.com/office/drawing/2010/main" val="0"/>
                        </a:ext>
                      </a:extLst>
                    </a:blip>
                    <a:stretch>
                      <a:fillRect/>
                    </a:stretch>
                  </pic:blipFill>
                  <pic:spPr>
                    <a:xfrm>
                      <a:off x="0" y="0"/>
                      <a:ext cx="2162062" cy="562137"/>
                    </a:xfrm>
                    <a:prstGeom prst="rect">
                      <a:avLst/>
                    </a:prstGeom>
                  </pic:spPr>
                </pic:pic>
              </a:graphicData>
            </a:graphic>
          </wp:inline>
        </w:drawing>
      </w:r>
    </w:p>
    <w:p w:rsidR="00217CBB" w:rsidRDefault="00217CBB" w:rsidP="00217CBB">
      <w:pPr>
        <w:pStyle w:val="Default"/>
        <w:jc w:val="right"/>
        <w:rPr>
          <w:b/>
          <w:bCs/>
        </w:rPr>
      </w:pPr>
    </w:p>
    <w:p w:rsidR="00FD6077" w:rsidRDefault="00217CBB" w:rsidP="00217CBB">
      <w:pPr>
        <w:pStyle w:val="Default"/>
        <w:jc w:val="right"/>
        <w:rPr>
          <w:b/>
          <w:bCs/>
        </w:rPr>
      </w:pPr>
      <w:r>
        <w:rPr>
          <w:b/>
          <w:bCs/>
          <w:noProof/>
          <w:lang w:eastAsia="en-GB"/>
        </w:rPr>
        <w:drawing>
          <wp:inline distT="0" distB="0" distL="0" distR="0" wp14:anchorId="23191511" wp14:editId="1449E11B">
            <wp:extent cx="3100201" cy="33771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AG Trust logo.png"/>
                    <pic:cNvPicPr/>
                  </pic:nvPicPr>
                  <pic:blipFill>
                    <a:blip r:embed="rId13">
                      <a:extLst>
                        <a:ext uri="{28A0092B-C50C-407E-A947-70E740481C1C}">
                          <a14:useLocalDpi xmlns:a14="http://schemas.microsoft.com/office/drawing/2010/main" val="0"/>
                        </a:ext>
                      </a:extLst>
                    </a:blip>
                    <a:stretch>
                      <a:fillRect/>
                    </a:stretch>
                  </pic:blipFill>
                  <pic:spPr>
                    <a:xfrm>
                      <a:off x="0" y="0"/>
                      <a:ext cx="3159221" cy="344141"/>
                    </a:xfrm>
                    <a:prstGeom prst="rect">
                      <a:avLst/>
                    </a:prstGeom>
                  </pic:spPr>
                </pic:pic>
              </a:graphicData>
            </a:graphic>
          </wp:inline>
        </w:drawing>
      </w:r>
    </w:p>
    <w:p w:rsidR="00FD6077" w:rsidRDefault="00FD6077" w:rsidP="00FD6077">
      <w:pPr>
        <w:pStyle w:val="Default"/>
      </w:pPr>
    </w:p>
    <w:p w:rsidR="00217CBB" w:rsidRDefault="00217CBB" w:rsidP="00FD6077">
      <w:pPr>
        <w:pStyle w:val="Default"/>
      </w:pPr>
    </w:p>
    <w:tbl>
      <w:tblPr>
        <w:tblStyle w:val="TableGrid"/>
        <w:tblW w:w="0" w:type="auto"/>
        <w:tblLook w:val="04A0" w:firstRow="1" w:lastRow="0" w:firstColumn="1" w:lastColumn="0" w:noHBand="0" w:noVBand="1"/>
      </w:tblPr>
      <w:tblGrid>
        <w:gridCol w:w="4621"/>
        <w:gridCol w:w="4621"/>
      </w:tblGrid>
      <w:tr w:rsidR="003F63B4" w:rsidRPr="003F63B4" w:rsidTr="00360314">
        <w:tc>
          <w:tcPr>
            <w:tcW w:w="4621" w:type="dxa"/>
          </w:tcPr>
          <w:p w:rsidR="003F63B4" w:rsidRPr="003F63B4" w:rsidRDefault="003F63B4" w:rsidP="003F63B4">
            <w:pPr>
              <w:autoSpaceDE w:val="0"/>
              <w:autoSpaceDN w:val="0"/>
              <w:adjustRightInd w:val="0"/>
              <w:rPr>
                <w:rFonts w:ascii="Arial" w:hAnsi="Arial" w:cs="Arial"/>
                <w:color w:val="000000"/>
                <w:sz w:val="24"/>
                <w:szCs w:val="24"/>
              </w:rPr>
            </w:pPr>
            <w:r w:rsidRPr="003F63B4">
              <w:rPr>
                <w:rFonts w:ascii="Arial" w:hAnsi="Arial" w:cs="Arial"/>
                <w:color w:val="000000"/>
                <w:sz w:val="24"/>
                <w:szCs w:val="24"/>
              </w:rPr>
              <w:t>Produced by</w:t>
            </w:r>
          </w:p>
        </w:tc>
        <w:tc>
          <w:tcPr>
            <w:tcW w:w="4621" w:type="dxa"/>
          </w:tcPr>
          <w:p w:rsidR="003F63B4" w:rsidRPr="003F63B4" w:rsidRDefault="0091058F" w:rsidP="003F63B4">
            <w:pPr>
              <w:autoSpaceDE w:val="0"/>
              <w:autoSpaceDN w:val="0"/>
              <w:adjustRightInd w:val="0"/>
              <w:rPr>
                <w:rFonts w:ascii="Arial" w:hAnsi="Arial" w:cs="Arial"/>
                <w:color w:val="000000"/>
                <w:sz w:val="24"/>
                <w:szCs w:val="24"/>
              </w:rPr>
            </w:pPr>
            <w:r>
              <w:rPr>
                <w:rFonts w:ascii="Arial" w:hAnsi="Arial" w:cs="Arial"/>
                <w:color w:val="000000"/>
                <w:sz w:val="24"/>
                <w:szCs w:val="24"/>
              </w:rPr>
              <w:t>Directors of Finance</w:t>
            </w:r>
            <w:r w:rsidR="00966BE9">
              <w:rPr>
                <w:rFonts w:ascii="Arial" w:hAnsi="Arial" w:cs="Arial"/>
                <w:color w:val="000000"/>
                <w:sz w:val="24"/>
                <w:szCs w:val="24"/>
              </w:rPr>
              <w:t>/CFOs</w:t>
            </w:r>
            <w:r>
              <w:rPr>
                <w:rFonts w:ascii="Arial" w:hAnsi="Arial" w:cs="Arial"/>
                <w:color w:val="000000"/>
                <w:sz w:val="24"/>
                <w:szCs w:val="24"/>
              </w:rPr>
              <w:t xml:space="preserve"> (All Parties)</w:t>
            </w:r>
          </w:p>
        </w:tc>
      </w:tr>
      <w:tr w:rsidR="003F63B4" w:rsidRPr="003F63B4" w:rsidTr="00360314">
        <w:tc>
          <w:tcPr>
            <w:tcW w:w="4621" w:type="dxa"/>
          </w:tcPr>
          <w:p w:rsidR="003F63B4" w:rsidRPr="003F63B4" w:rsidRDefault="003F63B4" w:rsidP="003F63B4">
            <w:pPr>
              <w:autoSpaceDE w:val="0"/>
              <w:autoSpaceDN w:val="0"/>
              <w:adjustRightInd w:val="0"/>
              <w:rPr>
                <w:rFonts w:ascii="Arial" w:hAnsi="Arial" w:cs="Arial"/>
                <w:color w:val="000000"/>
                <w:sz w:val="24"/>
                <w:szCs w:val="24"/>
              </w:rPr>
            </w:pPr>
            <w:r w:rsidRPr="003F63B4">
              <w:rPr>
                <w:rFonts w:ascii="Arial" w:hAnsi="Arial" w:cs="Arial"/>
                <w:color w:val="000000"/>
                <w:sz w:val="24"/>
                <w:szCs w:val="24"/>
              </w:rPr>
              <w:t>Document version</w:t>
            </w:r>
          </w:p>
        </w:tc>
        <w:tc>
          <w:tcPr>
            <w:tcW w:w="4621" w:type="dxa"/>
          </w:tcPr>
          <w:p w:rsidR="003F63B4" w:rsidRPr="003F63B4" w:rsidRDefault="00DB0943" w:rsidP="003F63B4">
            <w:pPr>
              <w:autoSpaceDE w:val="0"/>
              <w:autoSpaceDN w:val="0"/>
              <w:adjustRightInd w:val="0"/>
              <w:rPr>
                <w:rFonts w:ascii="Arial" w:hAnsi="Arial" w:cs="Arial"/>
                <w:color w:val="000000"/>
                <w:sz w:val="24"/>
                <w:szCs w:val="24"/>
              </w:rPr>
            </w:pPr>
            <w:r>
              <w:rPr>
                <w:rFonts w:ascii="Arial" w:hAnsi="Arial" w:cs="Arial"/>
                <w:color w:val="000000"/>
                <w:sz w:val="24"/>
                <w:szCs w:val="24"/>
              </w:rPr>
              <w:t>Version 2</w:t>
            </w:r>
            <w:r w:rsidR="003F63B4" w:rsidRPr="003F63B4">
              <w:rPr>
                <w:rFonts w:ascii="Arial" w:hAnsi="Arial" w:cs="Arial"/>
                <w:color w:val="000000"/>
                <w:sz w:val="24"/>
                <w:szCs w:val="24"/>
              </w:rPr>
              <w:t>.0</w:t>
            </w:r>
          </w:p>
        </w:tc>
      </w:tr>
      <w:tr w:rsidR="003F63B4" w:rsidRPr="003F63B4" w:rsidTr="00360314">
        <w:tc>
          <w:tcPr>
            <w:tcW w:w="4621" w:type="dxa"/>
          </w:tcPr>
          <w:p w:rsidR="003F63B4" w:rsidRPr="003F63B4" w:rsidRDefault="003F63B4" w:rsidP="003F63B4">
            <w:pPr>
              <w:autoSpaceDE w:val="0"/>
              <w:autoSpaceDN w:val="0"/>
              <w:adjustRightInd w:val="0"/>
              <w:rPr>
                <w:rFonts w:ascii="Arial" w:hAnsi="Arial" w:cs="Arial"/>
                <w:color w:val="000000"/>
                <w:sz w:val="24"/>
                <w:szCs w:val="24"/>
              </w:rPr>
            </w:pPr>
            <w:r w:rsidRPr="003F63B4">
              <w:rPr>
                <w:rFonts w:ascii="Arial" w:hAnsi="Arial" w:cs="Arial"/>
                <w:color w:val="000000"/>
                <w:sz w:val="24"/>
                <w:szCs w:val="24"/>
              </w:rPr>
              <w:t>Publication date</w:t>
            </w:r>
          </w:p>
        </w:tc>
        <w:tc>
          <w:tcPr>
            <w:tcW w:w="4621" w:type="dxa"/>
          </w:tcPr>
          <w:p w:rsidR="003F63B4" w:rsidRPr="003F63B4" w:rsidRDefault="003F63B4" w:rsidP="003F63B4">
            <w:pPr>
              <w:autoSpaceDE w:val="0"/>
              <w:autoSpaceDN w:val="0"/>
              <w:adjustRightInd w:val="0"/>
              <w:rPr>
                <w:rFonts w:ascii="Arial" w:hAnsi="Arial" w:cs="Arial"/>
                <w:color w:val="000000"/>
                <w:sz w:val="24"/>
                <w:szCs w:val="24"/>
              </w:rPr>
            </w:pPr>
            <w:r>
              <w:rPr>
                <w:rFonts w:ascii="Arial" w:hAnsi="Arial" w:cs="Arial"/>
                <w:color w:val="000000"/>
                <w:sz w:val="24"/>
                <w:szCs w:val="24"/>
              </w:rPr>
              <w:t>11</w:t>
            </w:r>
            <w:r w:rsidRPr="003F63B4">
              <w:rPr>
                <w:rFonts w:ascii="Arial" w:hAnsi="Arial" w:cs="Arial"/>
                <w:color w:val="000000"/>
                <w:sz w:val="24"/>
                <w:szCs w:val="24"/>
                <w:vertAlign w:val="superscript"/>
              </w:rPr>
              <w:t>th</w:t>
            </w:r>
            <w:r>
              <w:rPr>
                <w:rFonts w:ascii="Arial" w:hAnsi="Arial" w:cs="Arial"/>
                <w:color w:val="000000"/>
                <w:sz w:val="24"/>
                <w:szCs w:val="24"/>
              </w:rPr>
              <w:t xml:space="preserve"> March</w:t>
            </w:r>
            <w:r w:rsidRPr="003F63B4">
              <w:rPr>
                <w:rFonts w:ascii="Arial" w:hAnsi="Arial" w:cs="Arial"/>
                <w:color w:val="000000"/>
                <w:sz w:val="24"/>
                <w:szCs w:val="24"/>
              </w:rPr>
              <w:t xml:space="preserve"> 2015</w:t>
            </w:r>
          </w:p>
        </w:tc>
      </w:tr>
      <w:tr w:rsidR="003F63B4" w:rsidRPr="003F63B4" w:rsidTr="00360314">
        <w:tc>
          <w:tcPr>
            <w:tcW w:w="4621" w:type="dxa"/>
          </w:tcPr>
          <w:p w:rsidR="003F63B4" w:rsidRPr="003F63B4" w:rsidRDefault="003F63B4" w:rsidP="003F63B4">
            <w:pPr>
              <w:autoSpaceDE w:val="0"/>
              <w:autoSpaceDN w:val="0"/>
              <w:adjustRightInd w:val="0"/>
              <w:rPr>
                <w:rFonts w:ascii="Arial" w:hAnsi="Arial" w:cs="Arial"/>
                <w:color w:val="000000"/>
                <w:sz w:val="24"/>
                <w:szCs w:val="24"/>
              </w:rPr>
            </w:pPr>
            <w:r w:rsidRPr="003F63B4">
              <w:rPr>
                <w:rFonts w:ascii="Arial" w:hAnsi="Arial" w:cs="Arial"/>
                <w:color w:val="000000"/>
                <w:sz w:val="24"/>
                <w:szCs w:val="24"/>
              </w:rPr>
              <w:t>Review date</w:t>
            </w:r>
          </w:p>
        </w:tc>
        <w:tc>
          <w:tcPr>
            <w:tcW w:w="4621" w:type="dxa"/>
          </w:tcPr>
          <w:p w:rsidR="003F63B4" w:rsidRPr="003F63B4" w:rsidRDefault="003F63B4" w:rsidP="003F63B4">
            <w:pPr>
              <w:autoSpaceDE w:val="0"/>
              <w:autoSpaceDN w:val="0"/>
              <w:adjustRightInd w:val="0"/>
              <w:rPr>
                <w:rFonts w:ascii="Arial" w:hAnsi="Arial" w:cs="Arial"/>
                <w:color w:val="000000"/>
                <w:sz w:val="24"/>
                <w:szCs w:val="24"/>
              </w:rPr>
            </w:pPr>
            <w:r>
              <w:rPr>
                <w:rFonts w:ascii="Arial" w:hAnsi="Arial" w:cs="Arial"/>
                <w:color w:val="000000"/>
                <w:sz w:val="24"/>
                <w:szCs w:val="24"/>
              </w:rPr>
              <w:t>March</w:t>
            </w:r>
            <w:r w:rsidRPr="003F63B4">
              <w:rPr>
                <w:rFonts w:ascii="Arial" w:hAnsi="Arial" w:cs="Arial"/>
                <w:color w:val="000000"/>
                <w:sz w:val="24"/>
                <w:szCs w:val="24"/>
              </w:rPr>
              <w:t xml:space="preserve"> 2016</w:t>
            </w:r>
          </w:p>
        </w:tc>
      </w:tr>
    </w:tbl>
    <w:p w:rsidR="00FD6077" w:rsidRPr="003F63B4" w:rsidRDefault="003F63B4" w:rsidP="00D14B0C">
      <w:pPr>
        <w:rPr>
          <w:b/>
        </w:rPr>
      </w:pPr>
      <w:r>
        <w:br w:type="page"/>
      </w:r>
      <w:r w:rsidRPr="003F63B4">
        <w:rPr>
          <w:b/>
        </w:rPr>
        <w:t>Contents:</w:t>
      </w:r>
    </w:p>
    <w:p w:rsidR="003F63B4" w:rsidRDefault="003F63B4" w:rsidP="00FD6077">
      <w:pPr>
        <w:pStyle w:val="Default"/>
        <w:rPr>
          <w:color w:val="auto"/>
        </w:rPr>
      </w:pPr>
    </w:p>
    <w:p w:rsidR="003F63B4" w:rsidRDefault="00577676" w:rsidP="00577676">
      <w:pPr>
        <w:pStyle w:val="Default"/>
        <w:numPr>
          <w:ilvl w:val="0"/>
          <w:numId w:val="7"/>
        </w:numPr>
        <w:rPr>
          <w:color w:val="auto"/>
        </w:rPr>
      </w:pPr>
      <w:r>
        <w:rPr>
          <w:color w:val="auto"/>
        </w:rPr>
        <w:t>Introduction</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E58B3">
        <w:rPr>
          <w:color w:val="auto"/>
        </w:rPr>
        <w:tab/>
      </w:r>
      <w:r>
        <w:rPr>
          <w:color w:val="auto"/>
        </w:rPr>
        <w:tab/>
      </w:r>
      <w:r w:rsidR="006D6F46">
        <w:rPr>
          <w:color w:val="auto"/>
        </w:rPr>
        <w:t>2</w:t>
      </w:r>
    </w:p>
    <w:p w:rsidR="00561537" w:rsidRDefault="00561537" w:rsidP="00561537">
      <w:pPr>
        <w:pStyle w:val="Default"/>
        <w:ind w:left="720"/>
        <w:rPr>
          <w:color w:val="auto"/>
        </w:rPr>
      </w:pPr>
    </w:p>
    <w:p w:rsidR="00577676" w:rsidRDefault="00577676" w:rsidP="00577676">
      <w:pPr>
        <w:pStyle w:val="Default"/>
        <w:numPr>
          <w:ilvl w:val="0"/>
          <w:numId w:val="7"/>
        </w:numPr>
        <w:rPr>
          <w:color w:val="auto"/>
        </w:rPr>
      </w:pPr>
      <w:r>
        <w:rPr>
          <w:color w:val="auto"/>
        </w:rPr>
        <w:t xml:space="preserve">Parties to the </w:t>
      </w:r>
      <w:r w:rsidR="00AC437C">
        <w:rPr>
          <w:color w:val="auto"/>
        </w:rPr>
        <w:t>MOU</w:t>
      </w:r>
      <w:r>
        <w:rPr>
          <w:color w:val="auto"/>
        </w:rPr>
        <w:tab/>
      </w:r>
      <w:r>
        <w:rPr>
          <w:color w:val="auto"/>
        </w:rPr>
        <w:tab/>
      </w:r>
      <w:r>
        <w:rPr>
          <w:color w:val="auto"/>
        </w:rPr>
        <w:tab/>
      </w:r>
      <w:r>
        <w:rPr>
          <w:color w:val="auto"/>
        </w:rPr>
        <w:tab/>
      </w:r>
      <w:r>
        <w:rPr>
          <w:color w:val="auto"/>
        </w:rPr>
        <w:tab/>
      </w:r>
      <w:r w:rsidR="006E58B3">
        <w:rPr>
          <w:color w:val="auto"/>
        </w:rPr>
        <w:tab/>
      </w:r>
      <w:r>
        <w:rPr>
          <w:color w:val="auto"/>
        </w:rPr>
        <w:tab/>
      </w:r>
    </w:p>
    <w:p w:rsidR="00577676" w:rsidRDefault="00577676" w:rsidP="00577676">
      <w:pPr>
        <w:pStyle w:val="Default"/>
        <w:numPr>
          <w:ilvl w:val="0"/>
          <w:numId w:val="7"/>
        </w:numPr>
        <w:rPr>
          <w:color w:val="auto"/>
        </w:rPr>
      </w:pPr>
      <w:r>
        <w:rPr>
          <w:color w:val="auto"/>
        </w:rPr>
        <w:t>Purpose</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E58B3">
        <w:rPr>
          <w:color w:val="auto"/>
        </w:rPr>
        <w:tab/>
      </w:r>
      <w:r w:rsidR="006D6F46">
        <w:rPr>
          <w:color w:val="auto"/>
        </w:rPr>
        <w:t>4</w:t>
      </w:r>
    </w:p>
    <w:p w:rsidR="00561537" w:rsidRDefault="00561537" w:rsidP="00561537">
      <w:pPr>
        <w:pStyle w:val="Default"/>
        <w:ind w:left="720"/>
        <w:rPr>
          <w:color w:val="auto"/>
        </w:rPr>
      </w:pPr>
    </w:p>
    <w:p w:rsidR="00561537" w:rsidRDefault="00577676" w:rsidP="00577676">
      <w:pPr>
        <w:pStyle w:val="Default"/>
        <w:numPr>
          <w:ilvl w:val="0"/>
          <w:numId w:val="7"/>
        </w:numPr>
        <w:rPr>
          <w:color w:val="auto"/>
        </w:rPr>
      </w:pPr>
      <w:r>
        <w:rPr>
          <w:color w:val="auto"/>
        </w:rPr>
        <w:t>Principles</w:t>
      </w:r>
      <w:r w:rsidR="006D6F46">
        <w:rPr>
          <w:color w:val="auto"/>
        </w:rPr>
        <w:t xml:space="preserve"> and Values</w:t>
      </w:r>
    </w:p>
    <w:p w:rsidR="00577676" w:rsidRDefault="00577676" w:rsidP="00561537">
      <w:pPr>
        <w:pStyle w:val="Default"/>
        <w:ind w:left="720"/>
        <w:rPr>
          <w:color w:val="auto"/>
        </w:rPr>
      </w:pPr>
    </w:p>
    <w:p w:rsidR="00561537" w:rsidRDefault="006D6F46" w:rsidP="00577676">
      <w:pPr>
        <w:pStyle w:val="Default"/>
        <w:numPr>
          <w:ilvl w:val="0"/>
          <w:numId w:val="7"/>
        </w:numPr>
        <w:rPr>
          <w:color w:val="auto"/>
        </w:rPr>
      </w:pPr>
      <w:r>
        <w:rPr>
          <w:color w:val="auto"/>
        </w:rPr>
        <w:t>Roles and Responsibilities</w:t>
      </w:r>
      <w:r>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t>6</w:t>
      </w:r>
    </w:p>
    <w:p w:rsidR="00577676" w:rsidRDefault="00577676" w:rsidP="006E58B3">
      <w:pPr>
        <w:pStyle w:val="Default"/>
        <w:ind w:left="709"/>
        <w:rPr>
          <w:color w:val="auto"/>
        </w:rPr>
      </w:pPr>
    </w:p>
    <w:p w:rsidR="006D6F46" w:rsidRDefault="006D6F46" w:rsidP="006D6F46">
      <w:pPr>
        <w:pStyle w:val="Default"/>
        <w:numPr>
          <w:ilvl w:val="1"/>
          <w:numId w:val="8"/>
        </w:numPr>
        <w:ind w:left="1276" w:hanging="567"/>
        <w:rPr>
          <w:color w:val="auto"/>
        </w:rPr>
      </w:pPr>
      <w:r>
        <w:rPr>
          <w:color w:val="auto"/>
        </w:rPr>
        <w:t>NHS England North and Sub Regional Team</w:t>
      </w:r>
    </w:p>
    <w:p w:rsidR="00561537" w:rsidRDefault="00561537" w:rsidP="00561537">
      <w:pPr>
        <w:pStyle w:val="Default"/>
        <w:ind w:left="360"/>
        <w:rPr>
          <w:color w:val="auto"/>
        </w:rPr>
      </w:pPr>
    </w:p>
    <w:p w:rsidR="006D6F46" w:rsidRDefault="00561537" w:rsidP="006D6F46">
      <w:pPr>
        <w:pStyle w:val="Default"/>
        <w:numPr>
          <w:ilvl w:val="1"/>
          <w:numId w:val="8"/>
        </w:numPr>
        <w:ind w:left="1276" w:hanging="567"/>
        <w:rPr>
          <w:color w:val="auto"/>
        </w:rPr>
      </w:pPr>
      <w:r>
        <w:rPr>
          <w:color w:val="auto"/>
        </w:rPr>
        <w:t>Appointment of Senior Responsible Officer (SRO)</w:t>
      </w:r>
    </w:p>
    <w:p w:rsidR="00561537" w:rsidRDefault="00561537" w:rsidP="00561537">
      <w:pPr>
        <w:pStyle w:val="Default"/>
        <w:ind w:left="1276"/>
        <w:rPr>
          <w:color w:val="auto"/>
        </w:rPr>
      </w:pPr>
    </w:p>
    <w:p w:rsidR="00561537" w:rsidRDefault="00A4214B" w:rsidP="006D6F46">
      <w:pPr>
        <w:pStyle w:val="Default"/>
        <w:numPr>
          <w:ilvl w:val="1"/>
          <w:numId w:val="8"/>
        </w:numPr>
        <w:ind w:left="1276" w:hanging="567"/>
        <w:rPr>
          <w:color w:val="auto"/>
        </w:rPr>
      </w:pPr>
      <w:r>
        <w:rPr>
          <w:color w:val="auto"/>
        </w:rPr>
        <w:t>Community Finance Plan</w:t>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t>7</w:t>
      </w:r>
    </w:p>
    <w:p w:rsidR="00561537" w:rsidRDefault="00561537" w:rsidP="00561537">
      <w:pPr>
        <w:pStyle w:val="Default"/>
        <w:ind w:left="1276"/>
        <w:rPr>
          <w:color w:val="auto"/>
        </w:rPr>
      </w:pPr>
    </w:p>
    <w:p w:rsidR="00561537" w:rsidRDefault="00561537" w:rsidP="006D6F46">
      <w:pPr>
        <w:pStyle w:val="Default"/>
        <w:numPr>
          <w:ilvl w:val="1"/>
          <w:numId w:val="8"/>
        </w:numPr>
        <w:ind w:left="1276" w:hanging="567"/>
        <w:rPr>
          <w:color w:val="auto"/>
        </w:rPr>
      </w:pPr>
      <w:r>
        <w:rPr>
          <w:color w:val="auto"/>
        </w:rPr>
        <w:t>Parties Open Book 2015-16 Contract/Transition Plans</w:t>
      </w:r>
    </w:p>
    <w:p w:rsidR="00561537" w:rsidRDefault="00561537" w:rsidP="00561537">
      <w:pPr>
        <w:pStyle w:val="Default"/>
        <w:numPr>
          <w:ilvl w:val="2"/>
          <w:numId w:val="8"/>
        </w:numPr>
        <w:ind w:left="1985" w:hanging="709"/>
        <w:rPr>
          <w:color w:val="auto"/>
        </w:rPr>
      </w:pPr>
      <w:r>
        <w:rPr>
          <w:color w:val="auto"/>
        </w:rPr>
        <w:t>NEL CCG Plan</w:t>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t>8</w:t>
      </w:r>
    </w:p>
    <w:p w:rsidR="00561537" w:rsidRDefault="00561537" w:rsidP="00561537">
      <w:pPr>
        <w:pStyle w:val="Default"/>
        <w:numPr>
          <w:ilvl w:val="2"/>
          <w:numId w:val="8"/>
        </w:numPr>
        <w:ind w:left="1985" w:hanging="709"/>
        <w:rPr>
          <w:color w:val="auto"/>
        </w:rPr>
      </w:pPr>
      <w:r>
        <w:rPr>
          <w:color w:val="auto"/>
        </w:rPr>
        <w:t>NL CCG Plan</w:t>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t>9</w:t>
      </w:r>
    </w:p>
    <w:p w:rsidR="00A04770" w:rsidRDefault="00561537" w:rsidP="00561537">
      <w:pPr>
        <w:pStyle w:val="Default"/>
        <w:numPr>
          <w:ilvl w:val="2"/>
          <w:numId w:val="8"/>
        </w:numPr>
        <w:ind w:left="1985" w:hanging="709"/>
        <w:rPr>
          <w:color w:val="auto"/>
        </w:rPr>
      </w:pPr>
      <w:r>
        <w:rPr>
          <w:color w:val="auto"/>
        </w:rPr>
        <w:t>NLaG Plan</w:t>
      </w:r>
    </w:p>
    <w:p w:rsidR="00A04770" w:rsidRDefault="00A04770" w:rsidP="00561537">
      <w:pPr>
        <w:pStyle w:val="Default"/>
        <w:numPr>
          <w:ilvl w:val="2"/>
          <w:numId w:val="8"/>
        </w:numPr>
        <w:ind w:left="1985" w:hanging="709"/>
        <w:rPr>
          <w:color w:val="auto"/>
        </w:rPr>
      </w:pPr>
      <w:r>
        <w:rPr>
          <w:color w:val="auto"/>
        </w:rPr>
        <w:t>NAViGO Plan</w:t>
      </w:r>
    </w:p>
    <w:p w:rsidR="00561537" w:rsidRDefault="00A04770" w:rsidP="00561537">
      <w:pPr>
        <w:pStyle w:val="Default"/>
        <w:numPr>
          <w:ilvl w:val="2"/>
          <w:numId w:val="8"/>
        </w:numPr>
        <w:ind w:left="1985" w:hanging="709"/>
        <w:rPr>
          <w:color w:val="auto"/>
        </w:rPr>
      </w:pPr>
      <w:r>
        <w:rPr>
          <w:color w:val="auto"/>
        </w:rPr>
        <w:t>Care Plus Group Plan</w:t>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r>
      <w:r w:rsidR="006E58B3">
        <w:rPr>
          <w:color w:val="auto"/>
        </w:rPr>
        <w:tab/>
        <w:t>10</w:t>
      </w:r>
    </w:p>
    <w:p w:rsidR="00561537" w:rsidRDefault="00561537" w:rsidP="00561537">
      <w:pPr>
        <w:pStyle w:val="Default"/>
        <w:rPr>
          <w:color w:val="auto"/>
        </w:rPr>
      </w:pPr>
    </w:p>
    <w:p w:rsidR="00561537" w:rsidRDefault="00E902FB" w:rsidP="00561537">
      <w:pPr>
        <w:pStyle w:val="Default"/>
        <w:numPr>
          <w:ilvl w:val="0"/>
          <w:numId w:val="7"/>
        </w:numPr>
        <w:rPr>
          <w:color w:val="auto"/>
        </w:rPr>
      </w:pPr>
      <w:r>
        <w:rPr>
          <w:color w:val="auto"/>
        </w:rPr>
        <w:t>Financial framework</w:t>
      </w:r>
      <w:r w:rsidR="00C61EA1">
        <w:rPr>
          <w:color w:val="auto"/>
        </w:rPr>
        <w:t xml:space="preserve"> and incentives</w:t>
      </w:r>
      <w:r w:rsidR="00C61EA1">
        <w:rPr>
          <w:color w:val="auto"/>
        </w:rPr>
        <w:tab/>
      </w:r>
      <w:r w:rsidR="00C61EA1">
        <w:rPr>
          <w:color w:val="auto"/>
        </w:rPr>
        <w:tab/>
      </w:r>
      <w:r w:rsidR="00C61EA1">
        <w:rPr>
          <w:color w:val="auto"/>
        </w:rPr>
        <w:tab/>
      </w:r>
      <w:r w:rsidR="00C61EA1">
        <w:rPr>
          <w:color w:val="auto"/>
        </w:rPr>
        <w:tab/>
      </w:r>
      <w:r w:rsidR="00C61EA1">
        <w:rPr>
          <w:color w:val="auto"/>
        </w:rPr>
        <w:tab/>
      </w:r>
      <w:r w:rsidR="00C61EA1">
        <w:rPr>
          <w:color w:val="auto"/>
        </w:rPr>
        <w:tab/>
      </w:r>
      <w:r w:rsidR="006E58B3">
        <w:rPr>
          <w:color w:val="auto"/>
        </w:rPr>
        <w:t>11</w:t>
      </w:r>
    </w:p>
    <w:p w:rsidR="00A4214B" w:rsidRDefault="00A4214B" w:rsidP="00A4214B">
      <w:pPr>
        <w:pStyle w:val="Default"/>
        <w:ind w:left="720"/>
        <w:rPr>
          <w:color w:val="auto"/>
        </w:rPr>
      </w:pPr>
    </w:p>
    <w:p w:rsidR="00A04770" w:rsidRDefault="00E902FB" w:rsidP="00A4214B">
      <w:pPr>
        <w:pStyle w:val="Default"/>
        <w:ind w:left="1440" w:hanging="731"/>
        <w:rPr>
          <w:color w:val="auto"/>
        </w:rPr>
      </w:pPr>
      <w:r>
        <w:rPr>
          <w:color w:val="auto"/>
        </w:rPr>
        <w:t xml:space="preserve">6.1 </w:t>
      </w:r>
      <w:r w:rsidR="00A04770">
        <w:rPr>
          <w:color w:val="auto"/>
        </w:rPr>
        <w:t>Principles</w:t>
      </w:r>
    </w:p>
    <w:p w:rsidR="00A4214B" w:rsidRDefault="00A04770" w:rsidP="00A4214B">
      <w:pPr>
        <w:pStyle w:val="Default"/>
        <w:ind w:left="1440" w:hanging="731"/>
        <w:rPr>
          <w:color w:val="auto"/>
        </w:rPr>
      </w:pPr>
      <w:r>
        <w:rPr>
          <w:color w:val="auto"/>
        </w:rPr>
        <w:t xml:space="preserve">6.2 </w:t>
      </w:r>
      <w:r w:rsidR="00E902FB">
        <w:rPr>
          <w:color w:val="auto"/>
        </w:rPr>
        <w:t>Conditions</w:t>
      </w:r>
    </w:p>
    <w:p w:rsidR="00E902FB" w:rsidRDefault="00E902FB" w:rsidP="00A4214B">
      <w:pPr>
        <w:pStyle w:val="Default"/>
        <w:ind w:left="1440" w:hanging="731"/>
        <w:rPr>
          <w:color w:val="auto"/>
        </w:rPr>
      </w:pPr>
    </w:p>
    <w:p w:rsidR="00E902FB" w:rsidRDefault="00E902FB" w:rsidP="00E902FB">
      <w:pPr>
        <w:pStyle w:val="Default"/>
        <w:numPr>
          <w:ilvl w:val="0"/>
          <w:numId w:val="7"/>
        </w:numPr>
        <w:rPr>
          <w:color w:val="auto"/>
        </w:rPr>
      </w:pPr>
      <w:r>
        <w:rPr>
          <w:color w:val="auto"/>
        </w:rPr>
        <w:t>Shared financial risk strategy</w:t>
      </w:r>
    </w:p>
    <w:p w:rsidR="00E902FB" w:rsidRDefault="00E902FB" w:rsidP="00E902FB">
      <w:pPr>
        <w:pStyle w:val="Default"/>
        <w:ind w:left="720"/>
        <w:rPr>
          <w:color w:val="auto"/>
        </w:rPr>
      </w:pPr>
    </w:p>
    <w:p w:rsidR="00E902FB" w:rsidRDefault="00E902FB" w:rsidP="00E902FB">
      <w:pPr>
        <w:pStyle w:val="Default"/>
        <w:numPr>
          <w:ilvl w:val="0"/>
          <w:numId w:val="7"/>
        </w:numPr>
        <w:rPr>
          <w:color w:val="auto"/>
        </w:rPr>
      </w:pPr>
      <w:r>
        <w:rPr>
          <w:color w:val="auto"/>
        </w:rPr>
        <w:t>Governance framework</w:t>
      </w:r>
    </w:p>
    <w:p w:rsidR="00E902FB" w:rsidRPr="00B50EEC" w:rsidRDefault="00E902FB" w:rsidP="00E902FB">
      <w:pPr>
        <w:pStyle w:val="ListParagraph"/>
        <w:rPr>
          <w:rFonts w:ascii="Arial" w:hAnsi="Arial" w:cs="Arial"/>
          <w:sz w:val="24"/>
          <w:szCs w:val="24"/>
        </w:rPr>
      </w:pPr>
      <w:r w:rsidRPr="00B50EEC">
        <w:rPr>
          <w:rFonts w:ascii="Arial" w:hAnsi="Arial" w:cs="Arial"/>
          <w:sz w:val="24"/>
          <w:szCs w:val="24"/>
        </w:rPr>
        <w:t xml:space="preserve">8.1 </w:t>
      </w:r>
      <w:r w:rsidR="00A04770">
        <w:rPr>
          <w:rFonts w:ascii="Arial" w:hAnsi="Arial" w:cs="Arial"/>
          <w:sz w:val="24"/>
          <w:szCs w:val="24"/>
        </w:rPr>
        <w:t xml:space="preserve">All </w:t>
      </w:r>
      <w:r w:rsidRPr="00B50EEC">
        <w:rPr>
          <w:rFonts w:ascii="Arial" w:hAnsi="Arial" w:cs="Arial"/>
          <w:sz w:val="24"/>
          <w:szCs w:val="24"/>
        </w:rPr>
        <w:t>parties</w:t>
      </w:r>
    </w:p>
    <w:p w:rsidR="00E902FB" w:rsidRPr="00B50EEC" w:rsidRDefault="00E902FB" w:rsidP="00E902FB">
      <w:pPr>
        <w:pStyle w:val="ListParagraph"/>
        <w:rPr>
          <w:rFonts w:ascii="Arial" w:hAnsi="Arial" w:cs="Arial"/>
          <w:sz w:val="24"/>
          <w:szCs w:val="24"/>
        </w:rPr>
      </w:pPr>
      <w:r w:rsidRPr="00B50EEC">
        <w:rPr>
          <w:rFonts w:ascii="Arial" w:hAnsi="Arial" w:cs="Arial"/>
          <w:sz w:val="24"/>
          <w:szCs w:val="24"/>
        </w:rPr>
        <w:t>8.2</w:t>
      </w:r>
      <w:r w:rsidR="00A04770">
        <w:rPr>
          <w:rFonts w:ascii="Arial" w:hAnsi="Arial" w:cs="Arial"/>
          <w:sz w:val="24"/>
          <w:szCs w:val="24"/>
        </w:rPr>
        <w:t>/8.3</w:t>
      </w:r>
      <w:r w:rsidRPr="00B50EEC">
        <w:rPr>
          <w:rFonts w:ascii="Arial" w:hAnsi="Arial" w:cs="Arial"/>
          <w:sz w:val="24"/>
          <w:szCs w:val="24"/>
        </w:rPr>
        <w:t xml:space="preserve"> Provider Governance framework</w:t>
      </w:r>
    </w:p>
    <w:p w:rsidR="00192F5B" w:rsidRPr="00B50EEC" w:rsidRDefault="00192F5B" w:rsidP="00E902FB">
      <w:pPr>
        <w:pStyle w:val="ListParagraph"/>
        <w:rPr>
          <w:rFonts w:ascii="Arial" w:hAnsi="Arial" w:cs="Arial"/>
          <w:sz w:val="24"/>
          <w:szCs w:val="24"/>
        </w:rPr>
      </w:pPr>
    </w:p>
    <w:p w:rsidR="00192F5B" w:rsidRDefault="00192F5B" w:rsidP="00192F5B">
      <w:pPr>
        <w:pStyle w:val="ListParagraph"/>
        <w:numPr>
          <w:ilvl w:val="0"/>
          <w:numId w:val="7"/>
        </w:numPr>
        <w:rPr>
          <w:rFonts w:ascii="Arial" w:hAnsi="Arial" w:cs="Arial"/>
          <w:sz w:val="24"/>
          <w:szCs w:val="24"/>
        </w:rPr>
      </w:pPr>
      <w:r w:rsidRPr="00B50EEC">
        <w:rPr>
          <w:rFonts w:ascii="Arial" w:hAnsi="Arial" w:cs="Arial"/>
          <w:sz w:val="24"/>
          <w:szCs w:val="24"/>
        </w:rPr>
        <w:t>Status</w:t>
      </w:r>
      <w:r w:rsidR="00B50EEC" w:rsidRPr="00B50EEC">
        <w:rPr>
          <w:rFonts w:ascii="Arial" w:hAnsi="Arial" w:cs="Arial"/>
          <w:sz w:val="24"/>
          <w:szCs w:val="24"/>
        </w:rPr>
        <w:t xml:space="preserve"> and Next Steps</w:t>
      </w:r>
    </w:p>
    <w:p w:rsidR="002C7E5A" w:rsidRDefault="002C7E5A" w:rsidP="00F32291">
      <w:pPr>
        <w:pStyle w:val="ListParagraph"/>
        <w:rPr>
          <w:rFonts w:ascii="Arial" w:hAnsi="Arial" w:cs="Arial"/>
          <w:sz w:val="24"/>
          <w:szCs w:val="24"/>
        </w:rPr>
      </w:pPr>
    </w:p>
    <w:p w:rsidR="00AC437C" w:rsidRPr="00B50EEC" w:rsidRDefault="002C7E5A" w:rsidP="00192F5B">
      <w:pPr>
        <w:pStyle w:val="ListParagraph"/>
        <w:numPr>
          <w:ilvl w:val="0"/>
          <w:numId w:val="7"/>
        </w:numPr>
        <w:rPr>
          <w:rFonts w:ascii="Arial" w:hAnsi="Arial" w:cs="Arial"/>
          <w:sz w:val="24"/>
          <w:szCs w:val="24"/>
        </w:rPr>
      </w:pPr>
      <w:r>
        <w:rPr>
          <w:rFonts w:ascii="Arial" w:hAnsi="Arial" w:cs="Arial"/>
          <w:sz w:val="24"/>
          <w:szCs w:val="24"/>
        </w:rPr>
        <w:t>Dispute Resolution</w:t>
      </w:r>
    </w:p>
    <w:p w:rsidR="00E902FB" w:rsidRDefault="00E902FB" w:rsidP="00E902FB">
      <w:pPr>
        <w:pStyle w:val="Default"/>
        <w:ind w:left="720"/>
        <w:rPr>
          <w:color w:val="auto"/>
        </w:rPr>
      </w:pPr>
    </w:p>
    <w:p w:rsidR="00E902FB" w:rsidRDefault="00E902FB" w:rsidP="00E902FB">
      <w:pPr>
        <w:pStyle w:val="Default"/>
        <w:ind w:left="720"/>
        <w:rPr>
          <w:color w:val="auto"/>
        </w:rPr>
      </w:pPr>
    </w:p>
    <w:p w:rsidR="00E902FB" w:rsidRDefault="00A04770" w:rsidP="00E902FB">
      <w:pPr>
        <w:pStyle w:val="Default"/>
        <w:ind w:left="720"/>
        <w:rPr>
          <w:color w:val="auto"/>
        </w:rPr>
      </w:pPr>
      <w:r>
        <w:rPr>
          <w:color w:val="auto"/>
        </w:rPr>
        <w:t xml:space="preserve">Appendix 1 </w:t>
      </w:r>
    </w:p>
    <w:p w:rsidR="00A04770" w:rsidRDefault="00A04770" w:rsidP="00E902FB">
      <w:pPr>
        <w:pStyle w:val="Default"/>
        <w:ind w:left="720"/>
        <w:rPr>
          <w:color w:val="auto"/>
        </w:rPr>
      </w:pPr>
      <w:r>
        <w:rPr>
          <w:color w:val="auto"/>
        </w:rPr>
        <w:t>Appendix 2</w:t>
      </w:r>
    </w:p>
    <w:p w:rsidR="00A04770" w:rsidRDefault="00A04770" w:rsidP="00E902FB">
      <w:pPr>
        <w:pStyle w:val="Default"/>
        <w:ind w:left="720"/>
        <w:rPr>
          <w:color w:val="auto"/>
        </w:rPr>
      </w:pPr>
      <w:r>
        <w:rPr>
          <w:color w:val="auto"/>
        </w:rPr>
        <w:t>Appendix 3</w:t>
      </w:r>
    </w:p>
    <w:p w:rsidR="00A04770" w:rsidRDefault="00A04770" w:rsidP="00E902FB">
      <w:pPr>
        <w:pStyle w:val="Default"/>
        <w:ind w:left="720"/>
        <w:rPr>
          <w:color w:val="auto"/>
        </w:rPr>
      </w:pPr>
      <w:r>
        <w:rPr>
          <w:color w:val="auto"/>
        </w:rPr>
        <w:t>Appendix 4</w:t>
      </w:r>
    </w:p>
    <w:p w:rsidR="00A04770" w:rsidRDefault="00A04770" w:rsidP="00E902FB">
      <w:pPr>
        <w:pStyle w:val="Default"/>
        <w:ind w:left="720"/>
        <w:rPr>
          <w:color w:val="auto"/>
        </w:rPr>
      </w:pPr>
      <w:r>
        <w:rPr>
          <w:color w:val="auto"/>
        </w:rPr>
        <w:t>Appendix 5</w:t>
      </w:r>
    </w:p>
    <w:p w:rsidR="00C61EA1" w:rsidRDefault="00C61EA1" w:rsidP="00A4214B">
      <w:pPr>
        <w:pStyle w:val="Default"/>
        <w:ind w:left="1440" w:hanging="731"/>
        <w:rPr>
          <w:color w:val="auto"/>
        </w:rPr>
      </w:pPr>
    </w:p>
    <w:p w:rsidR="00C61EA1" w:rsidRPr="00FD6077" w:rsidRDefault="00C61EA1" w:rsidP="00A4214B">
      <w:pPr>
        <w:pStyle w:val="Default"/>
        <w:ind w:left="1440" w:hanging="731"/>
        <w:rPr>
          <w:color w:val="auto"/>
        </w:rPr>
      </w:pPr>
    </w:p>
    <w:p w:rsidR="00FD6077" w:rsidRPr="00FD6077" w:rsidRDefault="002C7E5A" w:rsidP="00FD6077">
      <w:pPr>
        <w:pStyle w:val="Default"/>
        <w:pageBreakBefore/>
        <w:rPr>
          <w:color w:val="auto"/>
        </w:rPr>
      </w:pPr>
      <w:r>
        <w:rPr>
          <w:b/>
          <w:bCs/>
          <w:color w:val="auto"/>
        </w:rPr>
        <w:t xml:space="preserve">MEMORANDUM OF UNDERSTANDING </w:t>
      </w:r>
      <w:r w:rsidR="00FD6077" w:rsidRPr="00FD6077">
        <w:rPr>
          <w:b/>
          <w:bCs/>
          <w:color w:val="auto"/>
        </w:rPr>
        <w:t xml:space="preserve">FOR COLLABORATIVE WORKING </w:t>
      </w:r>
      <w:r>
        <w:rPr>
          <w:b/>
          <w:bCs/>
          <w:color w:val="auto"/>
        </w:rPr>
        <w:t>(MOU)</w:t>
      </w:r>
    </w:p>
    <w:p w:rsidR="003F63B4" w:rsidRDefault="003F63B4" w:rsidP="00FD6077">
      <w:pPr>
        <w:pStyle w:val="Default"/>
        <w:rPr>
          <w:b/>
          <w:bCs/>
          <w:color w:val="auto"/>
        </w:rPr>
      </w:pPr>
    </w:p>
    <w:p w:rsidR="00FD6077" w:rsidRPr="00FD6077" w:rsidRDefault="00FD6077" w:rsidP="00FD6077">
      <w:pPr>
        <w:pStyle w:val="Default"/>
        <w:rPr>
          <w:color w:val="auto"/>
        </w:rPr>
      </w:pPr>
      <w:r w:rsidRPr="00FD6077">
        <w:rPr>
          <w:b/>
          <w:bCs/>
          <w:color w:val="auto"/>
        </w:rPr>
        <w:t xml:space="preserve">1 Introduction </w:t>
      </w:r>
    </w:p>
    <w:p w:rsidR="00FD6077" w:rsidRPr="00FD6077" w:rsidRDefault="00FD6077" w:rsidP="00FD6077">
      <w:pPr>
        <w:pStyle w:val="Default"/>
        <w:rPr>
          <w:color w:val="auto"/>
        </w:rPr>
      </w:pPr>
    </w:p>
    <w:p w:rsidR="003F63B4" w:rsidRPr="00FD6077" w:rsidRDefault="003F63B4" w:rsidP="00FD6077">
      <w:pPr>
        <w:pStyle w:val="Default"/>
        <w:rPr>
          <w:color w:val="auto"/>
        </w:rPr>
      </w:pPr>
    </w:p>
    <w:p w:rsidR="00FD6077" w:rsidRPr="00FD6077" w:rsidRDefault="00FD6077" w:rsidP="00FD6077">
      <w:pPr>
        <w:pStyle w:val="Default"/>
        <w:rPr>
          <w:color w:val="auto"/>
        </w:rPr>
      </w:pPr>
      <w:r w:rsidRPr="00FD6077">
        <w:rPr>
          <w:color w:val="auto"/>
        </w:rPr>
        <w:t xml:space="preserve">CCGs are established under the Health and Social Care Act 2012 (“the 2012 Act”). The duties of CCGs to commission certain health services are set out in section 3 of the 2006 Act, as amended by section 13 of the 2012 Act, and the regulations made under that provision. </w:t>
      </w:r>
    </w:p>
    <w:p w:rsidR="003F63B4" w:rsidRDefault="003F63B4" w:rsidP="00FD6077">
      <w:pPr>
        <w:pStyle w:val="Default"/>
        <w:rPr>
          <w:color w:val="auto"/>
        </w:rPr>
      </w:pPr>
    </w:p>
    <w:p w:rsidR="008642F6" w:rsidRDefault="00FD6077" w:rsidP="00FD6077">
      <w:pPr>
        <w:pStyle w:val="Default"/>
        <w:rPr>
          <w:color w:val="auto"/>
        </w:rPr>
      </w:pPr>
      <w:r w:rsidRPr="00FD6077">
        <w:rPr>
          <w:color w:val="auto"/>
        </w:rPr>
        <w:t xml:space="preserve">There is a long history of collaborative commissioning across the geography of </w:t>
      </w:r>
      <w:r w:rsidR="005D7A39">
        <w:rPr>
          <w:color w:val="auto"/>
        </w:rPr>
        <w:t xml:space="preserve">Northern Lincolnshire and this </w:t>
      </w:r>
      <w:r w:rsidRPr="00FD6077">
        <w:rPr>
          <w:color w:val="auto"/>
        </w:rPr>
        <w:t xml:space="preserve">is principally driven by the shared reliance of provision of acute care from </w:t>
      </w:r>
      <w:r w:rsidR="005D7A39">
        <w:rPr>
          <w:color w:val="auto"/>
        </w:rPr>
        <w:t xml:space="preserve">Northern Lincolnshire and Goole NHS Foundation </w:t>
      </w:r>
      <w:r w:rsidRPr="00FD6077">
        <w:rPr>
          <w:color w:val="auto"/>
        </w:rPr>
        <w:t xml:space="preserve">Trust which serves the </w:t>
      </w:r>
      <w:r w:rsidR="005D7A39">
        <w:rPr>
          <w:color w:val="auto"/>
        </w:rPr>
        <w:t xml:space="preserve">two </w:t>
      </w:r>
      <w:r w:rsidRPr="00FD6077">
        <w:rPr>
          <w:color w:val="auto"/>
        </w:rPr>
        <w:t xml:space="preserve">localities in broadly equally terms. </w:t>
      </w:r>
    </w:p>
    <w:p w:rsidR="008642F6" w:rsidRDefault="008642F6" w:rsidP="00FD6077">
      <w:pPr>
        <w:pStyle w:val="Default"/>
        <w:rPr>
          <w:color w:val="auto"/>
        </w:rPr>
      </w:pPr>
    </w:p>
    <w:p w:rsidR="00FD6077" w:rsidRDefault="00FD6077" w:rsidP="00FD6077">
      <w:pPr>
        <w:pStyle w:val="Default"/>
        <w:rPr>
          <w:color w:val="auto"/>
        </w:rPr>
      </w:pPr>
      <w:r w:rsidRPr="00FD6077">
        <w:rPr>
          <w:color w:val="auto"/>
        </w:rPr>
        <w:t xml:space="preserve">Most recently this has been through the development of the </w:t>
      </w:r>
      <w:r w:rsidR="005D7A39">
        <w:rPr>
          <w:color w:val="auto"/>
        </w:rPr>
        <w:t>Better Care Fund</w:t>
      </w:r>
      <w:r w:rsidR="00C4526B">
        <w:rPr>
          <w:color w:val="auto"/>
        </w:rPr>
        <w:t xml:space="preserve"> (BCF)</w:t>
      </w:r>
      <w:r w:rsidR="005D7A39">
        <w:rPr>
          <w:color w:val="auto"/>
        </w:rPr>
        <w:t>, and the Healthy Lives Healthy Future</w:t>
      </w:r>
      <w:r w:rsidRPr="00FD6077">
        <w:rPr>
          <w:color w:val="auto"/>
        </w:rPr>
        <w:t xml:space="preserve"> </w:t>
      </w:r>
      <w:r w:rsidR="00C4526B">
        <w:rPr>
          <w:color w:val="auto"/>
        </w:rPr>
        <w:t xml:space="preserve">(HLHF) </w:t>
      </w:r>
      <w:r w:rsidRPr="00FD6077">
        <w:rPr>
          <w:color w:val="auto"/>
        </w:rPr>
        <w:t xml:space="preserve">programme focused on ensuring a quality and financially sustainable local NHS </w:t>
      </w:r>
      <w:r w:rsidR="005D7A39">
        <w:rPr>
          <w:color w:val="auto"/>
        </w:rPr>
        <w:t xml:space="preserve">supply chain </w:t>
      </w:r>
      <w:r w:rsidR="002C7E5A">
        <w:rPr>
          <w:color w:val="auto"/>
        </w:rPr>
        <w:t>and system as a whole</w:t>
      </w:r>
      <w:r w:rsidR="005D7A39">
        <w:rPr>
          <w:color w:val="auto"/>
        </w:rPr>
        <w:t xml:space="preserve"> for the future</w:t>
      </w:r>
      <w:r w:rsidR="00DE43AC">
        <w:rPr>
          <w:color w:val="auto"/>
        </w:rPr>
        <w:t xml:space="preserve"> </w:t>
      </w:r>
      <w:r w:rsidR="002C7E5A">
        <w:rPr>
          <w:color w:val="auto"/>
        </w:rPr>
        <w:t>in particular with</w:t>
      </w:r>
      <w:r w:rsidR="00DE43AC">
        <w:rPr>
          <w:color w:val="auto"/>
        </w:rPr>
        <w:t xml:space="preserve"> three local Providers being NLAG FT, NAVIGO and Care Plus Group</w:t>
      </w:r>
      <w:r w:rsidR="005D7A39">
        <w:rPr>
          <w:color w:val="auto"/>
        </w:rPr>
        <w:t>.</w:t>
      </w:r>
    </w:p>
    <w:p w:rsidR="005D7A39" w:rsidRPr="00FD6077" w:rsidRDefault="005D7A39" w:rsidP="00FD6077">
      <w:pPr>
        <w:pStyle w:val="Default"/>
        <w:rPr>
          <w:color w:val="auto"/>
        </w:rPr>
      </w:pPr>
    </w:p>
    <w:p w:rsidR="005D7A39" w:rsidRPr="00FD6077" w:rsidRDefault="005D7A39" w:rsidP="00FD6077">
      <w:pPr>
        <w:pStyle w:val="Default"/>
        <w:rPr>
          <w:color w:val="auto"/>
        </w:rPr>
      </w:pPr>
    </w:p>
    <w:p w:rsidR="00FD6077" w:rsidRPr="00FD6077" w:rsidRDefault="00FD6077" w:rsidP="00FD6077">
      <w:pPr>
        <w:pStyle w:val="Default"/>
        <w:rPr>
          <w:color w:val="auto"/>
        </w:rPr>
      </w:pPr>
      <w:r w:rsidRPr="00FD6077">
        <w:rPr>
          <w:b/>
          <w:bCs/>
          <w:color w:val="auto"/>
        </w:rPr>
        <w:t xml:space="preserve">2 Parties to the </w:t>
      </w:r>
      <w:r w:rsidR="002C7E5A">
        <w:rPr>
          <w:b/>
          <w:bCs/>
          <w:color w:val="auto"/>
        </w:rPr>
        <w:t>MOU</w:t>
      </w:r>
      <w:r w:rsidRPr="00FD6077">
        <w:rPr>
          <w:b/>
          <w:bCs/>
          <w:color w:val="auto"/>
        </w:rPr>
        <w:t xml:space="preserve"> </w:t>
      </w:r>
    </w:p>
    <w:p w:rsidR="00FD6077" w:rsidRPr="00FD6077" w:rsidRDefault="00FD6077" w:rsidP="00FD6077">
      <w:pPr>
        <w:pStyle w:val="Default"/>
        <w:rPr>
          <w:color w:val="auto"/>
        </w:rPr>
      </w:pPr>
    </w:p>
    <w:p w:rsidR="00FD6077" w:rsidRDefault="00FD6077" w:rsidP="00FD6077">
      <w:pPr>
        <w:pStyle w:val="Default"/>
        <w:rPr>
          <w:color w:val="auto"/>
        </w:rPr>
      </w:pPr>
      <w:r w:rsidRPr="00FD6077">
        <w:rPr>
          <w:color w:val="auto"/>
        </w:rPr>
        <w:t xml:space="preserve">This agreement is between the </w:t>
      </w:r>
      <w:r w:rsidR="004436A9">
        <w:rPr>
          <w:color w:val="auto"/>
        </w:rPr>
        <w:t>two</w:t>
      </w:r>
      <w:r w:rsidRPr="00FD6077">
        <w:rPr>
          <w:color w:val="auto"/>
        </w:rPr>
        <w:t xml:space="preserve"> Clinical Commissioning Groups in </w:t>
      </w:r>
      <w:r w:rsidR="004436A9">
        <w:rPr>
          <w:color w:val="auto"/>
        </w:rPr>
        <w:t xml:space="preserve">Northern Lincolnshire and the </w:t>
      </w:r>
      <w:r w:rsidR="002C7E5A">
        <w:rPr>
          <w:color w:val="auto"/>
        </w:rPr>
        <w:t xml:space="preserve">three local </w:t>
      </w:r>
      <w:r w:rsidR="004436A9">
        <w:rPr>
          <w:color w:val="auto"/>
        </w:rPr>
        <w:t>provider</w:t>
      </w:r>
      <w:r w:rsidR="002C7E5A">
        <w:rPr>
          <w:color w:val="auto"/>
        </w:rPr>
        <w:t>s</w:t>
      </w:r>
      <w:r w:rsidRPr="00FD6077">
        <w:rPr>
          <w:color w:val="auto"/>
        </w:rPr>
        <w:t xml:space="preserve">, namely: </w:t>
      </w:r>
    </w:p>
    <w:p w:rsidR="008642F6" w:rsidRPr="00FD6077" w:rsidRDefault="008642F6" w:rsidP="00FD6077">
      <w:pPr>
        <w:pStyle w:val="Default"/>
        <w:rPr>
          <w:color w:val="auto"/>
        </w:rPr>
      </w:pPr>
    </w:p>
    <w:p w:rsidR="008642F6" w:rsidRDefault="00FD6077" w:rsidP="00FD6077">
      <w:pPr>
        <w:pStyle w:val="Default"/>
        <w:numPr>
          <w:ilvl w:val="0"/>
          <w:numId w:val="9"/>
        </w:numPr>
        <w:spacing w:after="29"/>
        <w:ind w:left="426" w:hanging="426"/>
        <w:rPr>
          <w:color w:val="auto"/>
        </w:rPr>
      </w:pPr>
      <w:r w:rsidRPr="008642F6">
        <w:rPr>
          <w:color w:val="auto"/>
        </w:rPr>
        <w:t xml:space="preserve">NHS </w:t>
      </w:r>
      <w:r w:rsidR="004436A9" w:rsidRPr="008642F6">
        <w:rPr>
          <w:color w:val="auto"/>
        </w:rPr>
        <w:t>North Lincolnshire</w:t>
      </w:r>
      <w:r w:rsidRPr="008642F6">
        <w:rPr>
          <w:color w:val="auto"/>
        </w:rPr>
        <w:t xml:space="preserve"> Clinical Commissioning Group </w:t>
      </w:r>
      <w:r w:rsidR="004436A9" w:rsidRPr="008642F6">
        <w:rPr>
          <w:color w:val="auto"/>
        </w:rPr>
        <w:t>(NLCCG)</w:t>
      </w:r>
    </w:p>
    <w:p w:rsidR="008642F6" w:rsidRDefault="004436A9" w:rsidP="00FD6077">
      <w:pPr>
        <w:pStyle w:val="Default"/>
        <w:numPr>
          <w:ilvl w:val="0"/>
          <w:numId w:val="9"/>
        </w:numPr>
        <w:spacing w:after="29"/>
        <w:ind w:left="426" w:hanging="426"/>
        <w:rPr>
          <w:color w:val="auto"/>
        </w:rPr>
      </w:pPr>
      <w:r w:rsidRPr="008642F6">
        <w:rPr>
          <w:color w:val="auto"/>
        </w:rPr>
        <w:t xml:space="preserve">NHS North East Lincolnshire </w:t>
      </w:r>
      <w:r w:rsidR="00FD6077" w:rsidRPr="008642F6">
        <w:rPr>
          <w:color w:val="auto"/>
        </w:rPr>
        <w:t xml:space="preserve">Clinical Commissioning Group </w:t>
      </w:r>
      <w:r w:rsidRPr="008642F6">
        <w:rPr>
          <w:color w:val="auto"/>
        </w:rPr>
        <w:t>(NELCCG)</w:t>
      </w:r>
    </w:p>
    <w:p w:rsidR="002C7E5A" w:rsidRDefault="004436A9" w:rsidP="00FD6077">
      <w:pPr>
        <w:pStyle w:val="Default"/>
        <w:numPr>
          <w:ilvl w:val="0"/>
          <w:numId w:val="9"/>
        </w:numPr>
        <w:spacing w:after="29"/>
        <w:ind w:left="426" w:hanging="426"/>
        <w:rPr>
          <w:color w:val="auto"/>
        </w:rPr>
      </w:pPr>
      <w:r w:rsidRPr="008642F6">
        <w:rPr>
          <w:color w:val="auto"/>
        </w:rPr>
        <w:t>NHS Northern Lincolnshire and Goole NHS Foundation Trust (NLaG)</w:t>
      </w:r>
    </w:p>
    <w:p w:rsidR="002C7E5A" w:rsidRDefault="002C7E5A" w:rsidP="00FD6077">
      <w:pPr>
        <w:pStyle w:val="Default"/>
        <w:numPr>
          <w:ilvl w:val="0"/>
          <w:numId w:val="9"/>
        </w:numPr>
        <w:spacing w:after="29"/>
        <w:ind w:left="426" w:hanging="426"/>
        <w:rPr>
          <w:color w:val="auto"/>
        </w:rPr>
      </w:pPr>
      <w:r>
        <w:rPr>
          <w:color w:val="auto"/>
        </w:rPr>
        <w:t>NAViGO</w:t>
      </w:r>
    </w:p>
    <w:p w:rsidR="00FD6077" w:rsidRPr="008642F6" w:rsidRDefault="002C7E5A" w:rsidP="00FD6077">
      <w:pPr>
        <w:pStyle w:val="Default"/>
        <w:numPr>
          <w:ilvl w:val="0"/>
          <w:numId w:val="9"/>
        </w:numPr>
        <w:spacing w:after="29"/>
        <w:ind w:left="426" w:hanging="426"/>
        <w:rPr>
          <w:color w:val="auto"/>
        </w:rPr>
      </w:pPr>
      <w:r>
        <w:rPr>
          <w:color w:val="auto"/>
        </w:rPr>
        <w:t>Care Plus Group</w:t>
      </w:r>
      <w:r w:rsidR="00FD6077" w:rsidRPr="008642F6">
        <w:rPr>
          <w:color w:val="auto"/>
        </w:rPr>
        <w:t xml:space="preserve"> </w:t>
      </w:r>
    </w:p>
    <w:p w:rsidR="00FD6077" w:rsidRDefault="00FD6077" w:rsidP="00FD6077">
      <w:pPr>
        <w:pStyle w:val="Default"/>
        <w:rPr>
          <w:color w:val="auto"/>
        </w:rPr>
      </w:pPr>
    </w:p>
    <w:p w:rsidR="004436A9" w:rsidRDefault="004436A9" w:rsidP="00FD6077">
      <w:pPr>
        <w:pStyle w:val="Default"/>
        <w:rPr>
          <w:color w:val="auto"/>
        </w:rPr>
      </w:pPr>
      <w:r>
        <w:rPr>
          <w:color w:val="auto"/>
        </w:rPr>
        <w:t xml:space="preserve">Here in referred to as the ‘Parties’ to the </w:t>
      </w:r>
      <w:r w:rsidR="002C7E5A">
        <w:rPr>
          <w:color w:val="auto"/>
        </w:rPr>
        <w:t>MOU</w:t>
      </w:r>
      <w:r>
        <w:rPr>
          <w:color w:val="auto"/>
        </w:rPr>
        <w:t>.</w:t>
      </w:r>
    </w:p>
    <w:p w:rsidR="004436A9" w:rsidRDefault="004436A9" w:rsidP="00FD6077">
      <w:pPr>
        <w:pStyle w:val="Default"/>
        <w:rPr>
          <w:color w:val="auto"/>
        </w:rPr>
      </w:pPr>
    </w:p>
    <w:p w:rsidR="004436A9" w:rsidRPr="001B37BF" w:rsidRDefault="002C7E5A" w:rsidP="00FD6077">
      <w:pPr>
        <w:pStyle w:val="Default"/>
        <w:rPr>
          <w:color w:val="FF0000"/>
        </w:rPr>
      </w:pPr>
      <w:r>
        <w:rPr>
          <w:color w:val="auto"/>
        </w:rPr>
        <w:t xml:space="preserve">Whilst these parties have agreed to work together for joint planning purposes, there are other parts of the Health and Social care system engaged in HLHF e.g. RDASH, Councils, Primary Care, Specialised Commissioning. </w:t>
      </w:r>
      <w:r w:rsidR="001B37BF" w:rsidRPr="00D14B0C">
        <w:rPr>
          <w:color w:val="auto"/>
        </w:rPr>
        <w:t>The aim will be to incorporate other commissioner and provider organ</w:t>
      </w:r>
      <w:r w:rsidR="001E2C12" w:rsidRPr="00D14B0C">
        <w:rPr>
          <w:color w:val="auto"/>
        </w:rPr>
        <w:t>isa</w:t>
      </w:r>
      <w:r w:rsidR="001B37BF" w:rsidRPr="00D14B0C">
        <w:rPr>
          <w:color w:val="auto"/>
        </w:rPr>
        <w:t>tion</w:t>
      </w:r>
      <w:r w:rsidR="001E2C12" w:rsidRPr="00D14B0C">
        <w:rPr>
          <w:color w:val="auto"/>
        </w:rPr>
        <w:t>s</w:t>
      </w:r>
      <w:r w:rsidR="001B37BF" w:rsidRPr="00D14B0C">
        <w:rPr>
          <w:color w:val="auto"/>
        </w:rPr>
        <w:t xml:space="preserve"> as the plans develop</w:t>
      </w:r>
      <w:r w:rsidR="001E2C12" w:rsidRPr="00D14B0C">
        <w:rPr>
          <w:color w:val="auto"/>
        </w:rPr>
        <w:t>.</w:t>
      </w:r>
    </w:p>
    <w:p w:rsidR="000E57E1" w:rsidRDefault="000E57E1" w:rsidP="000E57E1">
      <w:pPr>
        <w:pStyle w:val="Default"/>
        <w:spacing w:after="29"/>
        <w:rPr>
          <w:color w:val="auto"/>
        </w:rPr>
      </w:pPr>
    </w:p>
    <w:p w:rsidR="000E57E1" w:rsidRDefault="000E57E1" w:rsidP="000E57E1">
      <w:pPr>
        <w:pStyle w:val="Default"/>
        <w:spacing w:after="29"/>
        <w:rPr>
          <w:color w:val="auto"/>
        </w:rPr>
      </w:pPr>
      <w:r>
        <w:rPr>
          <w:color w:val="auto"/>
        </w:rPr>
        <w:t xml:space="preserve">In addition, </w:t>
      </w:r>
      <w:r w:rsidR="00054BA5">
        <w:rPr>
          <w:color w:val="auto"/>
        </w:rPr>
        <w:t>i</w:t>
      </w:r>
      <w:r>
        <w:rPr>
          <w:color w:val="auto"/>
        </w:rPr>
        <w:t xml:space="preserve">t is also the </w:t>
      </w:r>
      <w:r w:rsidR="0045600F">
        <w:rPr>
          <w:color w:val="auto"/>
        </w:rPr>
        <w:t>parties’</w:t>
      </w:r>
      <w:r>
        <w:rPr>
          <w:color w:val="auto"/>
        </w:rPr>
        <w:t xml:space="preserve"> intention to continue to discuss our HLHF strategy potentially with neighbouring patches to the North and South where this is of mutual benefit</w:t>
      </w:r>
      <w:r w:rsidRPr="00FD6077">
        <w:rPr>
          <w:color w:val="auto"/>
        </w:rPr>
        <w:t>.</w:t>
      </w:r>
    </w:p>
    <w:p w:rsidR="000E57E1" w:rsidRDefault="000E57E1" w:rsidP="00FD6077">
      <w:pPr>
        <w:pStyle w:val="Default"/>
        <w:rPr>
          <w:color w:val="auto"/>
        </w:rPr>
      </w:pPr>
    </w:p>
    <w:p w:rsidR="004436A9" w:rsidRDefault="004436A9" w:rsidP="00FD6077">
      <w:pPr>
        <w:pStyle w:val="Default"/>
        <w:rPr>
          <w:color w:val="auto"/>
        </w:rPr>
      </w:pPr>
    </w:p>
    <w:p w:rsidR="00054BA5" w:rsidRDefault="00054BA5" w:rsidP="00FD6077">
      <w:pPr>
        <w:pStyle w:val="Default"/>
        <w:rPr>
          <w:color w:val="auto"/>
        </w:rPr>
      </w:pPr>
    </w:p>
    <w:p w:rsidR="00054BA5" w:rsidRDefault="00054BA5" w:rsidP="00FD6077">
      <w:pPr>
        <w:pStyle w:val="Default"/>
        <w:rPr>
          <w:color w:val="auto"/>
        </w:rPr>
      </w:pPr>
    </w:p>
    <w:p w:rsidR="00054BA5" w:rsidRPr="00FD6077" w:rsidRDefault="00054BA5" w:rsidP="00FD6077">
      <w:pPr>
        <w:pStyle w:val="Default"/>
        <w:rPr>
          <w:color w:val="auto"/>
        </w:rPr>
      </w:pPr>
    </w:p>
    <w:p w:rsidR="00FD6077" w:rsidRPr="00FD6077" w:rsidRDefault="00FD6077" w:rsidP="00FD6077">
      <w:pPr>
        <w:pStyle w:val="Default"/>
        <w:rPr>
          <w:color w:val="auto"/>
        </w:rPr>
      </w:pPr>
      <w:r w:rsidRPr="00FD6077">
        <w:rPr>
          <w:b/>
          <w:bCs/>
          <w:color w:val="auto"/>
        </w:rPr>
        <w:t xml:space="preserve">3 Purpose </w:t>
      </w:r>
    </w:p>
    <w:p w:rsidR="00FD6077" w:rsidRPr="00FD6077" w:rsidRDefault="00FD6077" w:rsidP="00FD6077">
      <w:pPr>
        <w:pStyle w:val="Default"/>
        <w:rPr>
          <w:color w:val="auto"/>
        </w:rPr>
      </w:pPr>
    </w:p>
    <w:p w:rsidR="004436A9" w:rsidRDefault="004436A9" w:rsidP="004436A9">
      <w:pPr>
        <w:pStyle w:val="Default"/>
        <w:rPr>
          <w:color w:val="auto"/>
        </w:rPr>
      </w:pPr>
      <w:r>
        <w:rPr>
          <w:color w:val="auto"/>
        </w:rPr>
        <w:t>The parties</w:t>
      </w:r>
      <w:r w:rsidR="00FD6077" w:rsidRPr="00FD6077">
        <w:rPr>
          <w:color w:val="auto"/>
        </w:rPr>
        <w:t xml:space="preserve"> recognise the need to work together and work smarter, drawn toget</w:t>
      </w:r>
      <w:r w:rsidR="001B37BF">
        <w:rPr>
          <w:color w:val="auto"/>
        </w:rPr>
        <w:t xml:space="preserve">her by their common purpose to </w:t>
      </w:r>
      <w:r w:rsidR="001B37BF" w:rsidRPr="00D14B0C">
        <w:rPr>
          <w:color w:val="auto"/>
        </w:rPr>
        <w:t xml:space="preserve">deliver quality outcomes </w:t>
      </w:r>
      <w:r w:rsidR="00FD6077" w:rsidRPr="00D14B0C">
        <w:rPr>
          <w:color w:val="auto"/>
        </w:rPr>
        <w:t xml:space="preserve"> </w:t>
      </w:r>
      <w:r w:rsidR="00FD6077" w:rsidRPr="00FD6077">
        <w:rPr>
          <w:color w:val="auto"/>
        </w:rPr>
        <w:t xml:space="preserve">and desire to get maximum value from their resources. In order to ensure a </w:t>
      </w:r>
      <w:r>
        <w:rPr>
          <w:color w:val="auto"/>
        </w:rPr>
        <w:t xml:space="preserve">resilient and </w:t>
      </w:r>
      <w:r w:rsidR="00FD6077" w:rsidRPr="00FD6077">
        <w:rPr>
          <w:color w:val="auto"/>
        </w:rPr>
        <w:t>sustainable health sys</w:t>
      </w:r>
      <w:r>
        <w:rPr>
          <w:color w:val="auto"/>
        </w:rPr>
        <w:t>tem this requires co-operation.</w:t>
      </w:r>
    </w:p>
    <w:p w:rsidR="004436A9" w:rsidRPr="00D14B0C" w:rsidRDefault="004436A9" w:rsidP="004436A9">
      <w:pPr>
        <w:pStyle w:val="Default"/>
        <w:rPr>
          <w:color w:val="auto"/>
        </w:rPr>
      </w:pPr>
    </w:p>
    <w:p w:rsidR="00FD6077" w:rsidRPr="00D14B0C" w:rsidRDefault="00FD6077" w:rsidP="004436A9">
      <w:pPr>
        <w:pStyle w:val="Default"/>
        <w:rPr>
          <w:color w:val="auto"/>
        </w:rPr>
      </w:pPr>
      <w:r w:rsidRPr="00D14B0C">
        <w:rPr>
          <w:color w:val="auto"/>
        </w:rPr>
        <w:t>Benefits are reco</w:t>
      </w:r>
      <w:r w:rsidR="004436A9" w:rsidRPr="00D14B0C">
        <w:rPr>
          <w:color w:val="auto"/>
        </w:rPr>
        <w:t xml:space="preserve">gnised by doing things together </w:t>
      </w:r>
      <w:r w:rsidRPr="00D14B0C">
        <w:rPr>
          <w:color w:val="auto"/>
        </w:rPr>
        <w:t xml:space="preserve">including </w:t>
      </w:r>
      <w:r w:rsidR="001B37BF" w:rsidRPr="00D14B0C">
        <w:rPr>
          <w:color w:val="auto"/>
        </w:rPr>
        <w:t xml:space="preserve">optimising capacity to meet demand and reducing </w:t>
      </w:r>
      <w:r w:rsidRPr="00D14B0C">
        <w:rPr>
          <w:color w:val="auto"/>
        </w:rPr>
        <w:t xml:space="preserve"> costs, duplication and importantly maximising influence </w:t>
      </w:r>
      <w:r w:rsidR="00DB4ED7" w:rsidRPr="00D14B0C">
        <w:rPr>
          <w:color w:val="auto"/>
        </w:rPr>
        <w:t xml:space="preserve">with regulators </w:t>
      </w:r>
      <w:r w:rsidRPr="00D14B0C">
        <w:rPr>
          <w:color w:val="auto"/>
        </w:rPr>
        <w:t xml:space="preserve">by having a single voice </w:t>
      </w:r>
      <w:r w:rsidR="004436A9" w:rsidRPr="00D14B0C">
        <w:rPr>
          <w:color w:val="auto"/>
        </w:rPr>
        <w:t>which benefits patients, carers, local employers and partners.</w:t>
      </w:r>
    </w:p>
    <w:p w:rsidR="004436A9" w:rsidRPr="00FD6077" w:rsidRDefault="004436A9" w:rsidP="004436A9">
      <w:pPr>
        <w:pStyle w:val="Default"/>
        <w:rPr>
          <w:color w:val="auto"/>
        </w:rPr>
      </w:pPr>
    </w:p>
    <w:p w:rsidR="00FD6077" w:rsidRDefault="004436A9" w:rsidP="00FD6077">
      <w:pPr>
        <w:pStyle w:val="Default"/>
        <w:rPr>
          <w:color w:val="auto"/>
        </w:rPr>
      </w:pPr>
      <w:r>
        <w:rPr>
          <w:color w:val="auto"/>
        </w:rPr>
        <w:t xml:space="preserve">The </w:t>
      </w:r>
      <w:r w:rsidR="002C7E5A">
        <w:rPr>
          <w:color w:val="auto"/>
        </w:rPr>
        <w:t>MOU</w:t>
      </w:r>
      <w:r>
        <w:rPr>
          <w:color w:val="auto"/>
        </w:rPr>
        <w:t xml:space="preserve"> </w:t>
      </w:r>
      <w:r w:rsidR="00FD6077" w:rsidRPr="00FD6077">
        <w:rPr>
          <w:color w:val="auto"/>
        </w:rPr>
        <w:t xml:space="preserve">is focused on enabling the </w:t>
      </w:r>
      <w:r>
        <w:rPr>
          <w:color w:val="auto"/>
        </w:rPr>
        <w:t>parties</w:t>
      </w:r>
      <w:r w:rsidR="00FD6077" w:rsidRPr="00FD6077">
        <w:rPr>
          <w:color w:val="auto"/>
        </w:rPr>
        <w:t xml:space="preserve"> to: </w:t>
      </w:r>
    </w:p>
    <w:p w:rsidR="004436A9" w:rsidRPr="00FD6077" w:rsidRDefault="004436A9" w:rsidP="00FD6077">
      <w:pPr>
        <w:pStyle w:val="Default"/>
        <w:rPr>
          <w:color w:val="auto"/>
        </w:rPr>
      </w:pPr>
    </w:p>
    <w:p w:rsidR="00FD6077" w:rsidRDefault="00054BA5" w:rsidP="00FD6077">
      <w:pPr>
        <w:pStyle w:val="Default"/>
        <w:spacing w:after="29"/>
        <w:rPr>
          <w:color w:val="auto"/>
        </w:rPr>
      </w:pPr>
      <w:r>
        <w:rPr>
          <w:color w:val="auto"/>
        </w:rPr>
        <w:t>-</w:t>
      </w:r>
      <w:r w:rsidR="00FD6077" w:rsidRPr="00FD6077">
        <w:rPr>
          <w:color w:val="auto"/>
        </w:rPr>
        <w:t xml:space="preserve">Direct and co-ordinate strategy and approaches </w:t>
      </w:r>
      <w:r w:rsidR="004436A9">
        <w:rPr>
          <w:color w:val="auto"/>
        </w:rPr>
        <w:t xml:space="preserve">amongst themselves </w:t>
      </w:r>
      <w:r w:rsidR="00C4526B">
        <w:rPr>
          <w:color w:val="auto"/>
        </w:rPr>
        <w:t>in line with the HLHF strategy</w:t>
      </w:r>
      <w:r w:rsidR="005510EA">
        <w:rPr>
          <w:color w:val="auto"/>
        </w:rPr>
        <w:t>.</w:t>
      </w:r>
      <w:r w:rsidR="00C4526B">
        <w:rPr>
          <w:color w:val="auto"/>
        </w:rPr>
        <w:t xml:space="preserve"> </w:t>
      </w:r>
    </w:p>
    <w:p w:rsidR="003408C7" w:rsidRDefault="003408C7" w:rsidP="00FD6077">
      <w:pPr>
        <w:pStyle w:val="Default"/>
        <w:spacing w:after="29"/>
        <w:rPr>
          <w:color w:val="auto"/>
        </w:rPr>
      </w:pPr>
    </w:p>
    <w:p w:rsidR="00FD6077" w:rsidRPr="00FD6077" w:rsidRDefault="00054BA5" w:rsidP="00FD6077">
      <w:pPr>
        <w:pStyle w:val="Default"/>
        <w:spacing w:after="29"/>
        <w:rPr>
          <w:color w:val="auto"/>
        </w:rPr>
      </w:pPr>
      <w:r>
        <w:rPr>
          <w:color w:val="auto"/>
        </w:rPr>
        <w:t>-</w:t>
      </w:r>
      <w:r w:rsidR="00C4526B">
        <w:rPr>
          <w:color w:val="auto"/>
        </w:rPr>
        <w:t>Adopt a joint</w:t>
      </w:r>
      <w:r w:rsidR="00FD6077" w:rsidRPr="00FD6077">
        <w:rPr>
          <w:color w:val="auto"/>
        </w:rPr>
        <w:t xml:space="preserve"> approach to </w:t>
      </w:r>
      <w:r w:rsidR="00C4526B">
        <w:rPr>
          <w:color w:val="auto"/>
        </w:rPr>
        <w:t xml:space="preserve">planning and </w:t>
      </w:r>
      <w:r w:rsidR="00FD6077" w:rsidRPr="00FD6077">
        <w:rPr>
          <w:color w:val="auto"/>
        </w:rPr>
        <w:t>contr</w:t>
      </w:r>
      <w:r w:rsidR="00C4526B">
        <w:rPr>
          <w:color w:val="auto"/>
        </w:rPr>
        <w:t>act management</w:t>
      </w:r>
      <w:r w:rsidR="00FD6077" w:rsidRPr="00FD6077">
        <w:rPr>
          <w:color w:val="auto"/>
        </w:rPr>
        <w:t xml:space="preserve"> </w:t>
      </w:r>
      <w:r w:rsidR="002C7E5A">
        <w:rPr>
          <w:color w:val="auto"/>
        </w:rPr>
        <w:t>with the parties</w:t>
      </w:r>
      <w:r w:rsidR="00FD6077" w:rsidRPr="00FD6077">
        <w:rPr>
          <w:color w:val="auto"/>
        </w:rPr>
        <w:t xml:space="preserve"> and work collaboratively to interact with other CCGs</w:t>
      </w:r>
      <w:r w:rsidR="00C4526B">
        <w:rPr>
          <w:color w:val="auto"/>
        </w:rPr>
        <w:t>/other providers</w:t>
      </w:r>
      <w:r w:rsidR="000E57E1">
        <w:rPr>
          <w:color w:val="auto"/>
        </w:rPr>
        <w:t xml:space="preserve"> as part of HLHF.  </w:t>
      </w:r>
    </w:p>
    <w:p w:rsidR="005502F9" w:rsidRDefault="00FD6077" w:rsidP="005502F9">
      <w:pPr>
        <w:pStyle w:val="Default"/>
        <w:spacing w:after="29"/>
        <w:rPr>
          <w:color w:val="auto"/>
        </w:rPr>
      </w:pPr>
      <w:r w:rsidRPr="00FD6077">
        <w:rPr>
          <w:color w:val="auto"/>
        </w:rPr>
        <w:t>Share experiences and adopt</w:t>
      </w:r>
      <w:r w:rsidR="005502F9">
        <w:rPr>
          <w:color w:val="auto"/>
        </w:rPr>
        <w:t xml:space="preserve"> common solutions</w:t>
      </w:r>
      <w:r w:rsidR="00914ED1">
        <w:rPr>
          <w:color w:val="auto"/>
        </w:rPr>
        <w:t>, where appropriate,</w:t>
      </w:r>
      <w:r w:rsidR="005502F9">
        <w:rPr>
          <w:color w:val="auto"/>
        </w:rPr>
        <w:t xml:space="preserve"> in respect of;</w:t>
      </w:r>
    </w:p>
    <w:p w:rsidR="005502F9" w:rsidRDefault="005502F9" w:rsidP="00C4526B">
      <w:pPr>
        <w:pStyle w:val="Default"/>
        <w:spacing w:after="29"/>
        <w:rPr>
          <w:color w:val="auto"/>
        </w:rPr>
      </w:pPr>
    </w:p>
    <w:p w:rsidR="00FD6077" w:rsidRPr="00FD6077" w:rsidRDefault="00C4526B" w:rsidP="005502F9">
      <w:pPr>
        <w:pStyle w:val="Default"/>
        <w:numPr>
          <w:ilvl w:val="0"/>
          <w:numId w:val="2"/>
        </w:numPr>
        <w:spacing w:after="29"/>
        <w:ind w:left="284" w:hanging="284"/>
        <w:rPr>
          <w:color w:val="auto"/>
        </w:rPr>
      </w:pPr>
      <w:r>
        <w:rPr>
          <w:color w:val="auto"/>
        </w:rPr>
        <w:t xml:space="preserve">HLHF and </w:t>
      </w:r>
      <w:r w:rsidR="005502F9">
        <w:rPr>
          <w:color w:val="auto"/>
        </w:rPr>
        <w:t xml:space="preserve">Quality </w:t>
      </w:r>
      <w:r w:rsidR="00FD6077" w:rsidRPr="00FD6077">
        <w:rPr>
          <w:color w:val="auto"/>
        </w:rPr>
        <w:t>I</w:t>
      </w:r>
      <w:r w:rsidR="005502F9">
        <w:rPr>
          <w:color w:val="auto"/>
        </w:rPr>
        <w:t xml:space="preserve">nnovation </w:t>
      </w:r>
      <w:r w:rsidR="005502F9" w:rsidRPr="00FD6077">
        <w:rPr>
          <w:color w:val="auto"/>
        </w:rPr>
        <w:t>P</w:t>
      </w:r>
      <w:r w:rsidR="005502F9">
        <w:rPr>
          <w:color w:val="auto"/>
        </w:rPr>
        <w:t xml:space="preserve">roductivity </w:t>
      </w:r>
      <w:r w:rsidR="00FD6077" w:rsidRPr="00FD6077">
        <w:rPr>
          <w:color w:val="auto"/>
        </w:rPr>
        <w:t>P</w:t>
      </w:r>
      <w:r w:rsidR="005502F9">
        <w:rPr>
          <w:color w:val="auto"/>
        </w:rPr>
        <w:t xml:space="preserve">erformance value for money </w:t>
      </w:r>
      <w:r w:rsidR="00FD6077" w:rsidRPr="00FD6077">
        <w:rPr>
          <w:color w:val="auto"/>
        </w:rPr>
        <w:t>improvement</w:t>
      </w:r>
      <w:r w:rsidR="005502F9">
        <w:rPr>
          <w:color w:val="auto"/>
        </w:rPr>
        <w:t xml:space="preserve"> (QIPP)</w:t>
      </w:r>
      <w:r w:rsidR="00FD6077" w:rsidRPr="00FD6077">
        <w:rPr>
          <w:color w:val="auto"/>
        </w:rPr>
        <w:t xml:space="preserve"> </w:t>
      </w:r>
    </w:p>
    <w:p w:rsidR="00FD6077" w:rsidRPr="00FD6077" w:rsidRDefault="00C4526B" w:rsidP="005502F9">
      <w:pPr>
        <w:pStyle w:val="Default"/>
        <w:numPr>
          <w:ilvl w:val="0"/>
          <w:numId w:val="2"/>
        </w:numPr>
        <w:spacing w:after="29"/>
        <w:ind w:left="284" w:hanging="284"/>
        <w:rPr>
          <w:color w:val="auto"/>
        </w:rPr>
      </w:pPr>
      <w:r>
        <w:rPr>
          <w:color w:val="auto"/>
        </w:rPr>
        <w:t>Oversee HLHF</w:t>
      </w:r>
      <w:r w:rsidR="00FD6077" w:rsidRPr="00FD6077">
        <w:rPr>
          <w:color w:val="auto"/>
        </w:rPr>
        <w:t xml:space="preserve"> </w:t>
      </w:r>
      <w:r w:rsidR="005502F9">
        <w:rPr>
          <w:color w:val="auto"/>
        </w:rPr>
        <w:t xml:space="preserve">transformation </w:t>
      </w:r>
      <w:r w:rsidR="003408C7">
        <w:rPr>
          <w:color w:val="auto"/>
        </w:rPr>
        <w:t xml:space="preserve">plan </w:t>
      </w:r>
      <w:r w:rsidR="00FD6077" w:rsidRPr="00FD6077">
        <w:rPr>
          <w:color w:val="auto"/>
        </w:rPr>
        <w:t xml:space="preserve">arrangements </w:t>
      </w:r>
    </w:p>
    <w:p w:rsidR="00FD6077" w:rsidRPr="00FD6077" w:rsidRDefault="00FD6077" w:rsidP="005502F9">
      <w:pPr>
        <w:pStyle w:val="Default"/>
        <w:numPr>
          <w:ilvl w:val="0"/>
          <w:numId w:val="2"/>
        </w:numPr>
        <w:ind w:left="284" w:hanging="284"/>
        <w:rPr>
          <w:color w:val="auto"/>
        </w:rPr>
      </w:pPr>
      <w:r w:rsidRPr="00FD6077">
        <w:rPr>
          <w:color w:val="auto"/>
        </w:rPr>
        <w:t>Develo</w:t>
      </w:r>
      <w:r w:rsidR="00C4526B">
        <w:rPr>
          <w:color w:val="auto"/>
        </w:rPr>
        <w:t>pment of joint</w:t>
      </w:r>
      <w:r w:rsidRPr="00FD6077">
        <w:rPr>
          <w:color w:val="auto"/>
        </w:rPr>
        <w:t xml:space="preserve"> </w:t>
      </w:r>
      <w:r w:rsidR="00C4526B">
        <w:rPr>
          <w:color w:val="auto"/>
        </w:rPr>
        <w:t>financial</w:t>
      </w:r>
      <w:r w:rsidR="00914ED1">
        <w:rPr>
          <w:color w:val="auto"/>
        </w:rPr>
        <w:t xml:space="preserve"> </w:t>
      </w:r>
      <w:r w:rsidR="00C4526B">
        <w:rPr>
          <w:color w:val="auto"/>
        </w:rPr>
        <w:t>(revenue, capital, investments and cash), risk management and delivery Plans</w:t>
      </w:r>
      <w:r w:rsidR="00914ED1">
        <w:rPr>
          <w:color w:val="auto"/>
        </w:rPr>
        <w:t xml:space="preserve"> </w:t>
      </w:r>
      <w:r w:rsidR="00054BA5">
        <w:rPr>
          <w:color w:val="auto"/>
        </w:rPr>
        <w:t>and monitoring thereof.</w:t>
      </w:r>
      <w:r w:rsidRPr="00FD6077">
        <w:rPr>
          <w:color w:val="auto"/>
        </w:rPr>
        <w:t xml:space="preserve"> </w:t>
      </w:r>
    </w:p>
    <w:p w:rsidR="00FD6077" w:rsidRDefault="00FD6077" w:rsidP="00FD6077">
      <w:pPr>
        <w:pStyle w:val="Default"/>
        <w:rPr>
          <w:color w:val="auto"/>
        </w:rPr>
      </w:pPr>
    </w:p>
    <w:p w:rsidR="008642F6" w:rsidRPr="00FD6077" w:rsidRDefault="008642F6" w:rsidP="00FD6077">
      <w:pPr>
        <w:pStyle w:val="Default"/>
        <w:rPr>
          <w:color w:val="auto"/>
        </w:rPr>
      </w:pPr>
    </w:p>
    <w:p w:rsidR="00FD6077" w:rsidRPr="00FD6077" w:rsidRDefault="00FD6077" w:rsidP="00FD6077">
      <w:pPr>
        <w:pStyle w:val="Default"/>
        <w:rPr>
          <w:color w:val="auto"/>
        </w:rPr>
      </w:pPr>
      <w:r w:rsidRPr="00FD6077">
        <w:rPr>
          <w:b/>
          <w:bCs/>
          <w:color w:val="auto"/>
        </w:rPr>
        <w:t xml:space="preserve">4 Principles and Values </w:t>
      </w:r>
    </w:p>
    <w:p w:rsidR="00FD6077" w:rsidRPr="00FD6077" w:rsidRDefault="00FD6077" w:rsidP="00FD6077">
      <w:pPr>
        <w:pStyle w:val="Default"/>
        <w:rPr>
          <w:color w:val="auto"/>
        </w:rPr>
      </w:pPr>
    </w:p>
    <w:p w:rsidR="008642F6" w:rsidRDefault="00FD6077" w:rsidP="00FD6077">
      <w:pPr>
        <w:pStyle w:val="Default"/>
        <w:rPr>
          <w:color w:val="auto"/>
        </w:rPr>
      </w:pPr>
      <w:r w:rsidRPr="00FD6077">
        <w:rPr>
          <w:color w:val="auto"/>
        </w:rPr>
        <w:t xml:space="preserve">In working together the </w:t>
      </w:r>
      <w:r w:rsidR="005502F9">
        <w:rPr>
          <w:color w:val="auto"/>
        </w:rPr>
        <w:t>parties</w:t>
      </w:r>
      <w:r w:rsidRPr="00FD6077">
        <w:rPr>
          <w:color w:val="auto"/>
        </w:rPr>
        <w:t xml:space="preserve"> commit to working in a </w:t>
      </w:r>
      <w:r w:rsidRPr="00FD6077">
        <w:rPr>
          <w:b/>
          <w:bCs/>
          <w:color w:val="auto"/>
        </w:rPr>
        <w:t xml:space="preserve">positive </w:t>
      </w:r>
      <w:r w:rsidRPr="00FD6077">
        <w:rPr>
          <w:color w:val="auto"/>
        </w:rPr>
        <w:t xml:space="preserve">and </w:t>
      </w:r>
      <w:r w:rsidRPr="00FD6077">
        <w:rPr>
          <w:b/>
          <w:bCs/>
          <w:color w:val="auto"/>
        </w:rPr>
        <w:t xml:space="preserve">open minded </w:t>
      </w:r>
      <w:r w:rsidRPr="00FD6077">
        <w:rPr>
          <w:color w:val="auto"/>
        </w:rPr>
        <w:t>manner</w:t>
      </w:r>
      <w:r w:rsidR="005502F9">
        <w:rPr>
          <w:color w:val="auto"/>
        </w:rPr>
        <w:t xml:space="preserve"> with </w:t>
      </w:r>
      <w:r w:rsidR="005502F9" w:rsidRPr="00D14B0C">
        <w:rPr>
          <w:b/>
          <w:color w:val="auto"/>
        </w:rPr>
        <w:t>transparency</w:t>
      </w:r>
      <w:r w:rsidR="00DB4ED7">
        <w:rPr>
          <w:b/>
          <w:color w:val="auto"/>
        </w:rPr>
        <w:t xml:space="preserve"> across all organisations</w:t>
      </w:r>
      <w:r w:rsidRPr="00FD6077">
        <w:rPr>
          <w:color w:val="auto"/>
        </w:rPr>
        <w:t xml:space="preserve">. </w:t>
      </w:r>
    </w:p>
    <w:p w:rsidR="008642F6" w:rsidRDefault="008642F6" w:rsidP="00FD6077">
      <w:pPr>
        <w:pStyle w:val="Default"/>
        <w:rPr>
          <w:color w:val="auto"/>
        </w:rPr>
      </w:pPr>
    </w:p>
    <w:p w:rsidR="008642F6" w:rsidRDefault="00FD6077" w:rsidP="00FD6077">
      <w:pPr>
        <w:pStyle w:val="Default"/>
        <w:rPr>
          <w:color w:val="auto"/>
        </w:rPr>
      </w:pPr>
      <w:r w:rsidRPr="00FD6077">
        <w:rPr>
          <w:color w:val="auto"/>
        </w:rPr>
        <w:t xml:space="preserve">They will </w:t>
      </w:r>
      <w:r w:rsidRPr="00FD6077">
        <w:rPr>
          <w:b/>
          <w:bCs/>
          <w:color w:val="auto"/>
        </w:rPr>
        <w:t xml:space="preserve">trust and support </w:t>
      </w:r>
      <w:r w:rsidRPr="00FD6077">
        <w:rPr>
          <w:color w:val="auto"/>
        </w:rPr>
        <w:t xml:space="preserve">each other as part of the </w:t>
      </w:r>
      <w:r w:rsidR="00F32291">
        <w:rPr>
          <w:color w:val="auto"/>
        </w:rPr>
        <w:t>MOU</w:t>
      </w:r>
      <w:r w:rsidRPr="00FD6077">
        <w:rPr>
          <w:color w:val="auto"/>
        </w:rPr>
        <w:t xml:space="preserve"> and ensure they are </w:t>
      </w:r>
      <w:r w:rsidRPr="00FD6077">
        <w:rPr>
          <w:b/>
          <w:bCs/>
          <w:color w:val="auto"/>
        </w:rPr>
        <w:t>open and honest</w:t>
      </w:r>
      <w:r w:rsidR="008642F6">
        <w:rPr>
          <w:color w:val="auto"/>
        </w:rPr>
        <w:t xml:space="preserve"> and </w:t>
      </w:r>
      <w:r w:rsidRPr="00FD6077">
        <w:rPr>
          <w:color w:val="auto"/>
        </w:rPr>
        <w:t>keep the patient and their populations at the centre of their activities.</w:t>
      </w:r>
    </w:p>
    <w:p w:rsidR="008642F6" w:rsidRDefault="008642F6" w:rsidP="00FD6077">
      <w:pPr>
        <w:pStyle w:val="Default"/>
        <w:rPr>
          <w:color w:val="auto"/>
        </w:rPr>
      </w:pPr>
    </w:p>
    <w:p w:rsidR="00FD6077" w:rsidRDefault="00FD6077" w:rsidP="00FD6077">
      <w:pPr>
        <w:pStyle w:val="Default"/>
        <w:rPr>
          <w:color w:val="auto"/>
        </w:rPr>
      </w:pPr>
      <w:r w:rsidRPr="00FD6077">
        <w:rPr>
          <w:color w:val="auto"/>
        </w:rPr>
        <w:t xml:space="preserve">The </w:t>
      </w:r>
      <w:r w:rsidR="005502F9">
        <w:rPr>
          <w:color w:val="auto"/>
        </w:rPr>
        <w:t xml:space="preserve">parties </w:t>
      </w:r>
      <w:r w:rsidRPr="00FD6077">
        <w:rPr>
          <w:color w:val="auto"/>
        </w:rPr>
        <w:t xml:space="preserve">agree to </w:t>
      </w:r>
      <w:r w:rsidRPr="008642F6">
        <w:rPr>
          <w:b/>
          <w:color w:val="auto"/>
        </w:rPr>
        <w:t xml:space="preserve">communicate openly </w:t>
      </w:r>
      <w:r w:rsidRPr="00FD6077">
        <w:rPr>
          <w:color w:val="auto"/>
        </w:rPr>
        <w:t xml:space="preserve">about concerns issues and opportunities in relation to the </w:t>
      </w:r>
      <w:r w:rsidR="00F32291">
        <w:rPr>
          <w:color w:val="auto"/>
        </w:rPr>
        <w:t>MOU</w:t>
      </w:r>
      <w:r w:rsidRPr="00FD6077">
        <w:rPr>
          <w:color w:val="auto"/>
        </w:rPr>
        <w:t xml:space="preserve">. </w:t>
      </w:r>
    </w:p>
    <w:p w:rsidR="005502F9" w:rsidRDefault="005502F9" w:rsidP="00FD6077">
      <w:pPr>
        <w:pStyle w:val="Default"/>
        <w:rPr>
          <w:color w:val="auto"/>
        </w:rPr>
      </w:pPr>
    </w:p>
    <w:p w:rsidR="008642F6" w:rsidRDefault="008642F6" w:rsidP="00FD6077">
      <w:pPr>
        <w:pStyle w:val="Default"/>
        <w:rPr>
          <w:color w:val="auto"/>
        </w:rPr>
      </w:pPr>
    </w:p>
    <w:p w:rsidR="00FD6077" w:rsidRPr="00FD6077" w:rsidRDefault="00FD6077" w:rsidP="00FD6077">
      <w:pPr>
        <w:pStyle w:val="Default"/>
        <w:rPr>
          <w:color w:val="auto"/>
        </w:rPr>
      </w:pPr>
      <w:r w:rsidRPr="00A4214B">
        <w:rPr>
          <w:b/>
          <w:color w:val="auto"/>
        </w:rPr>
        <w:t>Key principles</w:t>
      </w:r>
      <w:r w:rsidRPr="00FD6077">
        <w:rPr>
          <w:color w:val="auto"/>
        </w:rPr>
        <w:t xml:space="preserve"> that will underp</w:t>
      </w:r>
      <w:r w:rsidR="00917029">
        <w:rPr>
          <w:color w:val="auto"/>
        </w:rPr>
        <w:t xml:space="preserve">in the MOU </w:t>
      </w:r>
      <w:r w:rsidRPr="00FD6077">
        <w:rPr>
          <w:color w:val="auto"/>
        </w:rPr>
        <w:t xml:space="preserve">include: </w:t>
      </w:r>
    </w:p>
    <w:p w:rsidR="005502F9" w:rsidRDefault="005502F9" w:rsidP="00FD6077">
      <w:pPr>
        <w:pStyle w:val="Default"/>
        <w:spacing w:after="31"/>
        <w:rPr>
          <w:color w:val="auto"/>
        </w:rPr>
      </w:pPr>
    </w:p>
    <w:p w:rsidR="005502F9" w:rsidRDefault="00054BA5" w:rsidP="00FD6077">
      <w:pPr>
        <w:pStyle w:val="Default"/>
        <w:spacing w:after="31"/>
        <w:rPr>
          <w:color w:val="auto"/>
        </w:rPr>
      </w:pPr>
      <w:r>
        <w:rPr>
          <w:color w:val="auto"/>
        </w:rPr>
        <w:t>-</w:t>
      </w:r>
      <w:r w:rsidR="00FD6077" w:rsidRPr="00FD6077">
        <w:rPr>
          <w:color w:val="auto"/>
        </w:rPr>
        <w:t xml:space="preserve">Collaborative working will be undertaken where it has been demonstrated there is </w:t>
      </w:r>
      <w:r w:rsidR="00FD6077" w:rsidRPr="00FD6077">
        <w:rPr>
          <w:b/>
          <w:bCs/>
          <w:color w:val="auto"/>
        </w:rPr>
        <w:t xml:space="preserve">benefit </w:t>
      </w:r>
      <w:r w:rsidR="00FD6077" w:rsidRPr="00FD6077">
        <w:rPr>
          <w:color w:val="auto"/>
        </w:rPr>
        <w:t xml:space="preserve">to all parties in one or more </w:t>
      </w:r>
      <w:r w:rsidR="008642F6" w:rsidRPr="00FD6077">
        <w:rPr>
          <w:color w:val="auto"/>
        </w:rPr>
        <w:t xml:space="preserve">of </w:t>
      </w:r>
      <w:r w:rsidR="008642F6">
        <w:rPr>
          <w:color w:val="auto"/>
        </w:rPr>
        <w:t>the following drivers</w:t>
      </w:r>
      <w:r w:rsidR="00FD6077" w:rsidRPr="00FD6077">
        <w:rPr>
          <w:color w:val="auto"/>
        </w:rPr>
        <w:t>:</w:t>
      </w:r>
    </w:p>
    <w:p w:rsidR="005502F9" w:rsidRDefault="005502F9" w:rsidP="005502F9">
      <w:pPr>
        <w:pStyle w:val="Default"/>
        <w:spacing w:after="31"/>
        <w:ind w:left="284" w:hanging="284"/>
        <w:rPr>
          <w:color w:val="auto"/>
        </w:rPr>
      </w:pPr>
    </w:p>
    <w:p w:rsidR="005502F9" w:rsidRDefault="00FD6077" w:rsidP="005502F9">
      <w:pPr>
        <w:pStyle w:val="Default"/>
        <w:numPr>
          <w:ilvl w:val="0"/>
          <w:numId w:val="3"/>
        </w:numPr>
        <w:spacing w:after="31"/>
        <w:ind w:left="284" w:hanging="284"/>
        <w:rPr>
          <w:color w:val="auto"/>
        </w:rPr>
      </w:pPr>
      <w:r w:rsidRPr="00FD6077">
        <w:rPr>
          <w:b/>
          <w:bCs/>
          <w:color w:val="auto"/>
        </w:rPr>
        <w:t>value for money</w:t>
      </w:r>
    </w:p>
    <w:p w:rsidR="005502F9" w:rsidRDefault="00FD6077" w:rsidP="005502F9">
      <w:pPr>
        <w:pStyle w:val="Default"/>
        <w:numPr>
          <w:ilvl w:val="0"/>
          <w:numId w:val="3"/>
        </w:numPr>
        <w:spacing w:after="31"/>
        <w:ind w:left="284" w:hanging="284"/>
        <w:rPr>
          <w:color w:val="auto"/>
        </w:rPr>
      </w:pPr>
      <w:r w:rsidRPr="00FD6077">
        <w:rPr>
          <w:b/>
          <w:bCs/>
          <w:color w:val="auto"/>
        </w:rPr>
        <w:t xml:space="preserve">specialist </w:t>
      </w:r>
      <w:r w:rsidRPr="00FD6077">
        <w:rPr>
          <w:color w:val="auto"/>
        </w:rPr>
        <w:t>resource</w:t>
      </w:r>
    </w:p>
    <w:p w:rsidR="00FD6077" w:rsidRDefault="00FD6077" w:rsidP="00F32291">
      <w:pPr>
        <w:pStyle w:val="Default"/>
        <w:numPr>
          <w:ilvl w:val="0"/>
          <w:numId w:val="3"/>
        </w:numPr>
        <w:spacing w:after="31"/>
        <w:ind w:left="284" w:hanging="284"/>
        <w:rPr>
          <w:color w:val="auto"/>
        </w:rPr>
      </w:pPr>
      <w:r w:rsidRPr="00FD6077">
        <w:rPr>
          <w:b/>
          <w:bCs/>
          <w:color w:val="auto"/>
        </w:rPr>
        <w:t xml:space="preserve">negotiating </w:t>
      </w:r>
      <w:r w:rsidRPr="00FD6077">
        <w:rPr>
          <w:color w:val="auto"/>
        </w:rPr>
        <w:t>power</w:t>
      </w:r>
      <w:r w:rsidR="008C33C5">
        <w:rPr>
          <w:color w:val="auto"/>
        </w:rPr>
        <w:t>/influence</w:t>
      </w:r>
      <w:r w:rsidRPr="00FD6077">
        <w:rPr>
          <w:color w:val="auto"/>
        </w:rPr>
        <w:t xml:space="preserve"> with </w:t>
      </w:r>
      <w:r w:rsidR="005502F9">
        <w:rPr>
          <w:color w:val="auto"/>
        </w:rPr>
        <w:t xml:space="preserve">local </w:t>
      </w:r>
      <w:r w:rsidR="005502F9" w:rsidRPr="00F32291">
        <w:rPr>
          <w:color w:val="auto"/>
        </w:rPr>
        <w:t>partners</w:t>
      </w:r>
      <w:r w:rsidR="008C33C5" w:rsidRPr="00F32291">
        <w:rPr>
          <w:color w:val="auto"/>
        </w:rPr>
        <w:t xml:space="preserve"> and regulators</w:t>
      </w:r>
      <w:r w:rsidRPr="00F32291">
        <w:rPr>
          <w:color w:val="auto"/>
        </w:rPr>
        <w:t xml:space="preserve"> </w:t>
      </w:r>
    </w:p>
    <w:p w:rsidR="00DB4ED7" w:rsidRPr="00F32291" w:rsidRDefault="00DB4ED7" w:rsidP="00F32291">
      <w:pPr>
        <w:pStyle w:val="Default"/>
        <w:numPr>
          <w:ilvl w:val="0"/>
          <w:numId w:val="3"/>
        </w:numPr>
        <w:spacing w:after="31"/>
        <w:ind w:left="284" w:hanging="284"/>
        <w:rPr>
          <w:color w:val="auto"/>
        </w:rPr>
      </w:pPr>
      <w:r>
        <w:rPr>
          <w:b/>
          <w:bCs/>
          <w:color w:val="auto"/>
        </w:rPr>
        <w:t>risk to be mitigated where possible and share</w:t>
      </w:r>
    </w:p>
    <w:p w:rsidR="005502F9" w:rsidRPr="00FD6077" w:rsidRDefault="005502F9" w:rsidP="005502F9">
      <w:pPr>
        <w:pStyle w:val="Default"/>
        <w:spacing w:after="31"/>
        <w:ind w:left="720"/>
        <w:rPr>
          <w:color w:val="auto"/>
        </w:rPr>
      </w:pPr>
    </w:p>
    <w:p w:rsidR="00FD6077" w:rsidRDefault="00054BA5" w:rsidP="00FD6077">
      <w:pPr>
        <w:pStyle w:val="Default"/>
        <w:spacing w:after="31"/>
        <w:rPr>
          <w:color w:val="auto"/>
        </w:rPr>
      </w:pPr>
      <w:r>
        <w:rPr>
          <w:color w:val="auto"/>
        </w:rPr>
        <w:t>-</w:t>
      </w:r>
      <w:r w:rsidR="00FD6077" w:rsidRPr="00FD6077">
        <w:rPr>
          <w:color w:val="auto"/>
        </w:rPr>
        <w:t xml:space="preserve">In all discussions and decisions the impact on </w:t>
      </w:r>
      <w:r w:rsidR="00FD6077" w:rsidRPr="00FD6077">
        <w:rPr>
          <w:b/>
          <w:bCs/>
          <w:color w:val="auto"/>
        </w:rPr>
        <w:t xml:space="preserve">quality and outcomes </w:t>
      </w:r>
      <w:r w:rsidR="00FD6077" w:rsidRPr="00FD6077">
        <w:rPr>
          <w:color w:val="auto"/>
        </w:rPr>
        <w:t xml:space="preserve">will be explicitly considered and recognised as will the need to </w:t>
      </w:r>
      <w:r w:rsidR="00FD6077" w:rsidRPr="00FD6077">
        <w:rPr>
          <w:b/>
          <w:bCs/>
          <w:color w:val="auto"/>
        </w:rPr>
        <w:t xml:space="preserve">reduce inequalities </w:t>
      </w:r>
      <w:r w:rsidR="00472FC5">
        <w:rPr>
          <w:b/>
          <w:bCs/>
          <w:color w:val="auto"/>
        </w:rPr>
        <w:t xml:space="preserve">and increase access </w:t>
      </w:r>
      <w:r w:rsidR="00FD6077" w:rsidRPr="00FD6077">
        <w:rPr>
          <w:color w:val="auto"/>
        </w:rPr>
        <w:t xml:space="preserve">across </w:t>
      </w:r>
      <w:r w:rsidR="00472FC5">
        <w:rPr>
          <w:color w:val="auto"/>
        </w:rPr>
        <w:t xml:space="preserve">the </w:t>
      </w:r>
      <w:r w:rsidR="008642F6">
        <w:rPr>
          <w:color w:val="auto"/>
        </w:rPr>
        <w:t>parties’ interests.</w:t>
      </w:r>
    </w:p>
    <w:p w:rsidR="005502F9" w:rsidRPr="00FD6077" w:rsidRDefault="005502F9" w:rsidP="00FD6077">
      <w:pPr>
        <w:pStyle w:val="Default"/>
        <w:spacing w:after="31"/>
        <w:rPr>
          <w:color w:val="auto"/>
        </w:rPr>
      </w:pPr>
    </w:p>
    <w:p w:rsidR="00FD6077" w:rsidRDefault="00054BA5" w:rsidP="00FD6077">
      <w:pPr>
        <w:pStyle w:val="Default"/>
        <w:spacing w:after="31"/>
        <w:rPr>
          <w:color w:val="auto"/>
        </w:rPr>
      </w:pPr>
      <w:r>
        <w:rPr>
          <w:color w:val="auto"/>
        </w:rPr>
        <w:t>-</w:t>
      </w:r>
      <w:r w:rsidR="00FD6077" w:rsidRPr="00FD6077">
        <w:rPr>
          <w:color w:val="auto"/>
        </w:rPr>
        <w:t xml:space="preserve">Taking a </w:t>
      </w:r>
      <w:r w:rsidR="00FD6077" w:rsidRPr="00FD6077">
        <w:rPr>
          <w:b/>
          <w:bCs/>
          <w:color w:val="auto"/>
        </w:rPr>
        <w:t xml:space="preserve">singular approach </w:t>
      </w:r>
      <w:r w:rsidR="00FD6077" w:rsidRPr="00FD6077">
        <w:rPr>
          <w:color w:val="auto"/>
        </w:rPr>
        <w:t xml:space="preserve">with, and speak in an </w:t>
      </w:r>
      <w:r w:rsidR="00FD6077" w:rsidRPr="00FD6077">
        <w:rPr>
          <w:b/>
          <w:bCs/>
          <w:color w:val="auto"/>
        </w:rPr>
        <w:t>unified voice</w:t>
      </w:r>
      <w:r w:rsidR="00FD6077" w:rsidRPr="00FD6077">
        <w:rPr>
          <w:color w:val="auto"/>
        </w:rPr>
        <w:t xml:space="preserve">, with shared </w:t>
      </w:r>
      <w:r w:rsidR="005502F9">
        <w:rPr>
          <w:color w:val="auto"/>
        </w:rPr>
        <w:t>interests</w:t>
      </w:r>
      <w:r w:rsidR="00FD6077" w:rsidRPr="00FD6077">
        <w:rPr>
          <w:color w:val="auto"/>
        </w:rPr>
        <w:t xml:space="preserve"> – particular in areas of poor or </w:t>
      </w:r>
      <w:r w:rsidR="00472FC5">
        <w:rPr>
          <w:color w:val="auto"/>
        </w:rPr>
        <w:t xml:space="preserve">limiting </w:t>
      </w:r>
      <w:r w:rsidR="00FD6077" w:rsidRPr="00FD6077">
        <w:rPr>
          <w:color w:val="auto"/>
        </w:rPr>
        <w:t xml:space="preserve">performance where </w:t>
      </w:r>
      <w:r w:rsidR="005502F9">
        <w:rPr>
          <w:color w:val="auto"/>
        </w:rPr>
        <w:t xml:space="preserve">contract </w:t>
      </w:r>
      <w:r w:rsidR="00FD6077" w:rsidRPr="00FD6077">
        <w:rPr>
          <w:color w:val="auto"/>
        </w:rPr>
        <w:t>arrangements are in place</w:t>
      </w:r>
      <w:r w:rsidR="005502F9">
        <w:rPr>
          <w:color w:val="auto"/>
        </w:rPr>
        <w:t>.</w:t>
      </w:r>
      <w:r w:rsidR="00FD6077" w:rsidRPr="00FD6077">
        <w:rPr>
          <w:color w:val="auto"/>
        </w:rPr>
        <w:t xml:space="preserve"> </w:t>
      </w:r>
    </w:p>
    <w:p w:rsidR="005502F9" w:rsidRPr="00FD6077" w:rsidRDefault="005502F9" w:rsidP="00FD6077">
      <w:pPr>
        <w:pStyle w:val="Default"/>
        <w:spacing w:after="31"/>
        <w:rPr>
          <w:color w:val="auto"/>
        </w:rPr>
      </w:pPr>
    </w:p>
    <w:p w:rsidR="00472FC5" w:rsidRPr="00FD6077" w:rsidRDefault="00054BA5" w:rsidP="00FD6077">
      <w:pPr>
        <w:pStyle w:val="Default"/>
        <w:spacing w:after="31"/>
        <w:rPr>
          <w:color w:val="auto"/>
        </w:rPr>
      </w:pPr>
      <w:r>
        <w:rPr>
          <w:color w:val="auto"/>
        </w:rPr>
        <w:t>-</w:t>
      </w:r>
      <w:r w:rsidR="00FD6077" w:rsidRPr="00FD6077">
        <w:rPr>
          <w:color w:val="auto"/>
        </w:rPr>
        <w:t>Collaborative working</w:t>
      </w:r>
      <w:r w:rsidR="00DB4ED7">
        <w:rPr>
          <w:color w:val="auto"/>
        </w:rPr>
        <w:t xml:space="preserve"> will be guiding principle and all organisations are commited to this principle thoguth this MOU </w:t>
      </w:r>
    </w:p>
    <w:p w:rsidR="00FD6077" w:rsidRPr="00FD6077" w:rsidRDefault="00054BA5" w:rsidP="00FD6077">
      <w:pPr>
        <w:pStyle w:val="Default"/>
        <w:rPr>
          <w:color w:val="auto"/>
        </w:rPr>
      </w:pPr>
      <w:r>
        <w:rPr>
          <w:color w:val="auto"/>
        </w:rPr>
        <w:t>-</w:t>
      </w:r>
      <w:r w:rsidR="00FD6077" w:rsidRPr="00FD6077">
        <w:rPr>
          <w:color w:val="auto"/>
        </w:rPr>
        <w:t xml:space="preserve">Collaborative working will allow </w:t>
      </w:r>
      <w:r w:rsidR="00FD6077" w:rsidRPr="00FD6077">
        <w:rPr>
          <w:b/>
          <w:bCs/>
          <w:color w:val="auto"/>
        </w:rPr>
        <w:t xml:space="preserve">local variation </w:t>
      </w:r>
      <w:r w:rsidR="00FD6077" w:rsidRPr="00FD6077">
        <w:rPr>
          <w:color w:val="auto"/>
        </w:rPr>
        <w:t xml:space="preserve">in recognition of variable levels of </w:t>
      </w:r>
      <w:r w:rsidR="00472FC5">
        <w:rPr>
          <w:color w:val="auto"/>
        </w:rPr>
        <w:t xml:space="preserve">patient and population </w:t>
      </w:r>
      <w:r w:rsidR="00FD6077" w:rsidRPr="00FD6077">
        <w:rPr>
          <w:color w:val="auto"/>
        </w:rPr>
        <w:t>need</w:t>
      </w:r>
      <w:r w:rsidR="008642F6">
        <w:rPr>
          <w:color w:val="auto"/>
        </w:rPr>
        <w:t>s</w:t>
      </w:r>
      <w:r w:rsidR="00FD6077" w:rsidRPr="00FD6077">
        <w:rPr>
          <w:color w:val="auto"/>
        </w:rPr>
        <w:t xml:space="preserve"> and resources</w:t>
      </w:r>
      <w:r w:rsidR="008C33C5">
        <w:rPr>
          <w:color w:val="auto"/>
        </w:rPr>
        <w:t xml:space="preserve"> e.g. commissioning for place</w:t>
      </w:r>
      <w:r w:rsidR="00FD6077" w:rsidRPr="00FD6077">
        <w:rPr>
          <w:color w:val="auto"/>
        </w:rPr>
        <w:t xml:space="preserve">. </w:t>
      </w:r>
    </w:p>
    <w:p w:rsidR="00FD6077" w:rsidRPr="00FD6077" w:rsidRDefault="00FD6077" w:rsidP="00FD6077">
      <w:pPr>
        <w:pStyle w:val="Default"/>
        <w:rPr>
          <w:color w:val="auto"/>
        </w:rPr>
      </w:pPr>
    </w:p>
    <w:p w:rsidR="00FD6077" w:rsidRPr="00FD6077" w:rsidRDefault="00054BA5" w:rsidP="00FD6077">
      <w:pPr>
        <w:pStyle w:val="Default"/>
        <w:rPr>
          <w:color w:val="auto"/>
        </w:rPr>
      </w:pPr>
      <w:r>
        <w:rPr>
          <w:color w:val="auto"/>
        </w:rPr>
        <w:t>-</w:t>
      </w:r>
      <w:r w:rsidR="005A3D3D">
        <w:rPr>
          <w:color w:val="auto"/>
        </w:rPr>
        <w:t>The parties w</w:t>
      </w:r>
      <w:r w:rsidR="00FD6077" w:rsidRPr="00FD6077">
        <w:rPr>
          <w:color w:val="auto"/>
        </w:rPr>
        <w:t xml:space="preserve">ill at all times observe “such generally accepted principles of good governance” in the way it conducts its business, in accordance with section 14L (2) (b) of the 2006 Act (inserted by section 25 of the 2012 Act). This includes: </w:t>
      </w:r>
    </w:p>
    <w:p w:rsidR="00472FC5" w:rsidRDefault="00472FC5" w:rsidP="00FD6077">
      <w:pPr>
        <w:pStyle w:val="Default"/>
        <w:spacing w:after="31"/>
        <w:rPr>
          <w:color w:val="auto"/>
        </w:rPr>
      </w:pPr>
    </w:p>
    <w:p w:rsidR="00FD6077" w:rsidRPr="00FD6077" w:rsidRDefault="00054BA5" w:rsidP="00FD6077">
      <w:pPr>
        <w:pStyle w:val="Default"/>
        <w:spacing w:after="31"/>
        <w:rPr>
          <w:color w:val="auto"/>
        </w:rPr>
      </w:pPr>
      <w:r>
        <w:rPr>
          <w:color w:val="auto"/>
        </w:rPr>
        <w:t>-</w:t>
      </w:r>
      <w:r w:rsidR="00FD6077" w:rsidRPr="00FD6077">
        <w:rPr>
          <w:color w:val="auto"/>
        </w:rPr>
        <w:t xml:space="preserve">The highest standards of propriety involving impartiality, integrity and objectivity in relation to the stewardship of public funds, the management of the individual organisations working in collaboration and the conduct of business </w:t>
      </w:r>
    </w:p>
    <w:p w:rsidR="00472FC5" w:rsidRDefault="00472FC5" w:rsidP="00FD6077">
      <w:pPr>
        <w:pStyle w:val="Default"/>
        <w:rPr>
          <w:color w:val="auto"/>
        </w:rPr>
      </w:pPr>
    </w:p>
    <w:p w:rsidR="004C7977" w:rsidRDefault="00FD6077" w:rsidP="00FD6077">
      <w:pPr>
        <w:pStyle w:val="Default"/>
        <w:rPr>
          <w:color w:val="auto"/>
        </w:rPr>
      </w:pPr>
      <w:r w:rsidRPr="00FD6077">
        <w:rPr>
          <w:color w:val="auto"/>
        </w:rPr>
        <w:t xml:space="preserve">The </w:t>
      </w:r>
      <w:r w:rsidRPr="00FD6077">
        <w:rPr>
          <w:i/>
          <w:iCs/>
          <w:color w:val="auto"/>
        </w:rPr>
        <w:t xml:space="preserve">Good Governance Standard for Public Services </w:t>
      </w:r>
      <w:r w:rsidR="008642F6">
        <w:rPr>
          <w:color w:val="auto"/>
        </w:rPr>
        <w:t>(OPM, CIPFA 2004) t</w:t>
      </w:r>
      <w:r w:rsidRPr="00FD6077">
        <w:rPr>
          <w:color w:val="auto"/>
        </w:rPr>
        <w:t xml:space="preserve">he standards of behaviour published by the </w:t>
      </w:r>
      <w:r w:rsidRPr="00FD6077">
        <w:rPr>
          <w:i/>
          <w:iCs/>
          <w:color w:val="auto"/>
        </w:rPr>
        <w:t xml:space="preserve">Committee on Standards in Public Life </w:t>
      </w:r>
      <w:r w:rsidRPr="00FD6077">
        <w:rPr>
          <w:color w:val="auto"/>
        </w:rPr>
        <w:t>(1995) known as the ‘</w:t>
      </w:r>
      <w:r w:rsidR="004C7977">
        <w:rPr>
          <w:color w:val="auto"/>
        </w:rPr>
        <w:t xml:space="preserve">seven </w:t>
      </w:r>
      <w:r w:rsidRPr="00FD6077">
        <w:rPr>
          <w:color w:val="auto"/>
        </w:rPr>
        <w:t>Nolan Princip</w:t>
      </w:r>
      <w:r w:rsidR="004C7977">
        <w:rPr>
          <w:color w:val="auto"/>
        </w:rPr>
        <w:t xml:space="preserve">les’ being; </w:t>
      </w:r>
      <w:r w:rsidRPr="00FD6077">
        <w:rPr>
          <w:color w:val="auto"/>
        </w:rPr>
        <w:t>selflessness, integrity, objectivity, accountability, openness, honesty and leadership</w:t>
      </w:r>
      <w:r w:rsidR="004C7977">
        <w:rPr>
          <w:color w:val="auto"/>
        </w:rPr>
        <w:t xml:space="preserve">: </w:t>
      </w:r>
    </w:p>
    <w:p w:rsidR="004C7977" w:rsidRDefault="004C7977" w:rsidP="00FD6077">
      <w:pPr>
        <w:pStyle w:val="Default"/>
        <w:rPr>
          <w:color w:val="auto"/>
        </w:rPr>
      </w:pPr>
    </w:p>
    <w:p w:rsidR="000A73D5" w:rsidRDefault="000A73D5" w:rsidP="00FD6077">
      <w:pPr>
        <w:pStyle w:val="Default"/>
        <w:rPr>
          <w:color w:val="auto"/>
        </w:rPr>
      </w:pPr>
      <w:r>
        <w:rPr>
          <w:color w:val="auto"/>
        </w:rPr>
        <w:t>The MOU doesn’t negate the requirement for all organisations to comply with national regulation and guidance including for example NHS Consitution and Equality act</w:t>
      </w:r>
    </w:p>
    <w:p w:rsidR="000A7D7C" w:rsidRDefault="000A7D7C" w:rsidP="00FD6077">
      <w:pPr>
        <w:pStyle w:val="Default"/>
        <w:rPr>
          <w:b/>
          <w:bCs/>
          <w:color w:val="auto"/>
        </w:rPr>
      </w:pPr>
    </w:p>
    <w:p w:rsidR="00054BA5" w:rsidRDefault="00054BA5" w:rsidP="00FD6077">
      <w:pPr>
        <w:pStyle w:val="Default"/>
        <w:rPr>
          <w:b/>
          <w:bCs/>
          <w:color w:val="auto"/>
        </w:rPr>
      </w:pPr>
    </w:p>
    <w:p w:rsidR="00054BA5" w:rsidRDefault="00054BA5" w:rsidP="00FD6077">
      <w:pPr>
        <w:pStyle w:val="Default"/>
        <w:rPr>
          <w:b/>
          <w:bCs/>
          <w:color w:val="auto"/>
        </w:rPr>
      </w:pPr>
    </w:p>
    <w:p w:rsidR="00FD6077" w:rsidRPr="00FD6077" w:rsidRDefault="00FD6077" w:rsidP="00FD6077">
      <w:pPr>
        <w:pStyle w:val="Default"/>
        <w:rPr>
          <w:color w:val="auto"/>
        </w:rPr>
      </w:pPr>
      <w:r w:rsidRPr="00FD6077">
        <w:rPr>
          <w:b/>
          <w:bCs/>
          <w:color w:val="auto"/>
        </w:rPr>
        <w:t xml:space="preserve">5 Roles and Responsibilities </w:t>
      </w:r>
    </w:p>
    <w:p w:rsidR="00FD6077" w:rsidRPr="00FD6077" w:rsidRDefault="00FD6077" w:rsidP="00FD6077">
      <w:pPr>
        <w:pStyle w:val="Default"/>
        <w:rPr>
          <w:color w:val="auto"/>
        </w:rPr>
      </w:pPr>
    </w:p>
    <w:p w:rsidR="00FD6077" w:rsidRPr="00FD6077" w:rsidRDefault="000A73D5" w:rsidP="00FD6077">
      <w:pPr>
        <w:pStyle w:val="Default"/>
        <w:rPr>
          <w:color w:val="auto"/>
        </w:rPr>
      </w:pPr>
      <w:r>
        <w:rPr>
          <w:color w:val="auto"/>
        </w:rPr>
        <w:t xml:space="preserve">Four </w:t>
      </w:r>
      <w:r w:rsidR="002012F9">
        <w:rPr>
          <w:color w:val="auto"/>
        </w:rPr>
        <w:t>key functions of the MOU</w:t>
      </w:r>
      <w:r w:rsidR="00FD6077" w:rsidRPr="00FD6077">
        <w:rPr>
          <w:color w:val="auto"/>
        </w:rPr>
        <w:t xml:space="preserve"> have been identified as being: </w:t>
      </w:r>
    </w:p>
    <w:p w:rsidR="00472FC5" w:rsidRDefault="00472FC5" w:rsidP="00FD6077">
      <w:pPr>
        <w:pStyle w:val="Default"/>
        <w:spacing w:after="29"/>
        <w:rPr>
          <w:color w:val="auto"/>
        </w:rPr>
      </w:pPr>
    </w:p>
    <w:p w:rsidR="00472FC5" w:rsidRDefault="00FD6077" w:rsidP="00472FC5">
      <w:pPr>
        <w:pStyle w:val="Default"/>
        <w:numPr>
          <w:ilvl w:val="0"/>
          <w:numId w:val="5"/>
        </w:numPr>
        <w:spacing w:after="29"/>
        <w:ind w:left="426" w:hanging="426"/>
        <w:rPr>
          <w:color w:val="auto"/>
        </w:rPr>
      </w:pPr>
      <w:r w:rsidRPr="00FD6077">
        <w:rPr>
          <w:color w:val="auto"/>
        </w:rPr>
        <w:t xml:space="preserve">Working collaboratively to manage the relationship with the </w:t>
      </w:r>
      <w:r w:rsidR="00472FC5">
        <w:rPr>
          <w:color w:val="auto"/>
        </w:rPr>
        <w:t xml:space="preserve">NHS England Sub Regional Team </w:t>
      </w:r>
      <w:r w:rsidRPr="00FD6077">
        <w:rPr>
          <w:color w:val="auto"/>
        </w:rPr>
        <w:t xml:space="preserve">as well as with the </w:t>
      </w:r>
      <w:r w:rsidR="00472FC5">
        <w:rPr>
          <w:color w:val="auto"/>
        </w:rPr>
        <w:t xml:space="preserve">North </w:t>
      </w:r>
      <w:r w:rsidRPr="00FD6077">
        <w:rPr>
          <w:color w:val="auto"/>
        </w:rPr>
        <w:t>of England Regional Team</w:t>
      </w:r>
    </w:p>
    <w:p w:rsidR="00472FC5" w:rsidRDefault="00472FC5" w:rsidP="00472FC5">
      <w:pPr>
        <w:pStyle w:val="Default"/>
        <w:numPr>
          <w:ilvl w:val="0"/>
          <w:numId w:val="5"/>
        </w:numPr>
        <w:spacing w:after="29"/>
        <w:ind w:left="426" w:hanging="426"/>
        <w:rPr>
          <w:color w:val="auto"/>
        </w:rPr>
      </w:pPr>
      <w:r w:rsidRPr="00472FC5">
        <w:rPr>
          <w:color w:val="auto"/>
        </w:rPr>
        <w:t xml:space="preserve">Working collaboratively to manage the relationship with </w:t>
      </w:r>
      <w:r w:rsidR="00DB4ED7">
        <w:rPr>
          <w:color w:val="auto"/>
        </w:rPr>
        <w:t xml:space="preserve">Regulators including </w:t>
      </w:r>
      <w:r w:rsidRPr="00472FC5">
        <w:rPr>
          <w:color w:val="auto"/>
        </w:rPr>
        <w:t>Monitor and NHS England Commercial Directorate, responsible for regulation and pricing</w:t>
      </w:r>
      <w:r w:rsidR="00DB4ED7">
        <w:rPr>
          <w:color w:val="auto"/>
        </w:rPr>
        <w:t xml:space="preserve">  add care plus and Navigo </w:t>
      </w:r>
    </w:p>
    <w:p w:rsidR="00FD6077" w:rsidRDefault="00FD6077" w:rsidP="00472FC5">
      <w:pPr>
        <w:pStyle w:val="Default"/>
        <w:numPr>
          <w:ilvl w:val="0"/>
          <w:numId w:val="5"/>
        </w:numPr>
        <w:spacing w:after="29"/>
        <w:ind w:left="426" w:hanging="426"/>
        <w:rPr>
          <w:color w:val="auto"/>
        </w:rPr>
      </w:pPr>
      <w:r w:rsidRPr="00472FC5">
        <w:rPr>
          <w:color w:val="auto"/>
        </w:rPr>
        <w:t>Working collaboratively on bringing togethe</w:t>
      </w:r>
      <w:r w:rsidR="00472FC5">
        <w:rPr>
          <w:color w:val="auto"/>
        </w:rPr>
        <w:t xml:space="preserve">r </w:t>
      </w:r>
      <w:r w:rsidR="005510EA">
        <w:rPr>
          <w:color w:val="auto"/>
        </w:rPr>
        <w:t xml:space="preserve">joint plans and </w:t>
      </w:r>
      <w:r w:rsidR="00472FC5">
        <w:rPr>
          <w:color w:val="auto"/>
        </w:rPr>
        <w:t>commissioning work programmes</w:t>
      </w:r>
    </w:p>
    <w:p w:rsidR="00FD6077" w:rsidRPr="000A73D5" w:rsidRDefault="000A73D5" w:rsidP="00D14B0C">
      <w:pPr>
        <w:pStyle w:val="Default"/>
        <w:spacing w:after="29"/>
        <w:ind w:left="426"/>
        <w:rPr>
          <w:color w:val="auto"/>
        </w:rPr>
      </w:pPr>
      <w:r w:rsidRPr="000A73D5">
        <w:rPr>
          <w:color w:val="auto"/>
        </w:rPr>
        <w:t>Working collaboratively to manage and mitigate the risk</w:t>
      </w:r>
      <w:r w:rsidRPr="00731DFA">
        <w:rPr>
          <w:color w:val="auto"/>
        </w:rPr>
        <w:t xml:space="preserve">s associated with </w:t>
      </w:r>
      <w:r w:rsidRPr="000B4C34">
        <w:t>transformatio</w:t>
      </w:r>
      <w:r w:rsidRPr="007D2B6C">
        <w:t>n and its impacts</w:t>
      </w:r>
    </w:p>
    <w:p w:rsidR="00FD6077" w:rsidRPr="00FD6077" w:rsidRDefault="00FD6077" w:rsidP="00FD6077">
      <w:pPr>
        <w:pStyle w:val="Default"/>
        <w:rPr>
          <w:color w:val="auto"/>
        </w:rPr>
      </w:pPr>
      <w:r w:rsidRPr="00FD6077">
        <w:rPr>
          <w:b/>
          <w:bCs/>
          <w:color w:val="auto"/>
        </w:rPr>
        <w:t xml:space="preserve">5.1 NHS </w:t>
      </w:r>
      <w:r w:rsidR="00472FC5">
        <w:rPr>
          <w:b/>
          <w:bCs/>
          <w:color w:val="auto"/>
        </w:rPr>
        <w:t xml:space="preserve">England North of England </w:t>
      </w:r>
      <w:r w:rsidRPr="00FD6077">
        <w:rPr>
          <w:b/>
          <w:bCs/>
          <w:color w:val="auto"/>
        </w:rPr>
        <w:t xml:space="preserve">and the </w:t>
      </w:r>
      <w:r w:rsidR="00472FC5">
        <w:rPr>
          <w:b/>
          <w:bCs/>
          <w:color w:val="auto"/>
        </w:rPr>
        <w:t>Sub Regional Team</w:t>
      </w:r>
      <w:r w:rsidR="00623984">
        <w:rPr>
          <w:b/>
          <w:bCs/>
          <w:color w:val="auto"/>
        </w:rPr>
        <w:t xml:space="preserve"> </w:t>
      </w:r>
    </w:p>
    <w:p w:rsidR="00472FC5" w:rsidRDefault="00472FC5" w:rsidP="00FD6077">
      <w:pPr>
        <w:pStyle w:val="Default"/>
        <w:rPr>
          <w:color w:val="auto"/>
        </w:rPr>
      </w:pPr>
    </w:p>
    <w:p w:rsidR="00FD6077" w:rsidRDefault="00FD6077" w:rsidP="00FD6077">
      <w:pPr>
        <w:pStyle w:val="Default"/>
        <w:rPr>
          <w:color w:val="auto"/>
        </w:rPr>
      </w:pPr>
      <w:r w:rsidRPr="00FD6077">
        <w:rPr>
          <w:color w:val="auto"/>
        </w:rPr>
        <w:t xml:space="preserve">The </w:t>
      </w:r>
      <w:r w:rsidR="00472FC5">
        <w:rPr>
          <w:color w:val="auto"/>
        </w:rPr>
        <w:t>parties</w:t>
      </w:r>
      <w:r w:rsidRPr="00FD6077">
        <w:rPr>
          <w:color w:val="auto"/>
        </w:rPr>
        <w:t xml:space="preserve"> will work with NHS </w:t>
      </w:r>
      <w:r w:rsidR="00472FC5">
        <w:rPr>
          <w:color w:val="auto"/>
        </w:rPr>
        <w:t xml:space="preserve">England </w:t>
      </w:r>
      <w:r w:rsidRPr="00FD6077">
        <w:rPr>
          <w:color w:val="auto"/>
        </w:rPr>
        <w:t xml:space="preserve">at national, regional and local level collaboratively in matters of common interest and with regards the local health system issues. </w:t>
      </w:r>
    </w:p>
    <w:p w:rsidR="00472FC5" w:rsidRPr="00FD6077" w:rsidRDefault="00472FC5" w:rsidP="00FD6077">
      <w:pPr>
        <w:pStyle w:val="Default"/>
        <w:rPr>
          <w:color w:val="auto"/>
        </w:rPr>
      </w:pPr>
    </w:p>
    <w:p w:rsidR="00472FC5" w:rsidRDefault="00FD6077" w:rsidP="00FD6077">
      <w:pPr>
        <w:pStyle w:val="Default"/>
        <w:rPr>
          <w:color w:val="auto"/>
        </w:rPr>
      </w:pPr>
      <w:r w:rsidRPr="00FD6077">
        <w:rPr>
          <w:color w:val="auto"/>
        </w:rPr>
        <w:t xml:space="preserve">The </w:t>
      </w:r>
      <w:r w:rsidR="00472FC5">
        <w:rPr>
          <w:color w:val="auto"/>
        </w:rPr>
        <w:t xml:space="preserve">parties </w:t>
      </w:r>
      <w:r w:rsidRPr="00FD6077">
        <w:rPr>
          <w:color w:val="auto"/>
        </w:rPr>
        <w:t xml:space="preserve">will seek to work collaboratively with the NHS </w:t>
      </w:r>
      <w:r w:rsidR="00472FC5">
        <w:rPr>
          <w:color w:val="auto"/>
        </w:rPr>
        <w:t>Sub Regional Team,</w:t>
      </w:r>
      <w:r w:rsidRPr="00FD6077">
        <w:rPr>
          <w:color w:val="auto"/>
        </w:rPr>
        <w:t xml:space="preserve"> in its respect of its direct commissioning responsibilities, a</w:t>
      </w:r>
      <w:r w:rsidR="00472FC5">
        <w:rPr>
          <w:color w:val="auto"/>
        </w:rPr>
        <w:t xml:space="preserve">nd prescribed specialised </w:t>
      </w:r>
      <w:r w:rsidR="000A7D7C">
        <w:rPr>
          <w:color w:val="auto"/>
        </w:rPr>
        <w:t xml:space="preserve">services </w:t>
      </w:r>
      <w:r w:rsidR="00472FC5">
        <w:rPr>
          <w:color w:val="auto"/>
        </w:rPr>
        <w:t xml:space="preserve">commissioning </w:t>
      </w:r>
      <w:r w:rsidRPr="00FD6077">
        <w:rPr>
          <w:color w:val="auto"/>
        </w:rPr>
        <w:t>as part</w:t>
      </w:r>
      <w:r w:rsidR="000A7D7C">
        <w:rPr>
          <w:color w:val="auto"/>
        </w:rPr>
        <w:t xml:space="preserve"> of </w:t>
      </w:r>
      <w:r w:rsidR="00561537">
        <w:rPr>
          <w:color w:val="auto"/>
        </w:rPr>
        <w:t xml:space="preserve">horizon scanning, </w:t>
      </w:r>
      <w:r w:rsidRPr="00FD6077">
        <w:rPr>
          <w:color w:val="auto"/>
        </w:rPr>
        <w:t>discussions, review and redesign of care pathways and services, and in its relationships with local providers</w:t>
      </w:r>
      <w:r w:rsidR="00472FC5">
        <w:rPr>
          <w:color w:val="auto"/>
        </w:rPr>
        <w:t xml:space="preserve"> across the system</w:t>
      </w:r>
      <w:r w:rsidRPr="00FD6077">
        <w:rPr>
          <w:color w:val="auto"/>
        </w:rPr>
        <w:t>.</w:t>
      </w:r>
    </w:p>
    <w:p w:rsidR="00561537" w:rsidRDefault="00561537" w:rsidP="00FD6077">
      <w:pPr>
        <w:pStyle w:val="Default"/>
        <w:rPr>
          <w:color w:val="auto"/>
        </w:rPr>
      </w:pPr>
    </w:p>
    <w:p w:rsidR="00FD6077" w:rsidRDefault="00FD6077" w:rsidP="00FD6077">
      <w:pPr>
        <w:pStyle w:val="Default"/>
        <w:rPr>
          <w:color w:val="auto"/>
        </w:rPr>
      </w:pPr>
      <w:r w:rsidRPr="00FD6077">
        <w:rPr>
          <w:color w:val="auto"/>
        </w:rPr>
        <w:t xml:space="preserve">This is in recognition of the </w:t>
      </w:r>
      <w:r w:rsidR="00472FC5">
        <w:rPr>
          <w:color w:val="auto"/>
        </w:rPr>
        <w:t xml:space="preserve">Sub Regional </w:t>
      </w:r>
      <w:r w:rsidRPr="00FD6077">
        <w:rPr>
          <w:color w:val="auto"/>
        </w:rPr>
        <w:t>Teams responsibilities as a direct commissioner in areas such as primary care, children services, emergency planning</w:t>
      </w:r>
      <w:r w:rsidR="00561537">
        <w:rPr>
          <w:color w:val="auto"/>
        </w:rPr>
        <w:t xml:space="preserve"> (</w:t>
      </w:r>
      <w:r w:rsidR="00561537" w:rsidRPr="00561537">
        <w:rPr>
          <w:i/>
          <w:color w:val="auto"/>
        </w:rPr>
        <w:t>co-commissioning</w:t>
      </w:r>
      <w:r w:rsidR="00561537">
        <w:rPr>
          <w:color w:val="auto"/>
        </w:rPr>
        <w:t>)</w:t>
      </w:r>
      <w:r w:rsidRPr="00FD6077">
        <w:rPr>
          <w:color w:val="auto"/>
        </w:rPr>
        <w:t xml:space="preserve"> and specialist services</w:t>
      </w:r>
      <w:r w:rsidR="00561537">
        <w:rPr>
          <w:color w:val="auto"/>
        </w:rPr>
        <w:t xml:space="preserve"> (</w:t>
      </w:r>
      <w:r w:rsidR="00561537" w:rsidRPr="00561537">
        <w:rPr>
          <w:i/>
          <w:color w:val="auto"/>
        </w:rPr>
        <w:t>collaborative commissioning</w:t>
      </w:r>
      <w:r w:rsidR="00561537">
        <w:rPr>
          <w:color w:val="auto"/>
        </w:rPr>
        <w:t>)</w:t>
      </w:r>
      <w:r w:rsidRPr="00FD6077">
        <w:rPr>
          <w:color w:val="auto"/>
        </w:rPr>
        <w:t xml:space="preserve">. </w:t>
      </w:r>
    </w:p>
    <w:p w:rsidR="001A51B3" w:rsidRPr="00FD6077" w:rsidRDefault="001A51B3" w:rsidP="00FD6077">
      <w:pPr>
        <w:pStyle w:val="Default"/>
        <w:rPr>
          <w:color w:val="auto"/>
        </w:rPr>
      </w:pPr>
    </w:p>
    <w:p w:rsidR="00FD6077" w:rsidRPr="001A51B3" w:rsidRDefault="00FD6077" w:rsidP="00571097">
      <w:pPr>
        <w:pStyle w:val="Default"/>
        <w:rPr>
          <w:color w:val="auto"/>
        </w:rPr>
      </w:pPr>
      <w:r w:rsidRPr="00FD6077">
        <w:rPr>
          <w:color w:val="auto"/>
        </w:rPr>
        <w:t xml:space="preserve">The </w:t>
      </w:r>
      <w:r w:rsidR="001A51B3">
        <w:rPr>
          <w:color w:val="auto"/>
        </w:rPr>
        <w:t xml:space="preserve">parties </w:t>
      </w:r>
      <w:r w:rsidRPr="00FD6077">
        <w:rPr>
          <w:color w:val="auto"/>
        </w:rPr>
        <w:t xml:space="preserve">will establish where appropriate a shared way of working with the NHS </w:t>
      </w:r>
      <w:r w:rsidR="001A51B3">
        <w:rPr>
          <w:color w:val="auto"/>
        </w:rPr>
        <w:t xml:space="preserve">Sub Regional Team </w:t>
      </w:r>
      <w:r w:rsidRPr="00FD6077">
        <w:rPr>
          <w:color w:val="auto"/>
        </w:rPr>
        <w:t>in its CCG assurance role which will include</w:t>
      </w:r>
      <w:r w:rsidR="00571097">
        <w:rPr>
          <w:color w:val="auto"/>
        </w:rPr>
        <w:t xml:space="preserve"> principles of working such as a</w:t>
      </w:r>
      <w:r w:rsidRPr="001A51B3">
        <w:rPr>
          <w:color w:val="auto"/>
        </w:rPr>
        <w:t>ssurance regarding system performance unde</w:t>
      </w:r>
      <w:r w:rsidR="001A51B3">
        <w:rPr>
          <w:color w:val="auto"/>
        </w:rPr>
        <w:t>rtaken once and collaboratively</w:t>
      </w:r>
      <w:r w:rsidR="00571097">
        <w:rPr>
          <w:color w:val="auto"/>
        </w:rPr>
        <w:t>.</w:t>
      </w:r>
    </w:p>
    <w:p w:rsidR="00FD6077" w:rsidRPr="00FD6077" w:rsidRDefault="00FD6077" w:rsidP="00FD6077">
      <w:pPr>
        <w:pStyle w:val="Default"/>
        <w:rPr>
          <w:color w:val="auto"/>
        </w:rPr>
      </w:pPr>
    </w:p>
    <w:p w:rsidR="00681FC2" w:rsidRDefault="00FD6077" w:rsidP="00FD6077">
      <w:pPr>
        <w:pStyle w:val="Default"/>
        <w:rPr>
          <w:b/>
          <w:bCs/>
          <w:color w:val="auto"/>
        </w:rPr>
      </w:pPr>
      <w:r w:rsidRPr="00FD6077">
        <w:rPr>
          <w:b/>
          <w:bCs/>
          <w:color w:val="auto"/>
        </w:rPr>
        <w:t>5.2</w:t>
      </w:r>
      <w:r w:rsidR="00681FC2">
        <w:rPr>
          <w:b/>
          <w:bCs/>
          <w:color w:val="auto"/>
        </w:rPr>
        <w:t xml:space="preserve"> Working with </w:t>
      </w:r>
      <w:r w:rsidR="0020751E">
        <w:rPr>
          <w:b/>
          <w:bCs/>
          <w:color w:val="auto"/>
        </w:rPr>
        <w:t>Regulators</w:t>
      </w:r>
      <w:r w:rsidR="0020751E" w:rsidRPr="00FD6077">
        <w:rPr>
          <w:b/>
          <w:bCs/>
          <w:color w:val="auto"/>
        </w:rPr>
        <w:t xml:space="preserve"> </w:t>
      </w:r>
    </w:p>
    <w:p w:rsidR="00681FC2" w:rsidRDefault="00681FC2" w:rsidP="00FD6077">
      <w:pPr>
        <w:pStyle w:val="Default"/>
        <w:rPr>
          <w:b/>
          <w:bCs/>
          <w:color w:val="auto"/>
        </w:rPr>
      </w:pPr>
    </w:p>
    <w:p w:rsidR="00D564F6" w:rsidRDefault="00D564F6" w:rsidP="00D564F6">
      <w:pPr>
        <w:pStyle w:val="Default"/>
        <w:rPr>
          <w:color w:val="auto"/>
        </w:rPr>
      </w:pPr>
      <w:r w:rsidRPr="00FD6077">
        <w:rPr>
          <w:color w:val="auto"/>
        </w:rPr>
        <w:t xml:space="preserve">The </w:t>
      </w:r>
      <w:r>
        <w:rPr>
          <w:color w:val="auto"/>
        </w:rPr>
        <w:t>parties will work with Monitor</w:t>
      </w:r>
      <w:r w:rsidR="0020751E">
        <w:rPr>
          <w:color w:val="auto"/>
        </w:rPr>
        <w:t xml:space="preserve">, Community Interest Company Regulator, Financial Conduct Authority , Companies House and where appropriate Care Quality Commission </w:t>
      </w:r>
      <w:r w:rsidRPr="00FD6077">
        <w:rPr>
          <w:color w:val="auto"/>
        </w:rPr>
        <w:t xml:space="preserve">at national, regional and local level collaboratively in matters of common interest and with regards the local health system issues. </w:t>
      </w:r>
    </w:p>
    <w:p w:rsidR="00681FC2" w:rsidRDefault="00681FC2" w:rsidP="00FD6077">
      <w:pPr>
        <w:pStyle w:val="Default"/>
        <w:rPr>
          <w:b/>
          <w:bCs/>
          <w:color w:val="auto"/>
        </w:rPr>
      </w:pPr>
    </w:p>
    <w:p w:rsidR="000A73D5" w:rsidRDefault="00F369C8" w:rsidP="00FD6077">
      <w:pPr>
        <w:pStyle w:val="Default"/>
        <w:rPr>
          <w:b/>
          <w:bCs/>
          <w:color w:val="auto"/>
        </w:rPr>
      </w:pPr>
      <w:r w:rsidRPr="00A04770">
        <w:rPr>
          <w:bCs/>
          <w:color w:val="auto"/>
        </w:rPr>
        <w:t xml:space="preserve">Commissioners and Providers have agreed to support each other for mutual benefit for the residents of Northern Lincolnshire as part of a joint planning approach. These plans are outlined in the next section.  </w:t>
      </w:r>
    </w:p>
    <w:p w:rsidR="00FD6077" w:rsidRDefault="00681FC2" w:rsidP="00FD6077">
      <w:pPr>
        <w:pStyle w:val="Default"/>
        <w:rPr>
          <w:b/>
          <w:bCs/>
          <w:color w:val="auto"/>
        </w:rPr>
      </w:pPr>
      <w:r>
        <w:rPr>
          <w:b/>
          <w:bCs/>
          <w:color w:val="auto"/>
        </w:rPr>
        <w:t>5.3</w:t>
      </w:r>
      <w:r w:rsidR="002012F9">
        <w:rPr>
          <w:b/>
          <w:bCs/>
          <w:color w:val="auto"/>
        </w:rPr>
        <w:t xml:space="preserve"> </w:t>
      </w:r>
      <w:r w:rsidR="00561537">
        <w:rPr>
          <w:b/>
          <w:bCs/>
          <w:color w:val="auto"/>
        </w:rPr>
        <w:t xml:space="preserve">Appointed </w:t>
      </w:r>
      <w:r w:rsidR="000A73D5">
        <w:rPr>
          <w:b/>
          <w:bCs/>
          <w:color w:val="auto"/>
        </w:rPr>
        <w:t xml:space="preserve">Leads </w:t>
      </w:r>
      <w:r w:rsidR="00561537">
        <w:rPr>
          <w:b/>
          <w:bCs/>
          <w:color w:val="auto"/>
        </w:rPr>
        <w:t xml:space="preserve"> for Program delivery</w:t>
      </w:r>
      <w:r w:rsidR="00FD6077" w:rsidRPr="00FD6077">
        <w:rPr>
          <w:b/>
          <w:bCs/>
          <w:color w:val="auto"/>
        </w:rPr>
        <w:t xml:space="preserve"> </w:t>
      </w:r>
    </w:p>
    <w:p w:rsidR="001A51B3" w:rsidRDefault="001A51B3" w:rsidP="00FD6077">
      <w:pPr>
        <w:pStyle w:val="Default"/>
        <w:rPr>
          <w:b/>
          <w:bCs/>
          <w:color w:val="auto"/>
        </w:rPr>
      </w:pPr>
    </w:p>
    <w:tbl>
      <w:tblPr>
        <w:tblStyle w:val="TableGrid"/>
        <w:tblW w:w="0" w:type="auto"/>
        <w:tblLook w:val="04A0" w:firstRow="1" w:lastRow="0" w:firstColumn="1" w:lastColumn="0" w:noHBand="0" w:noVBand="1"/>
      </w:tblPr>
      <w:tblGrid>
        <w:gridCol w:w="3080"/>
        <w:gridCol w:w="3081"/>
        <w:gridCol w:w="3081"/>
      </w:tblGrid>
      <w:tr w:rsidR="00577676" w:rsidTr="00577676">
        <w:tc>
          <w:tcPr>
            <w:tcW w:w="3080" w:type="dxa"/>
          </w:tcPr>
          <w:p w:rsidR="00577676" w:rsidRDefault="00FD7F78">
            <w:r>
              <w:t>Marcus Hassall</w:t>
            </w:r>
          </w:p>
        </w:tc>
        <w:tc>
          <w:tcPr>
            <w:tcW w:w="3081" w:type="dxa"/>
          </w:tcPr>
          <w:p w:rsidR="00577676" w:rsidRDefault="00D70622">
            <w:r>
              <w:t xml:space="preserve">DoF, </w:t>
            </w:r>
            <w:r w:rsidR="00FD7F78">
              <w:t>NLAG</w:t>
            </w:r>
          </w:p>
        </w:tc>
        <w:tc>
          <w:tcPr>
            <w:tcW w:w="3081" w:type="dxa"/>
          </w:tcPr>
          <w:p w:rsidR="00577676" w:rsidRDefault="00FD7F78">
            <w:r>
              <w:t>PDC bid and cash plan</w:t>
            </w:r>
          </w:p>
        </w:tc>
      </w:tr>
      <w:tr w:rsidR="00577676" w:rsidTr="00577676">
        <w:tc>
          <w:tcPr>
            <w:tcW w:w="3080" w:type="dxa"/>
          </w:tcPr>
          <w:p w:rsidR="00577676" w:rsidRDefault="00D70622">
            <w:r>
              <w:t>Laura Whitton?</w:t>
            </w:r>
          </w:p>
        </w:tc>
        <w:tc>
          <w:tcPr>
            <w:tcW w:w="3081" w:type="dxa"/>
          </w:tcPr>
          <w:p w:rsidR="00577676" w:rsidRDefault="00D70622">
            <w:r>
              <w:t>DCFO, NELCCG</w:t>
            </w:r>
          </w:p>
        </w:tc>
        <w:tc>
          <w:tcPr>
            <w:tcW w:w="3081" w:type="dxa"/>
          </w:tcPr>
          <w:p w:rsidR="00577676" w:rsidRDefault="00D70622">
            <w:r>
              <w:t>Financial Risk Strategy</w:t>
            </w:r>
          </w:p>
        </w:tc>
      </w:tr>
      <w:tr w:rsidR="00577676" w:rsidTr="00577676">
        <w:tc>
          <w:tcPr>
            <w:tcW w:w="3080" w:type="dxa"/>
          </w:tcPr>
          <w:p w:rsidR="00577676" w:rsidRDefault="00D70622">
            <w:r>
              <w:t>Pam Clipson?</w:t>
            </w:r>
            <w:r w:rsidR="000A73D5">
              <w:t xml:space="preserve"> Plus CB/HK</w:t>
            </w:r>
          </w:p>
        </w:tc>
        <w:tc>
          <w:tcPr>
            <w:tcW w:w="3081" w:type="dxa"/>
          </w:tcPr>
          <w:p w:rsidR="00577676" w:rsidRDefault="004927DA">
            <w:r>
              <w:t>DOP&amp;S</w:t>
            </w:r>
            <w:r w:rsidR="00D70622">
              <w:t>, NLAG</w:t>
            </w:r>
          </w:p>
        </w:tc>
        <w:tc>
          <w:tcPr>
            <w:tcW w:w="3081" w:type="dxa"/>
          </w:tcPr>
          <w:p w:rsidR="00577676" w:rsidRDefault="00D70622">
            <w:r>
              <w:t>Joint Delivery Plan</w:t>
            </w:r>
          </w:p>
        </w:tc>
      </w:tr>
      <w:tr w:rsidR="00577676" w:rsidTr="00577676">
        <w:tc>
          <w:tcPr>
            <w:tcW w:w="3080" w:type="dxa"/>
          </w:tcPr>
          <w:p w:rsidR="00577676" w:rsidRDefault="00D70622">
            <w:r>
              <w:t>Therese Paskell</w:t>
            </w:r>
          </w:p>
        </w:tc>
        <w:tc>
          <w:tcPr>
            <w:tcW w:w="3081" w:type="dxa"/>
          </w:tcPr>
          <w:p w:rsidR="00577676" w:rsidRDefault="00D70622">
            <w:r>
              <w:t>CFO, NLCCG</w:t>
            </w:r>
          </w:p>
        </w:tc>
        <w:tc>
          <w:tcPr>
            <w:tcW w:w="3081" w:type="dxa"/>
          </w:tcPr>
          <w:p w:rsidR="00577676" w:rsidRDefault="002012F9">
            <w:r>
              <w:t>MOU</w:t>
            </w:r>
            <w:r w:rsidR="00D70622">
              <w:t xml:space="preserve"> and governance </w:t>
            </w:r>
          </w:p>
        </w:tc>
      </w:tr>
    </w:tbl>
    <w:p w:rsidR="00A4214B" w:rsidRDefault="00A4214B">
      <w:pPr>
        <w:sectPr w:rsidR="00A4214B" w:rsidSect="00A4214B">
          <w:footerReference w:type="default" r:id="rId14"/>
          <w:pgSz w:w="11906" w:h="16838"/>
          <w:pgMar w:top="1440" w:right="1440" w:bottom="1440" w:left="1440" w:header="708" w:footer="708" w:gutter="0"/>
          <w:cols w:space="708"/>
          <w:docGrid w:linePitch="360"/>
        </w:sectPr>
      </w:pPr>
      <w:r>
        <w:br w:type="page"/>
      </w:r>
    </w:p>
    <w:p w:rsidR="00A4214B" w:rsidRDefault="00A4214B">
      <w:pPr>
        <w:rPr>
          <w:rFonts w:ascii="Arial" w:hAnsi="Arial" w:cs="Arial"/>
          <w:b/>
          <w:sz w:val="24"/>
          <w:szCs w:val="24"/>
        </w:rPr>
      </w:pPr>
      <w:r w:rsidRPr="00A4214B">
        <w:rPr>
          <w:rFonts w:ascii="Arial" w:hAnsi="Arial" w:cs="Arial"/>
          <w:b/>
          <w:sz w:val="24"/>
          <w:szCs w:val="24"/>
        </w:rPr>
        <w:t>5.3 Community Finance Plan</w:t>
      </w:r>
    </w:p>
    <w:p w:rsidR="006E58B3" w:rsidRDefault="006E58B3">
      <w:pPr>
        <w:rPr>
          <w:rFonts w:ascii="Arial" w:hAnsi="Arial" w:cs="Arial"/>
          <w:b/>
          <w:sz w:val="24"/>
          <w:szCs w:val="24"/>
        </w:rPr>
      </w:pPr>
    </w:p>
    <w:p w:rsidR="00A4214B" w:rsidRDefault="00A4214B">
      <w:pPr>
        <w:rPr>
          <w:rFonts w:ascii="Arial" w:hAnsi="Arial" w:cs="Arial"/>
          <w:sz w:val="24"/>
          <w:szCs w:val="24"/>
        </w:rPr>
      </w:pPr>
      <w:r w:rsidRPr="00A4214B">
        <w:rPr>
          <w:noProof/>
          <w:lang w:eastAsia="en-GB"/>
        </w:rPr>
        <w:drawing>
          <wp:inline distT="0" distB="0" distL="0" distR="0" wp14:anchorId="5DC9666B" wp14:editId="126AF5F5">
            <wp:extent cx="9089610" cy="3816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85681" cy="3815340"/>
                    </a:xfrm>
                    <a:prstGeom prst="rect">
                      <a:avLst/>
                    </a:prstGeom>
                    <a:noFill/>
                    <a:ln>
                      <a:noFill/>
                    </a:ln>
                  </pic:spPr>
                </pic:pic>
              </a:graphicData>
            </a:graphic>
          </wp:inline>
        </w:drawing>
      </w:r>
    </w:p>
    <w:p w:rsidR="004B66DF" w:rsidRPr="004B66DF" w:rsidRDefault="004B66DF">
      <w:pPr>
        <w:rPr>
          <w:rFonts w:ascii="Arial" w:hAnsi="Arial" w:cs="Arial"/>
          <w:sz w:val="24"/>
          <w:szCs w:val="24"/>
          <w:u w:val="single"/>
        </w:rPr>
      </w:pPr>
      <w:r w:rsidRPr="004B66DF">
        <w:rPr>
          <w:rFonts w:ascii="Arial" w:hAnsi="Arial" w:cs="Arial"/>
          <w:sz w:val="24"/>
          <w:szCs w:val="24"/>
          <w:u w:val="single"/>
        </w:rPr>
        <w:t>Joint Cash Plan</w:t>
      </w:r>
    </w:p>
    <w:p w:rsidR="004B66DF" w:rsidRDefault="00FD7F78">
      <w:pPr>
        <w:rPr>
          <w:rFonts w:ascii="Arial" w:hAnsi="Arial" w:cs="Arial"/>
          <w:sz w:val="24"/>
          <w:szCs w:val="24"/>
        </w:rPr>
      </w:pPr>
      <w:r>
        <w:rPr>
          <w:rFonts w:ascii="Arial" w:hAnsi="Arial" w:cs="Arial"/>
          <w:sz w:val="24"/>
          <w:szCs w:val="24"/>
        </w:rPr>
        <w:t>This shows</w:t>
      </w:r>
      <w:r w:rsidR="00F03AD8">
        <w:rPr>
          <w:rFonts w:ascii="Arial" w:hAnsi="Arial" w:cs="Arial"/>
          <w:sz w:val="24"/>
          <w:szCs w:val="24"/>
        </w:rPr>
        <w:t xml:space="preserve"> the level of PDC requirement for 15/16 to support Northern Lincolnshire health economy as a whole</w:t>
      </w:r>
      <w:r w:rsidR="004B66DF">
        <w:rPr>
          <w:rFonts w:ascii="Arial" w:hAnsi="Arial" w:cs="Arial"/>
          <w:sz w:val="24"/>
          <w:szCs w:val="24"/>
        </w:rPr>
        <w:t>.</w:t>
      </w:r>
    </w:p>
    <w:p w:rsidR="006E58B3" w:rsidRDefault="004B66DF">
      <w:pPr>
        <w:rPr>
          <w:rFonts w:ascii="Arial" w:hAnsi="Arial" w:cs="Arial"/>
          <w:sz w:val="24"/>
          <w:szCs w:val="24"/>
        </w:rPr>
      </w:pPr>
      <w:r>
        <w:rPr>
          <w:rFonts w:ascii="Arial" w:hAnsi="Arial" w:cs="Arial"/>
          <w:sz w:val="24"/>
          <w:szCs w:val="24"/>
        </w:rPr>
        <w:t>A cash profile for NLAG for both NLCCG and NELCCG is attached at Appendix x.  This reflects the need for a higher than average drawdown for the first few months until a PDC bid is successfully made.</w:t>
      </w:r>
      <w:r w:rsidR="006E58B3">
        <w:rPr>
          <w:rFonts w:ascii="Arial" w:hAnsi="Arial" w:cs="Arial"/>
          <w:sz w:val="24"/>
          <w:szCs w:val="24"/>
        </w:rPr>
        <w:br w:type="page"/>
      </w:r>
    </w:p>
    <w:p w:rsidR="006E58B3" w:rsidRDefault="006E58B3">
      <w:pPr>
        <w:rPr>
          <w:rFonts w:ascii="Arial" w:hAnsi="Arial" w:cs="Arial"/>
          <w:sz w:val="24"/>
          <w:szCs w:val="24"/>
        </w:rPr>
      </w:pPr>
      <w:r>
        <w:rPr>
          <w:rFonts w:ascii="Arial" w:hAnsi="Arial" w:cs="Arial"/>
          <w:sz w:val="24"/>
          <w:szCs w:val="24"/>
        </w:rPr>
        <w:t>5.4.1 NELCCG Plan</w:t>
      </w:r>
    </w:p>
    <w:p w:rsidR="006E58B3" w:rsidRDefault="006E58B3">
      <w:pPr>
        <w:rPr>
          <w:rFonts w:ascii="Arial" w:hAnsi="Arial" w:cs="Arial"/>
          <w:sz w:val="24"/>
          <w:szCs w:val="24"/>
        </w:rPr>
      </w:pPr>
      <w:r>
        <w:rPr>
          <w:rFonts w:ascii="Arial" w:hAnsi="Arial" w:cs="Arial"/>
          <w:sz w:val="24"/>
          <w:szCs w:val="24"/>
        </w:rPr>
        <w:br w:type="page"/>
      </w:r>
      <w:r w:rsidR="00D76148">
        <w:rPr>
          <w:rFonts w:ascii="Arial" w:hAnsi="Arial" w:cs="Arial"/>
          <w:sz w:val="24"/>
          <w:szCs w:val="24"/>
        </w:rPr>
        <w:t>A summary is attached as Appendix …..</w:t>
      </w:r>
    </w:p>
    <w:p w:rsidR="006E58B3" w:rsidRDefault="006E58B3">
      <w:pPr>
        <w:rPr>
          <w:rFonts w:ascii="Arial" w:hAnsi="Arial" w:cs="Arial"/>
          <w:sz w:val="24"/>
          <w:szCs w:val="24"/>
        </w:rPr>
      </w:pPr>
      <w:r>
        <w:rPr>
          <w:rFonts w:ascii="Arial" w:hAnsi="Arial" w:cs="Arial"/>
          <w:sz w:val="24"/>
          <w:szCs w:val="24"/>
        </w:rPr>
        <w:t>5.4.2 NLCCG Plan</w:t>
      </w:r>
    </w:p>
    <w:p w:rsidR="00D76148" w:rsidRDefault="00D76148">
      <w:pPr>
        <w:rPr>
          <w:rFonts w:ascii="Arial" w:hAnsi="Arial" w:cs="Arial"/>
          <w:sz w:val="24"/>
          <w:szCs w:val="24"/>
        </w:rPr>
      </w:pPr>
    </w:p>
    <w:p w:rsidR="00D76148" w:rsidRDefault="00D76148">
      <w:pPr>
        <w:rPr>
          <w:rFonts w:ascii="Arial" w:hAnsi="Arial" w:cs="Arial"/>
          <w:sz w:val="24"/>
          <w:szCs w:val="24"/>
        </w:rPr>
      </w:pPr>
    </w:p>
    <w:p w:rsidR="00D76148" w:rsidRDefault="00D76148">
      <w:pPr>
        <w:rPr>
          <w:rFonts w:ascii="Arial" w:hAnsi="Arial" w:cs="Arial"/>
          <w:sz w:val="24"/>
          <w:szCs w:val="24"/>
        </w:rPr>
      </w:pPr>
      <w:r>
        <w:rPr>
          <w:rFonts w:ascii="Arial" w:hAnsi="Arial" w:cs="Arial"/>
          <w:sz w:val="24"/>
          <w:szCs w:val="24"/>
        </w:rPr>
        <w:t>A summary is attached at Appendix ….</w:t>
      </w:r>
    </w:p>
    <w:p w:rsidR="00094687" w:rsidRDefault="00094687" w:rsidP="00094687">
      <w:pPr>
        <w:rPr>
          <w:rFonts w:ascii="Arial" w:hAnsi="Arial" w:cs="Arial"/>
          <w:sz w:val="24"/>
          <w:szCs w:val="24"/>
        </w:rPr>
      </w:pPr>
      <w:r>
        <w:rPr>
          <w:rFonts w:ascii="Arial" w:hAnsi="Arial" w:cs="Arial"/>
          <w:sz w:val="24"/>
          <w:szCs w:val="24"/>
        </w:rPr>
        <w:t>5.4.3 NLAG Plan</w:t>
      </w:r>
    </w:p>
    <w:p w:rsidR="00094687" w:rsidRDefault="00094687" w:rsidP="00094687">
      <w:pPr>
        <w:rPr>
          <w:rFonts w:ascii="Arial" w:hAnsi="Arial" w:cs="Arial"/>
          <w:sz w:val="24"/>
          <w:szCs w:val="24"/>
        </w:rPr>
      </w:pPr>
      <w:r>
        <w:rPr>
          <w:rFonts w:ascii="Arial" w:hAnsi="Arial" w:cs="Arial"/>
          <w:sz w:val="24"/>
          <w:szCs w:val="24"/>
        </w:rPr>
        <w:t>5.4.4 NAViGO Plan</w:t>
      </w:r>
    </w:p>
    <w:p w:rsidR="00094687" w:rsidRDefault="0045600F" w:rsidP="00094687">
      <w:pPr>
        <w:rPr>
          <w:rFonts w:ascii="Arial" w:hAnsi="Arial" w:cs="Arial"/>
          <w:sz w:val="24"/>
          <w:szCs w:val="24"/>
        </w:rPr>
      </w:pPr>
      <w:r>
        <w:rPr>
          <w:rFonts w:ascii="Arial" w:hAnsi="Arial" w:cs="Arial"/>
          <w:sz w:val="24"/>
          <w:szCs w:val="24"/>
        </w:rPr>
        <w:t>5.4.5 Care Plus Grou</w:t>
      </w:r>
    </w:p>
    <w:p w:rsidR="00094687" w:rsidDel="00094687" w:rsidRDefault="006E58B3" w:rsidP="00094687">
      <w:pPr>
        <w:rPr>
          <w:rFonts w:ascii="Arial" w:hAnsi="Arial" w:cs="Arial"/>
          <w:sz w:val="24"/>
          <w:szCs w:val="24"/>
        </w:rPr>
      </w:pPr>
      <w:r>
        <w:rPr>
          <w:rFonts w:ascii="Arial" w:hAnsi="Arial" w:cs="Arial"/>
          <w:sz w:val="24"/>
          <w:szCs w:val="24"/>
        </w:rPr>
        <w:br w:type="page"/>
      </w:r>
    </w:p>
    <w:p w:rsidR="006E58B3" w:rsidRDefault="006E58B3" w:rsidP="00094687">
      <w:pPr>
        <w:rPr>
          <w:rFonts w:ascii="Arial" w:hAnsi="Arial" w:cs="Arial"/>
          <w:sz w:val="24"/>
          <w:szCs w:val="24"/>
        </w:rPr>
      </w:pPr>
    </w:p>
    <w:p w:rsidR="006E58B3" w:rsidRDefault="00D76148">
      <w:pPr>
        <w:rPr>
          <w:rFonts w:ascii="Arial" w:hAnsi="Arial" w:cs="Arial"/>
          <w:sz w:val="24"/>
          <w:szCs w:val="24"/>
        </w:rPr>
        <w:sectPr w:rsidR="006E58B3" w:rsidSect="00A4214B">
          <w:pgSz w:w="16838" w:h="11906" w:orient="landscape"/>
          <w:pgMar w:top="1440" w:right="1440" w:bottom="1440" w:left="1440" w:header="708" w:footer="708" w:gutter="0"/>
          <w:cols w:space="708"/>
          <w:docGrid w:linePitch="360"/>
        </w:sectPr>
      </w:pPr>
      <w:r>
        <w:rPr>
          <w:rFonts w:ascii="Arial" w:hAnsi="Arial" w:cs="Arial"/>
          <w:sz w:val="24"/>
          <w:szCs w:val="24"/>
        </w:rPr>
        <w:t xml:space="preserve">A summary  </w:t>
      </w:r>
    </w:p>
    <w:p w:rsidR="00D76148" w:rsidRPr="00E902FB" w:rsidRDefault="00D76148" w:rsidP="00E902FB">
      <w:pPr>
        <w:pStyle w:val="ListParagraph"/>
        <w:numPr>
          <w:ilvl w:val="0"/>
          <w:numId w:val="12"/>
        </w:numPr>
        <w:rPr>
          <w:rFonts w:ascii="Arial" w:hAnsi="Arial" w:cs="Arial"/>
          <w:sz w:val="24"/>
          <w:szCs w:val="24"/>
        </w:rPr>
      </w:pPr>
      <w:r w:rsidRPr="00E902FB">
        <w:rPr>
          <w:rFonts w:ascii="Arial" w:hAnsi="Arial" w:cs="Arial"/>
          <w:sz w:val="24"/>
          <w:szCs w:val="24"/>
        </w:rPr>
        <w:t>Financial Framework and incentives</w:t>
      </w:r>
    </w:p>
    <w:p w:rsidR="00F5688E" w:rsidRDefault="00F5688E" w:rsidP="00F5688E">
      <w:pPr>
        <w:pStyle w:val="ListParagraph"/>
        <w:rPr>
          <w:rFonts w:ascii="Arial" w:hAnsi="Arial" w:cs="Arial"/>
          <w:sz w:val="24"/>
          <w:szCs w:val="24"/>
        </w:rPr>
      </w:pPr>
    </w:p>
    <w:p w:rsidR="00D76148" w:rsidRPr="00F5688E" w:rsidRDefault="00094687" w:rsidP="00F5688E">
      <w:pPr>
        <w:pStyle w:val="ListParagraph"/>
        <w:rPr>
          <w:rFonts w:ascii="Arial" w:hAnsi="Arial" w:cs="Arial"/>
          <w:sz w:val="24"/>
          <w:szCs w:val="24"/>
        </w:rPr>
      </w:pPr>
      <w:r>
        <w:rPr>
          <w:rFonts w:ascii="Arial" w:hAnsi="Arial" w:cs="Arial"/>
          <w:sz w:val="24"/>
          <w:szCs w:val="24"/>
        </w:rPr>
        <w:t xml:space="preserve">6.1 </w:t>
      </w:r>
      <w:r w:rsidR="00F5688E">
        <w:rPr>
          <w:rFonts w:ascii="Arial" w:hAnsi="Arial" w:cs="Arial"/>
          <w:sz w:val="24"/>
          <w:szCs w:val="24"/>
        </w:rPr>
        <w:t>Agreed principles for a new framework include:</w:t>
      </w:r>
    </w:p>
    <w:p w:rsidR="00D76148" w:rsidRDefault="00D76148" w:rsidP="00D76148">
      <w:pPr>
        <w:pStyle w:val="ListParagraph"/>
        <w:rPr>
          <w:rFonts w:ascii="Arial" w:hAnsi="Arial" w:cs="Arial"/>
          <w:sz w:val="24"/>
          <w:szCs w:val="24"/>
        </w:rPr>
      </w:pPr>
    </w:p>
    <w:p w:rsidR="00DD21F0" w:rsidRPr="00956958" w:rsidRDefault="00D5052D" w:rsidP="00956958">
      <w:pPr>
        <w:pStyle w:val="ListParagraph"/>
        <w:numPr>
          <w:ilvl w:val="0"/>
          <w:numId w:val="10"/>
        </w:numPr>
        <w:rPr>
          <w:rFonts w:ascii="Arial" w:hAnsi="Arial" w:cs="Arial"/>
          <w:sz w:val="24"/>
          <w:szCs w:val="24"/>
        </w:rPr>
      </w:pPr>
      <w:r w:rsidRPr="00956958">
        <w:rPr>
          <w:rFonts w:ascii="Arial" w:hAnsi="Arial" w:cs="Arial"/>
          <w:sz w:val="24"/>
          <w:szCs w:val="24"/>
        </w:rPr>
        <w:t>Support service modernisation and the elimination of avoidable activities;</w:t>
      </w:r>
    </w:p>
    <w:p w:rsidR="00DD21F0" w:rsidRPr="00956958" w:rsidRDefault="00D5052D" w:rsidP="00956958">
      <w:pPr>
        <w:pStyle w:val="ListParagraph"/>
        <w:numPr>
          <w:ilvl w:val="0"/>
          <w:numId w:val="10"/>
        </w:numPr>
        <w:rPr>
          <w:rFonts w:ascii="Arial" w:hAnsi="Arial" w:cs="Arial"/>
          <w:sz w:val="24"/>
          <w:szCs w:val="24"/>
        </w:rPr>
      </w:pPr>
      <w:r w:rsidRPr="00956958">
        <w:rPr>
          <w:rFonts w:ascii="Arial" w:hAnsi="Arial" w:cs="Arial"/>
          <w:sz w:val="24"/>
          <w:szCs w:val="24"/>
        </w:rPr>
        <w:t>Favour standardised streamlined pathways designed by MDTs;</w:t>
      </w:r>
    </w:p>
    <w:p w:rsidR="00DD21F0" w:rsidRPr="00956958" w:rsidRDefault="00D5052D" w:rsidP="00956958">
      <w:pPr>
        <w:pStyle w:val="ListParagraph"/>
        <w:numPr>
          <w:ilvl w:val="0"/>
          <w:numId w:val="10"/>
        </w:numPr>
        <w:rPr>
          <w:rFonts w:ascii="Arial" w:hAnsi="Arial" w:cs="Arial"/>
          <w:sz w:val="24"/>
          <w:szCs w:val="24"/>
        </w:rPr>
      </w:pPr>
      <w:r w:rsidRPr="00956958">
        <w:rPr>
          <w:rFonts w:ascii="Arial" w:hAnsi="Arial" w:cs="Arial"/>
          <w:sz w:val="24"/>
          <w:szCs w:val="24"/>
        </w:rPr>
        <w:t>Support and incentivise clinicians to work together;</w:t>
      </w:r>
    </w:p>
    <w:p w:rsidR="00DD21F0" w:rsidRPr="00956958" w:rsidRDefault="00956958" w:rsidP="00956958">
      <w:pPr>
        <w:pStyle w:val="ListParagraph"/>
        <w:numPr>
          <w:ilvl w:val="0"/>
          <w:numId w:val="10"/>
        </w:numPr>
        <w:rPr>
          <w:rFonts w:ascii="Arial" w:hAnsi="Arial" w:cs="Arial"/>
          <w:sz w:val="24"/>
          <w:szCs w:val="24"/>
        </w:rPr>
      </w:pPr>
      <w:r>
        <w:rPr>
          <w:rFonts w:ascii="Arial" w:hAnsi="Arial" w:cs="Arial"/>
          <w:sz w:val="24"/>
          <w:szCs w:val="24"/>
        </w:rPr>
        <w:t>R</w:t>
      </w:r>
      <w:r w:rsidR="00D5052D" w:rsidRPr="00956958">
        <w:rPr>
          <w:rFonts w:ascii="Arial" w:hAnsi="Arial" w:cs="Arial"/>
          <w:sz w:val="24"/>
          <w:szCs w:val="24"/>
        </w:rPr>
        <w:t>etain clear service standards (access, waiting times, patient experience)</w:t>
      </w:r>
    </w:p>
    <w:p w:rsidR="00DD21F0" w:rsidRPr="00956958" w:rsidRDefault="00956958" w:rsidP="00956958">
      <w:pPr>
        <w:pStyle w:val="ListParagraph"/>
        <w:numPr>
          <w:ilvl w:val="0"/>
          <w:numId w:val="10"/>
        </w:numPr>
        <w:rPr>
          <w:rFonts w:ascii="Arial" w:hAnsi="Arial" w:cs="Arial"/>
          <w:sz w:val="24"/>
          <w:szCs w:val="24"/>
        </w:rPr>
      </w:pPr>
      <w:r>
        <w:rPr>
          <w:rFonts w:ascii="Arial" w:hAnsi="Arial" w:cs="Arial"/>
          <w:sz w:val="24"/>
          <w:szCs w:val="24"/>
        </w:rPr>
        <w:t>R</w:t>
      </w:r>
      <w:r w:rsidR="00D5052D" w:rsidRPr="00956958">
        <w:rPr>
          <w:rFonts w:ascii="Arial" w:hAnsi="Arial" w:cs="Arial"/>
          <w:sz w:val="24"/>
          <w:szCs w:val="24"/>
        </w:rPr>
        <w:t>etain clear quality measures (safety and clinical accountability)</w:t>
      </w:r>
    </w:p>
    <w:p w:rsidR="00DD21F0" w:rsidRPr="00956958" w:rsidRDefault="00956958" w:rsidP="00956958">
      <w:pPr>
        <w:pStyle w:val="ListParagraph"/>
        <w:numPr>
          <w:ilvl w:val="0"/>
          <w:numId w:val="10"/>
        </w:numPr>
        <w:rPr>
          <w:rFonts w:ascii="Arial" w:hAnsi="Arial" w:cs="Arial"/>
          <w:sz w:val="24"/>
          <w:szCs w:val="24"/>
        </w:rPr>
      </w:pPr>
      <w:r>
        <w:rPr>
          <w:rFonts w:ascii="Arial" w:hAnsi="Arial" w:cs="Arial"/>
          <w:sz w:val="24"/>
          <w:szCs w:val="24"/>
        </w:rPr>
        <w:t>S</w:t>
      </w:r>
      <w:r w:rsidR="00D5052D" w:rsidRPr="00956958">
        <w:rPr>
          <w:rFonts w:ascii="Arial" w:hAnsi="Arial" w:cs="Arial"/>
          <w:sz w:val="24"/>
          <w:szCs w:val="24"/>
        </w:rPr>
        <w:t>upport personalised care and choice -  where appropriate</w:t>
      </w:r>
    </w:p>
    <w:p w:rsidR="00DD21F0" w:rsidRPr="00425AD0" w:rsidRDefault="00425AD0" w:rsidP="00425AD0">
      <w:pPr>
        <w:pStyle w:val="ListParagraph"/>
        <w:numPr>
          <w:ilvl w:val="0"/>
          <w:numId w:val="10"/>
        </w:numPr>
        <w:rPr>
          <w:rFonts w:ascii="Arial" w:hAnsi="Arial" w:cs="Arial"/>
          <w:sz w:val="24"/>
          <w:szCs w:val="24"/>
        </w:rPr>
      </w:pPr>
      <w:r>
        <w:rPr>
          <w:rFonts w:ascii="Arial" w:hAnsi="Arial" w:cs="Arial"/>
          <w:sz w:val="24"/>
          <w:szCs w:val="24"/>
        </w:rPr>
        <w:t>R</w:t>
      </w:r>
      <w:r w:rsidR="00D5052D" w:rsidRPr="00425AD0">
        <w:rPr>
          <w:rFonts w:ascii="Arial" w:hAnsi="Arial" w:cs="Arial"/>
          <w:sz w:val="24"/>
          <w:szCs w:val="24"/>
        </w:rPr>
        <w:t>ecognise the real costs of current delivery;</w:t>
      </w:r>
    </w:p>
    <w:p w:rsidR="00DD21F0" w:rsidRPr="00425AD0" w:rsidRDefault="00425AD0" w:rsidP="00425AD0">
      <w:pPr>
        <w:pStyle w:val="ListParagraph"/>
        <w:numPr>
          <w:ilvl w:val="0"/>
          <w:numId w:val="10"/>
        </w:numPr>
        <w:rPr>
          <w:rFonts w:ascii="Arial" w:hAnsi="Arial" w:cs="Arial"/>
          <w:sz w:val="24"/>
          <w:szCs w:val="24"/>
        </w:rPr>
      </w:pPr>
      <w:r>
        <w:rPr>
          <w:rFonts w:ascii="Arial" w:hAnsi="Arial" w:cs="Arial"/>
          <w:sz w:val="24"/>
          <w:szCs w:val="24"/>
        </w:rPr>
        <w:t>S</w:t>
      </w:r>
      <w:r w:rsidR="00D5052D" w:rsidRPr="00425AD0">
        <w:rPr>
          <w:rFonts w:ascii="Arial" w:hAnsi="Arial" w:cs="Arial"/>
          <w:sz w:val="24"/>
          <w:szCs w:val="24"/>
        </w:rPr>
        <w:t>upport effective management of system financial risk – which means more certainty, less volatility;</w:t>
      </w:r>
    </w:p>
    <w:p w:rsidR="00DD21F0" w:rsidRPr="00425AD0" w:rsidRDefault="00425AD0" w:rsidP="00425AD0">
      <w:pPr>
        <w:pStyle w:val="ListParagraph"/>
        <w:numPr>
          <w:ilvl w:val="0"/>
          <w:numId w:val="10"/>
        </w:numPr>
        <w:rPr>
          <w:rFonts w:ascii="Arial" w:hAnsi="Arial" w:cs="Arial"/>
          <w:sz w:val="24"/>
          <w:szCs w:val="24"/>
        </w:rPr>
      </w:pPr>
      <w:r>
        <w:rPr>
          <w:rFonts w:ascii="Arial" w:hAnsi="Arial" w:cs="Arial"/>
          <w:sz w:val="24"/>
          <w:szCs w:val="24"/>
        </w:rPr>
        <w:t>S</w:t>
      </w:r>
      <w:r w:rsidR="00D5052D" w:rsidRPr="00425AD0">
        <w:rPr>
          <w:rFonts w:ascii="Arial" w:hAnsi="Arial" w:cs="Arial"/>
          <w:sz w:val="24"/>
          <w:szCs w:val="24"/>
        </w:rPr>
        <w:t>upport moving resources around the whole system to deliver optimal results;</w:t>
      </w:r>
    </w:p>
    <w:p w:rsidR="00DD21F0" w:rsidRPr="00425AD0" w:rsidRDefault="00425AD0" w:rsidP="00425AD0">
      <w:pPr>
        <w:pStyle w:val="ListParagraph"/>
        <w:numPr>
          <w:ilvl w:val="0"/>
          <w:numId w:val="10"/>
        </w:numPr>
        <w:rPr>
          <w:rFonts w:ascii="Arial" w:hAnsi="Arial" w:cs="Arial"/>
          <w:sz w:val="24"/>
          <w:szCs w:val="24"/>
        </w:rPr>
      </w:pPr>
      <w:r>
        <w:rPr>
          <w:rFonts w:ascii="Arial" w:hAnsi="Arial" w:cs="Arial"/>
          <w:sz w:val="24"/>
          <w:szCs w:val="24"/>
        </w:rPr>
        <w:t>S</w:t>
      </w:r>
      <w:r w:rsidR="00D5052D" w:rsidRPr="00425AD0">
        <w:rPr>
          <w:rFonts w:ascii="Arial" w:hAnsi="Arial" w:cs="Arial"/>
          <w:sz w:val="24"/>
          <w:szCs w:val="24"/>
        </w:rPr>
        <w:t>upport control of activity growth;</w:t>
      </w:r>
    </w:p>
    <w:p w:rsidR="00DD21F0" w:rsidRPr="00425AD0" w:rsidRDefault="00425AD0" w:rsidP="00425AD0">
      <w:pPr>
        <w:pStyle w:val="ListParagraph"/>
        <w:numPr>
          <w:ilvl w:val="0"/>
          <w:numId w:val="10"/>
        </w:numPr>
        <w:rPr>
          <w:rFonts w:ascii="Arial" w:hAnsi="Arial" w:cs="Arial"/>
          <w:sz w:val="24"/>
          <w:szCs w:val="24"/>
        </w:rPr>
      </w:pPr>
      <w:r>
        <w:rPr>
          <w:rFonts w:ascii="Arial" w:hAnsi="Arial" w:cs="Arial"/>
          <w:sz w:val="24"/>
          <w:szCs w:val="24"/>
        </w:rPr>
        <w:t>S</w:t>
      </w:r>
      <w:r w:rsidR="00D5052D" w:rsidRPr="00425AD0">
        <w:rPr>
          <w:rFonts w:ascii="Arial" w:hAnsi="Arial" w:cs="Arial"/>
          <w:sz w:val="24"/>
          <w:szCs w:val="24"/>
        </w:rPr>
        <w:t>upport streamlined pathways which eliminate avoidable activities;</w:t>
      </w:r>
    </w:p>
    <w:p w:rsidR="00DD21F0" w:rsidRPr="00425AD0" w:rsidRDefault="00D5052D" w:rsidP="00425AD0">
      <w:pPr>
        <w:pStyle w:val="ListParagraph"/>
        <w:numPr>
          <w:ilvl w:val="0"/>
          <w:numId w:val="10"/>
        </w:numPr>
        <w:rPr>
          <w:rFonts w:ascii="Arial" w:hAnsi="Arial" w:cs="Arial"/>
          <w:sz w:val="24"/>
          <w:szCs w:val="24"/>
        </w:rPr>
      </w:pPr>
      <w:r w:rsidRPr="00425AD0">
        <w:rPr>
          <w:rFonts w:ascii="Arial" w:hAnsi="Arial" w:cs="Arial"/>
          <w:sz w:val="24"/>
          <w:szCs w:val="24"/>
        </w:rPr>
        <w:t>Prioritise community interests over organisational interests.</w:t>
      </w:r>
    </w:p>
    <w:p w:rsidR="00956958" w:rsidRDefault="00956958" w:rsidP="00D76148">
      <w:pPr>
        <w:pStyle w:val="ListParagraph"/>
        <w:rPr>
          <w:rFonts w:ascii="Arial" w:hAnsi="Arial" w:cs="Arial"/>
          <w:sz w:val="24"/>
          <w:szCs w:val="24"/>
        </w:rPr>
      </w:pPr>
    </w:p>
    <w:p w:rsidR="00E902FB" w:rsidRDefault="00E902FB" w:rsidP="00D76148">
      <w:pPr>
        <w:pStyle w:val="ListParagraph"/>
        <w:rPr>
          <w:rFonts w:ascii="Arial" w:hAnsi="Arial" w:cs="Arial"/>
          <w:sz w:val="24"/>
          <w:szCs w:val="24"/>
        </w:rPr>
      </w:pPr>
      <w:r>
        <w:rPr>
          <w:rFonts w:ascii="Arial" w:hAnsi="Arial" w:cs="Arial"/>
          <w:sz w:val="24"/>
          <w:szCs w:val="24"/>
        </w:rPr>
        <w:t>6.</w:t>
      </w:r>
      <w:r w:rsidR="00A919CF">
        <w:rPr>
          <w:rFonts w:ascii="Arial" w:hAnsi="Arial" w:cs="Arial"/>
          <w:sz w:val="24"/>
          <w:szCs w:val="24"/>
        </w:rPr>
        <w:t>2</w:t>
      </w:r>
      <w:r>
        <w:rPr>
          <w:rFonts w:ascii="Arial" w:hAnsi="Arial" w:cs="Arial"/>
          <w:sz w:val="24"/>
          <w:szCs w:val="24"/>
        </w:rPr>
        <w:t xml:space="preserve"> Conditions</w:t>
      </w:r>
    </w:p>
    <w:p w:rsidR="006E58B3" w:rsidRDefault="00D76148" w:rsidP="00D76148">
      <w:pPr>
        <w:pStyle w:val="ListParagraph"/>
        <w:rPr>
          <w:rFonts w:ascii="Arial" w:hAnsi="Arial" w:cs="Arial"/>
          <w:sz w:val="24"/>
          <w:szCs w:val="24"/>
        </w:rPr>
      </w:pPr>
      <w:r>
        <w:rPr>
          <w:rFonts w:ascii="Arial" w:hAnsi="Arial" w:cs="Arial"/>
          <w:sz w:val="24"/>
          <w:szCs w:val="24"/>
        </w:rPr>
        <w:t xml:space="preserve">In order to incentivise </w:t>
      </w:r>
      <w:r w:rsidR="00043990">
        <w:rPr>
          <w:rFonts w:ascii="Arial" w:hAnsi="Arial" w:cs="Arial"/>
          <w:sz w:val="24"/>
          <w:szCs w:val="24"/>
        </w:rPr>
        <w:t xml:space="preserve">the above for </w:t>
      </w:r>
      <w:r>
        <w:rPr>
          <w:rFonts w:ascii="Arial" w:hAnsi="Arial" w:cs="Arial"/>
          <w:sz w:val="24"/>
          <w:szCs w:val="24"/>
        </w:rPr>
        <w:t xml:space="preserve">delivery of transformation, </w:t>
      </w:r>
      <w:r w:rsidR="00F5688E">
        <w:rPr>
          <w:rFonts w:ascii="Arial" w:hAnsi="Arial" w:cs="Arial"/>
          <w:sz w:val="24"/>
          <w:szCs w:val="24"/>
        </w:rPr>
        <w:t xml:space="preserve">this </w:t>
      </w:r>
      <w:r w:rsidR="00094687">
        <w:rPr>
          <w:rFonts w:ascii="Arial" w:hAnsi="Arial" w:cs="Arial"/>
          <w:sz w:val="24"/>
          <w:szCs w:val="24"/>
        </w:rPr>
        <w:t>MOU</w:t>
      </w:r>
      <w:r w:rsidR="00F5688E">
        <w:rPr>
          <w:rFonts w:ascii="Arial" w:hAnsi="Arial" w:cs="Arial"/>
          <w:sz w:val="24"/>
          <w:szCs w:val="24"/>
        </w:rPr>
        <w:t xml:space="preserve"> will form an addendum to the contract.  </w:t>
      </w:r>
      <w:r w:rsidR="00A919CF">
        <w:rPr>
          <w:rFonts w:ascii="Arial" w:hAnsi="Arial" w:cs="Arial"/>
          <w:sz w:val="24"/>
          <w:szCs w:val="24"/>
        </w:rPr>
        <w:t>Following a review of various incentive options, t</w:t>
      </w:r>
      <w:r w:rsidR="00F5688E">
        <w:rPr>
          <w:rFonts w:ascii="Arial" w:hAnsi="Arial" w:cs="Arial"/>
          <w:sz w:val="24"/>
          <w:szCs w:val="24"/>
        </w:rPr>
        <w:t xml:space="preserve">he financial mechanism of </w:t>
      </w:r>
      <w:r>
        <w:rPr>
          <w:rFonts w:ascii="Arial" w:hAnsi="Arial" w:cs="Arial"/>
          <w:sz w:val="24"/>
          <w:szCs w:val="24"/>
        </w:rPr>
        <w:t xml:space="preserve">a </w:t>
      </w:r>
      <w:r w:rsidR="006E58B3">
        <w:rPr>
          <w:rFonts w:ascii="Arial" w:hAnsi="Arial" w:cs="Arial"/>
          <w:sz w:val="24"/>
          <w:szCs w:val="24"/>
        </w:rPr>
        <w:t>Minimum Income Guarantee</w:t>
      </w:r>
      <w:r>
        <w:rPr>
          <w:rFonts w:ascii="Arial" w:hAnsi="Arial" w:cs="Arial"/>
          <w:sz w:val="24"/>
          <w:szCs w:val="24"/>
        </w:rPr>
        <w:t xml:space="preserve"> will apply with a further potential sum linked to the </w:t>
      </w:r>
      <w:r w:rsidR="00F5688E">
        <w:rPr>
          <w:rFonts w:ascii="Arial" w:hAnsi="Arial" w:cs="Arial"/>
          <w:sz w:val="24"/>
          <w:szCs w:val="24"/>
        </w:rPr>
        <w:t xml:space="preserve">key </w:t>
      </w:r>
      <w:r>
        <w:rPr>
          <w:rFonts w:ascii="Arial" w:hAnsi="Arial" w:cs="Arial"/>
          <w:sz w:val="24"/>
          <w:szCs w:val="24"/>
        </w:rPr>
        <w:t>performance deliverables (outcomes based where possible) and transformation joint delivery plan.</w:t>
      </w:r>
      <w:r w:rsidR="00043990">
        <w:rPr>
          <w:rFonts w:ascii="Arial" w:hAnsi="Arial" w:cs="Arial"/>
          <w:sz w:val="24"/>
          <w:szCs w:val="24"/>
        </w:rPr>
        <w:t xml:space="preserve">  </w:t>
      </w:r>
      <w:r w:rsidR="008E2D59">
        <w:rPr>
          <w:rFonts w:ascii="Arial" w:hAnsi="Arial" w:cs="Arial"/>
          <w:sz w:val="24"/>
          <w:szCs w:val="24"/>
        </w:rPr>
        <w:t xml:space="preserve">This then provides a maximum figure potentially available to the Provider(s). </w:t>
      </w:r>
    </w:p>
    <w:p w:rsidR="008E2D59" w:rsidRDefault="008E2D59" w:rsidP="00D76148">
      <w:pPr>
        <w:pStyle w:val="ListParagraph"/>
        <w:rPr>
          <w:rFonts w:ascii="Arial" w:hAnsi="Arial" w:cs="Arial"/>
          <w:sz w:val="24"/>
          <w:szCs w:val="24"/>
        </w:rPr>
      </w:pPr>
    </w:p>
    <w:p w:rsidR="008E2D59" w:rsidRDefault="008E2D59" w:rsidP="00D76148">
      <w:pPr>
        <w:pStyle w:val="ListParagraph"/>
        <w:rPr>
          <w:rFonts w:ascii="Arial" w:hAnsi="Arial" w:cs="Arial"/>
          <w:sz w:val="24"/>
          <w:szCs w:val="24"/>
        </w:rPr>
      </w:pPr>
      <w:r>
        <w:rPr>
          <w:rFonts w:ascii="Arial" w:hAnsi="Arial" w:cs="Arial"/>
          <w:sz w:val="24"/>
          <w:szCs w:val="24"/>
        </w:rPr>
        <w:t>A worked plan example of this for NL and NELCCG for NLAG is shown in Appendix x (shown with and without BCF investments which are dependent on projects starting).</w:t>
      </w:r>
    </w:p>
    <w:p w:rsidR="008E2D59" w:rsidRDefault="008E2D59" w:rsidP="00D76148">
      <w:pPr>
        <w:pStyle w:val="ListParagraph"/>
        <w:rPr>
          <w:rFonts w:ascii="Arial" w:hAnsi="Arial" w:cs="Arial"/>
          <w:sz w:val="24"/>
          <w:szCs w:val="24"/>
        </w:rPr>
      </w:pPr>
    </w:p>
    <w:p w:rsidR="00A919CF" w:rsidRDefault="00A919CF" w:rsidP="00D76148">
      <w:pPr>
        <w:pStyle w:val="ListParagraph"/>
        <w:rPr>
          <w:rFonts w:ascii="Arial" w:hAnsi="Arial" w:cs="Arial"/>
          <w:sz w:val="24"/>
          <w:szCs w:val="24"/>
        </w:rPr>
      </w:pPr>
      <w:r>
        <w:rPr>
          <w:rFonts w:ascii="Arial" w:hAnsi="Arial" w:cs="Arial"/>
          <w:sz w:val="24"/>
          <w:szCs w:val="24"/>
        </w:rPr>
        <w:t>It has been agreed that the other parties to the MOU, namely, NAViGO and Care Plus Group, will use xxxxxx   as their incentive mechanism as referred to in.xxxxxx.</w:t>
      </w:r>
    </w:p>
    <w:p w:rsidR="00A919CF" w:rsidRDefault="00A919CF" w:rsidP="00D76148">
      <w:pPr>
        <w:pStyle w:val="ListParagraph"/>
        <w:rPr>
          <w:rFonts w:ascii="Arial" w:hAnsi="Arial" w:cs="Arial"/>
          <w:sz w:val="24"/>
          <w:szCs w:val="24"/>
        </w:rPr>
      </w:pPr>
      <w:r>
        <w:rPr>
          <w:rFonts w:ascii="Arial" w:hAnsi="Arial" w:cs="Arial"/>
          <w:sz w:val="24"/>
          <w:szCs w:val="24"/>
        </w:rPr>
        <w:t xml:space="preserve"> </w:t>
      </w:r>
    </w:p>
    <w:p w:rsidR="00F03AD8" w:rsidRPr="00E902FB" w:rsidRDefault="00F03AD8" w:rsidP="00E902FB">
      <w:pPr>
        <w:pStyle w:val="ListParagraph"/>
        <w:numPr>
          <w:ilvl w:val="0"/>
          <w:numId w:val="12"/>
        </w:numPr>
        <w:rPr>
          <w:rFonts w:ascii="Arial" w:hAnsi="Arial" w:cs="Arial"/>
          <w:sz w:val="24"/>
          <w:szCs w:val="24"/>
        </w:rPr>
      </w:pPr>
      <w:r w:rsidRPr="00E902FB">
        <w:rPr>
          <w:rFonts w:ascii="Arial" w:hAnsi="Arial" w:cs="Arial"/>
          <w:sz w:val="24"/>
          <w:szCs w:val="24"/>
        </w:rPr>
        <w:t xml:space="preserve">Shared </w:t>
      </w:r>
      <w:r w:rsidR="00E902FB">
        <w:rPr>
          <w:rFonts w:ascii="Arial" w:hAnsi="Arial" w:cs="Arial"/>
          <w:sz w:val="24"/>
          <w:szCs w:val="24"/>
        </w:rPr>
        <w:t xml:space="preserve">financial </w:t>
      </w:r>
      <w:r w:rsidRPr="00E902FB">
        <w:rPr>
          <w:rFonts w:ascii="Arial" w:hAnsi="Arial" w:cs="Arial"/>
          <w:sz w:val="24"/>
          <w:szCs w:val="24"/>
        </w:rPr>
        <w:t>risk strategy</w:t>
      </w:r>
    </w:p>
    <w:p w:rsidR="008E2D59" w:rsidRDefault="008E2D59" w:rsidP="00D76148">
      <w:pPr>
        <w:pStyle w:val="ListParagraph"/>
        <w:rPr>
          <w:rFonts w:ascii="Arial" w:hAnsi="Arial" w:cs="Arial"/>
          <w:sz w:val="24"/>
          <w:szCs w:val="24"/>
        </w:rPr>
      </w:pPr>
      <w:r>
        <w:rPr>
          <w:rFonts w:ascii="Arial" w:hAnsi="Arial" w:cs="Arial"/>
          <w:sz w:val="24"/>
          <w:szCs w:val="24"/>
        </w:rPr>
        <w:t xml:space="preserve">To support this high level finance plan and </w:t>
      </w:r>
      <w:r w:rsidR="00621A34">
        <w:rPr>
          <w:rFonts w:ascii="Arial" w:hAnsi="Arial" w:cs="Arial"/>
          <w:sz w:val="24"/>
          <w:szCs w:val="24"/>
        </w:rPr>
        <w:t>financial mechanism, the</w:t>
      </w:r>
      <w:r>
        <w:rPr>
          <w:rFonts w:ascii="Arial" w:hAnsi="Arial" w:cs="Arial"/>
          <w:sz w:val="24"/>
          <w:szCs w:val="24"/>
        </w:rPr>
        <w:t xml:space="preserve"> par</w:t>
      </w:r>
      <w:r w:rsidR="00621A34">
        <w:rPr>
          <w:rFonts w:ascii="Arial" w:hAnsi="Arial" w:cs="Arial"/>
          <w:sz w:val="24"/>
          <w:szCs w:val="24"/>
        </w:rPr>
        <w:t>ties</w:t>
      </w:r>
      <w:r>
        <w:rPr>
          <w:rFonts w:ascii="Arial" w:hAnsi="Arial" w:cs="Arial"/>
          <w:sz w:val="24"/>
          <w:szCs w:val="24"/>
        </w:rPr>
        <w:t xml:space="preserve"> have agreed to develop a shared risk strategy</w:t>
      </w:r>
      <w:r w:rsidR="0056464B">
        <w:rPr>
          <w:rFonts w:ascii="Arial" w:hAnsi="Arial" w:cs="Arial"/>
          <w:sz w:val="24"/>
          <w:szCs w:val="24"/>
        </w:rPr>
        <w:t>encompassiong existing risk share agreements eg BCF</w:t>
      </w:r>
    </w:p>
    <w:p w:rsidR="008E2D59" w:rsidRDefault="008E2D59" w:rsidP="00D76148">
      <w:pPr>
        <w:pStyle w:val="ListParagraph"/>
        <w:rPr>
          <w:rFonts w:ascii="Arial" w:hAnsi="Arial" w:cs="Arial"/>
          <w:sz w:val="24"/>
          <w:szCs w:val="24"/>
        </w:rPr>
      </w:pPr>
    </w:p>
    <w:p w:rsidR="00FD7F78" w:rsidRDefault="008E2D59" w:rsidP="00D76148">
      <w:pPr>
        <w:pStyle w:val="ListParagraph"/>
        <w:rPr>
          <w:rFonts w:ascii="Arial" w:hAnsi="Arial" w:cs="Arial"/>
          <w:sz w:val="24"/>
          <w:szCs w:val="24"/>
        </w:rPr>
      </w:pPr>
      <w:r>
        <w:rPr>
          <w:rFonts w:ascii="Arial" w:hAnsi="Arial" w:cs="Arial"/>
          <w:sz w:val="24"/>
          <w:szCs w:val="24"/>
        </w:rPr>
        <w:t xml:space="preserve">A first draft </w:t>
      </w:r>
      <w:r w:rsidR="00FD7F78">
        <w:rPr>
          <w:rFonts w:ascii="Arial" w:hAnsi="Arial" w:cs="Arial"/>
          <w:sz w:val="24"/>
          <w:szCs w:val="24"/>
        </w:rPr>
        <w:t xml:space="preserve">risk strategy </w:t>
      </w:r>
      <w:r>
        <w:rPr>
          <w:rFonts w:ascii="Arial" w:hAnsi="Arial" w:cs="Arial"/>
          <w:sz w:val="24"/>
          <w:szCs w:val="24"/>
        </w:rPr>
        <w:t>which maps where the financial risks are held</w:t>
      </w:r>
      <w:r w:rsidR="00F03AD8">
        <w:rPr>
          <w:rFonts w:ascii="Arial" w:hAnsi="Arial" w:cs="Arial"/>
          <w:sz w:val="24"/>
          <w:szCs w:val="24"/>
        </w:rPr>
        <w:t xml:space="preserve">, mitigations and who is responsible for </w:t>
      </w:r>
      <w:r>
        <w:rPr>
          <w:rFonts w:ascii="Arial" w:hAnsi="Arial" w:cs="Arial"/>
          <w:sz w:val="24"/>
          <w:szCs w:val="24"/>
        </w:rPr>
        <w:t xml:space="preserve">them is shown at Appendix X.  </w:t>
      </w:r>
      <w:r w:rsidR="00FD7F78">
        <w:rPr>
          <w:rFonts w:ascii="Arial" w:hAnsi="Arial" w:cs="Arial"/>
          <w:sz w:val="24"/>
          <w:szCs w:val="24"/>
        </w:rPr>
        <w:t>The aim is to expand this for future years for the whole health and social care economy.</w:t>
      </w:r>
    </w:p>
    <w:p w:rsidR="00E902FB" w:rsidRDefault="00E902FB" w:rsidP="00D76148">
      <w:pPr>
        <w:pStyle w:val="ListParagraph"/>
        <w:rPr>
          <w:rFonts w:ascii="Arial" w:hAnsi="Arial" w:cs="Arial"/>
          <w:sz w:val="24"/>
          <w:szCs w:val="24"/>
        </w:rPr>
      </w:pPr>
    </w:p>
    <w:p w:rsidR="00A04770" w:rsidRDefault="0020751E" w:rsidP="00D76148">
      <w:pPr>
        <w:pStyle w:val="ListParagraph"/>
        <w:rPr>
          <w:rFonts w:ascii="Arial" w:hAnsi="Arial" w:cs="Arial"/>
          <w:sz w:val="24"/>
          <w:szCs w:val="24"/>
        </w:rPr>
      </w:pPr>
      <w:r>
        <w:rPr>
          <w:rFonts w:ascii="Arial" w:hAnsi="Arial" w:cs="Arial"/>
          <w:sz w:val="24"/>
          <w:szCs w:val="24"/>
        </w:rPr>
        <w:t>In the circumstance that contractual penalties are applied the financial resource will be ringfenced within the Health community for mutually agreed use.</w:t>
      </w:r>
    </w:p>
    <w:p w:rsidR="0020751E" w:rsidRDefault="0020751E" w:rsidP="00D76148">
      <w:pPr>
        <w:pStyle w:val="ListParagraph"/>
        <w:rPr>
          <w:rFonts w:ascii="Arial" w:hAnsi="Arial" w:cs="Arial"/>
          <w:sz w:val="24"/>
          <w:szCs w:val="24"/>
        </w:rPr>
      </w:pPr>
    </w:p>
    <w:p w:rsidR="00E902FB" w:rsidRPr="00E902FB" w:rsidRDefault="00E902FB" w:rsidP="00E902FB">
      <w:pPr>
        <w:pStyle w:val="ListParagraph"/>
        <w:numPr>
          <w:ilvl w:val="0"/>
          <w:numId w:val="12"/>
        </w:numPr>
        <w:rPr>
          <w:rFonts w:ascii="Arial" w:hAnsi="Arial" w:cs="Arial"/>
          <w:sz w:val="24"/>
          <w:szCs w:val="24"/>
        </w:rPr>
      </w:pPr>
      <w:r>
        <w:rPr>
          <w:rFonts w:ascii="Arial" w:hAnsi="Arial" w:cs="Arial"/>
          <w:sz w:val="24"/>
          <w:szCs w:val="24"/>
        </w:rPr>
        <w:t>Governance framework</w:t>
      </w:r>
    </w:p>
    <w:p w:rsidR="00FD7F78" w:rsidRDefault="00FD7F78" w:rsidP="00D76148">
      <w:pPr>
        <w:pStyle w:val="ListParagraph"/>
        <w:rPr>
          <w:rFonts w:ascii="Arial" w:hAnsi="Arial" w:cs="Arial"/>
          <w:sz w:val="24"/>
          <w:szCs w:val="24"/>
        </w:rPr>
      </w:pPr>
    </w:p>
    <w:p w:rsidR="00A919CF" w:rsidRDefault="00E902FB" w:rsidP="00F32291">
      <w:pPr>
        <w:pStyle w:val="ListParagraph"/>
        <w:numPr>
          <w:ilvl w:val="1"/>
          <w:numId w:val="12"/>
        </w:numPr>
        <w:rPr>
          <w:rFonts w:ascii="Arial" w:hAnsi="Arial" w:cs="Arial"/>
          <w:sz w:val="24"/>
          <w:szCs w:val="24"/>
        </w:rPr>
      </w:pPr>
      <w:r>
        <w:rPr>
          <w:rFonts w:ascii="Arial" w:hAnsi="Arial" w:cs="Arial"/>
          <w:sz w:val="24"/>
          <w:szCs w:val="24"/>
        </w:rPr>
        <w:t xml:space="preserve">This </w:t>
      </w:r>
      <w:r w:rsidR="00A919CF">
        <w:rPr>
          <w:rFonts w:ascii="Arial" w:hAnsi="Arial" w:cs="Arial"/>
          <w:sz w:val="24"/>
          <w:szCs w:val="24"/>
        </w:rPr>
        <w:t>MOU</w:t>
      </w:r>
      <w:r>
        <w:rPr>
          <w:rFonts w:ascii="Arial" w:hAnsi="Arial" w:cs="Arial"/>
          <w:sz w:val="24"/>
          <w:szCs w:val="24"/>
        </w:rPr>
        <w:t xml:space="preserve"> will be overseen by the HLHF Planning and Resources group chaired by the Director of Commissioning, NLCCG</w:t>
      </w:r>
      <w:r w:rsidR="00A919CF">
        <w:rPr>
          <w:rFonts w:ascii="Arial" w:hAnsi="Arial" w:cs="Arial"/>
          <w:sz w:val="24"/>
          <w:szCs w:val="24"/>
        </w:rPr>
        <w:t xml:space="preserve"> </w:t>
      </w:r>
      <w:r w:rsidR="0056464B">
        <w:rPr>
          <w:rFonts w:ascii="Arial" w:hAnsi="Arial" w:cs="Arial"/>
          <w:sz w:val="24"/>
          <w:szCs w:val="24"/>
        </w:rPr>
        <w:t xml:space="preserve">with decisions made </w:t>
      </w:r>
      <w:r w:rsidR="00A919CF">
        <w:rPr>
          <w:rFonts w:ascii="Arial" w:hAnsi="Arial" w:cs="Arial"/>
          <w:sz w:val="24"/>
          <w:szCs w:val="24"/>
        </w:rPr>
        <w:t xml:space="preserve">by the parties within </w:t>
      </w:r>
      <w:r w:rsidR="0056464B">
        <w:rPr>
          <w:rFonts w:ascii="Arial" w:hAnsi="Arial" w:cs="Arial"/>
          <w:sz w:val="24"/>
          <w:szCs w:val="24"/>
        </w:rPr>
        <w:t xml:space="preserve">through </w:t>
      </w:r>
      <w:r w:rsidR="00A919CF">
        <w:rPr>
          <w:rFonts w:ascii="Arial" w:hAnsi="Arial" w:cs="Arial"/>
          <w:sz w:val="24"/>
          <w:szCs w:val="24"/>
        </w:rPr>
        <w:t xml:space="preserve">locality </w:t>
      </w:r>
      <w:r w:rsidR="0056464B">
        <w:rPr>
          <w:rFonts w:ascii="Arial" w:hAnsi="Arial" w:cs="Arial"/>
          <w:sz w:val="24"/>
          <w:szCs w:val="24"/>
        </w:rPr>
        <w:t>structures.</w:t>
      </w:r>
    </w:p>
    <w:p w:rsidR="00E902FB" w:rsidRDefault="00E902FB" w:rsidP="00F32291">
      <w:pPr>
        <w:pStyle w:val="ListParagraph"/>
        <w:ind w:left="1125"/>
        <w:rPr>
          <w:rFonts w:ascii="Arial" w:hAnsi="Arial" w:cs="Arial"/>
          <w:sz w:val="24"/>
          <w:szCs w:val="24"/>
        </w:rPr>
      </w:pPr>
      <w:r>
        <w:rPr>
          <w:rFonts w:ascii="Arial" w:hAnsi="Arial" w:cs="Arial"/>
          <w:sz w:val="24"/>
          <w:szCs w:val="24"/>
        </w:rPr>
        <w:t xml:space="preserve"> </w:t>
      </w:r>
    </w:p>
    <w:p w:rsidR="00A919CF" w:rsidRDefault="00E902FB" w:rsidP="00F32291">
      <w:pPr>
        <w:pStyle w:val="ListParagraph"/>
        <w:numPr>
          <w:ilvl w:val="1"/>
          <w:numId w:val="12"/>
        </w:numPr>
        <w:rPr>
          <w:rFonts w:ascii="Arial" w:hAnsi="Arial" w:cs="Arial"/>
          <w:sz w:val="24"/>
          <w:szCs w:val="24"/>
        </w:rPr>
      </w:pPr>
      <w:r>
        <w:rPr>
          <w:rFonts w:ascii="Arial" w:hAnsi="Arial" w:cs="Arial"/>
          <w:sz w:val="24"/>
          <w:szCs w:val="24"/>
        </w:rPr>
        <w:t>Providers may agree to share financial resources to mitigate financial risks or enter their own risk share arrangements across pathways.  Where these are agreed any governance arrangements will b</w:t>
      </w:r>
      <w:r w:rsidR="004C13C5">
        <w:rPr>
          <w:rFonts w:ascii="Arial" w:hAnsi="Arial" w:cs="Arial"/>
          <w:sz w:val="24"/>
          <w:szCs w:val="24"/>
        </w:rPr>
        <w:t>e entered in the next section.</w:t>
      </w:r>
    </w:p>
    <w:p w:rsidR="00A919CF" w:rsidRPr="00F32291" w:rsidRDefault="00A919CF" w:rsidP="00F32291">
      <w:pPr>
        <w:pStyle w:val="ListParagraph"/>
        <w:rPr>
          <w:rFonts w:ascii="Arial" w:hAnsi="Arial" w:cs="Arial"/>
          <w:sz w:val="24"/>
          <w:szCs w:val="24"/>
        </w:rPr>
      </w:pPr>
    </w:p>
    <w:p w:rsidR="008E2D59" w:rsidRDefault="00E902FB" w:rsidP="00F32291">
      <w:pPr>
        <w:pStyle w:val="ListParagraph"/>
        <w:numPr>
          <w:ilvl w:val="1"/>
          <w:numId w:val="12"/>
        </w:numPr>
        <w:rPr>
          <w:rFonts w:ascii="Arial" w:hAnsi="Arial" w:cs="Arial"/>
          <w:sz w:val="24"/>
          <w:szCs w:val="24"/>
        </w:rPr>
      </w:pPr>
      <w:r>
        <w:rPr>
          <w:rFonts w:ascii="Arial" w:hAnsi="Arial" w:cs="Arial"/>
          <w:sz w:val="24"/>
          <w:szCs w:val="24"/>
        </w:rPr>
        <w:t xml:space="preserve"> </w:t>
      </w:r>
      <w:r w:rsidR="00A919CF">
        <w:rPr>
          <w:rFonts w:ascii="Arial" w:hAnsi="Arial" w:cs="Arial"/>
          <w:sz w:val="24"/>
          <w:szCs w:val="24"/>
        </w:rPr>
        <w:t>Provider Governance Framework</w:t>
      </w:r>
    </w:p>
    <w:p w:rsidR="00A919CF" w:rsidRPr="00F32291" w:rsidRDefault="00A919CF" w:rsidP="00F32291">
      <w:pPr>
        <w:pStyle w:val="ListParagraph"/>
        <w:rPr>
          <w:rFonts w:ascii="Arial" w:hAnsi="Arial" w:cs="Arial"/>
          <w:sz w:val="24"/>
          <w:szCs w:val="24"/>
        </w:rPr>
      </w:pPr>
      <w:r>
        <w:rPr>
          <w:rFonts w:ascii="Arial" w:hAnsi="Arial" w:cs="Arial"/>
          <w:sz w:val="24"/>
          <w:szCs w:val="24"/>
        </w:rPr>
        <w:t>Insert here.  The parties to this agreement are NLAG, NAViGO and Care Plus Group.</w:t>
      </w:r>
    </w:p>
    <w:p w:rsidR="00A919CF" w:rsidRDefault="00A919CF" w:rsidP="00F32291">
      <w:pPr>
        <w:pStyle w:val="ListParagraph"/>
        <w:ind w:left="1125"/>
        <w:rPr>
          <w:rFonts w:ascii="Arial" w:hAnsi="Arial" w:cs="Arial"/>
          <w:sz w:val="24"/>
          <w:szCs w:val="24"/>
        </w:rPr>
      </w:pPr>
    </w:p>
    <w:p w:rsidR="006E58B3" w:rsidRDefault="00192F5B" w:rsidP="006E58B3">
      <w:pPr>
        <w:rPr>
          <w:rFonts w:ascii="Arial" w:hAnsi="Arial" w:cs="Arial"/>
          <w:sz w:val="24"/>
          <w:szCs w:val="24"/>
        </w:rPr>
      </w:pPr>
      <w:r>
        <w:rPr>
          <w:rFonts w:ascii="Arial" w:hAnsi="Arial" w:cs="Arial"/>
          <w:sz w:val="24"/>
          <w:szCs w:val="24"/>
        </w:rPr>
        <w:t>9.</w:t>
      </w:r>
      <w:r>
        <w:rPr>
          <w:rFonts w:ascii="Arial" w:hAnsi="Arial" w:cs="Arial"/>
          <w:sz w:val="24"/>
          <w:szCs w:val="24"/>
        </w:rPr>
        <w:tab/>
        <w:t>Status</w:t>
      </w:r>
      <w:r>
        <w:rPr>
          <w:rFonts w:ascii="Arial" w:hAnsi="Arial" w:cs="Arial"/>
          <w:sz w:val="24"/>
          <w:szCs w:val="24"/>
        </w:rPr>
        <w:tab/>
      </w:r>
      <w:r w:rsidR="00B50EEC">
        <w:rPr>
          <w:rFonts w:ascii="Arial" w:hAnsi="Arial" w:cs="Arial"/>
          <w:sz w:val="24"/>
          <w:szCs w:val="24"/>
        </w:rPr>
        <w:t>and next Steps</w:t>
      </w:r>
    </w:p>
    <w:p w:rsidR="00192F5B" w:rsidRDefault="00192F5B" w:rsidP="006E58B3">
      <w:pPr>
        <w:rPr>
          <w:rFonts w:ascii="Arial" w:hAnsi="Arial" w:cs="Arial"/>
          <w:sz w:val="24"/>
          <w:szCs w:val="24"/>
        </w:rPr>
      </w:pPr>
      <w:r>
        <w:rPr>
          <w:rFonts w:ascii="Arial" w:hAnsi="Arial" w:cs="Arial"/>
          <w:sz w:val="24"/>
          <w:szCs w:val="24"/>
        </w:rPr>
        <w:t xml:space="preserve">This </w:t>
      </w:r>
      <w:r w:rsidR="00077331">
        <w:rPr>
          <w:rFonts w:ascii="Arial" w:hAnsi="Arial" w:cs="Arial"/>
          <w:sz w:val="24"/>
          <w:szCs w:val="24"/>
        </w:rPr>
        <w:t>MOU</w:t>
      </w:r>
      <w:r>
        <w:rPr>
          <w:rFonts w:ascii="Arial" w:hAnsi="Arial" w:cs="Arial"/>
          <w:sz w:val="24"/>
          <w:szCs w:val="24"/>
        </w:rPr>
        <w:t xml:space="preserve"> forms an addendum to </w:t>
      </w:r>
      <w:r w:rsidR="0056464B">
        <w:rPr>
          <w:rFonts w:ascii="Arial" w:hAnsi="Arial" w:cs="Arial"/>
          <w:sz w:val="24"/>
          <w:szCs w:val="24"/>
        </w:rPr>
        <w:t>each of the parties contracts</w:t>
      </w:r>
    </w:p>
    <w:p w:rsidR="00E214FE" w:rsidRDefault="00E214FE" w:rsidP="006E58B3">
      <w:pPr>
        <w:rPr>
          <w:rFonts w:ascii="Arial" w:hAnsi="Arial" w:cs="Arial"/>
          <w:sz w:val="24"/>
          <w:szCs w:val="24"/>
        </w:rPr>
      </w:pPr>
      <w:r>
        <w:rPr>
          <w:rFonts w:ascii="Arial" w:hAnsi="Arial" w:cs="Arial"/>
          <w:sz w:val="24"/>
          <w:szCs w:val="24"/>
        </w:rPr>
        <w:t xml:space="preserve">It is intended that </w:t>
      </w:r>
      <w:r w:rsidR="00B50EEC">
        <w:rPr>
          <w:rFonts w:ascii="Arial" w:hAnsi="Arial" w:cs="Arial"/>
          <w:sz w:val="24"/>
          <w:szCs w:val="24"/>
        </w:rPr>
        <w:t>this arrangement will be used over several years alongside HLHF to support delivery.</w:t>
      </w:r>
    </w:p>
    <w:p w:rsidR="008A098B" w:rsidRDefault="00077331" w:rsidP="006E58B3">
      <w:pPr>
        <w:rPr>
          <w:rFonts w:ascii="Arial" w:hAnsi="Arial" w:cs="Arial"/>
          <w:sz w:val="24"/>
          <w:szCs w:val="24"/>
        </w:rPr>
      </w:pPr>
      <w:r>
        <w:rPr>
          <w:rFonts w:ascii="Arial" w:hAnsi="Arial" w:cs="Arial"/>
          <w:sz w:val="24"/>
          <w:szCs w:val="24"/>
        </w:rPr>
        <w:t xml:space="preserve">A work </w:t>
      </w:r>
      <w:r w:rsidR="00F32291">
        <w:rPr>
          <w:rFonts w:ascii="Arial" w:hAnsi="Arial" w:cs="Arial"/>
          <w:sz w:val="24"/>
          <w:szCs w:val="24"/>
        </w:rPr>
        <w:t>programme</w:t>
      </w:r>
      <w:r w:rsidR="008A098B">
        <w:rPr>
          <w:rFonts w:ascii="Arial" w:hAnsi="Arial" w:cs="Arial"/>
          <w:sz w:val="24"/>
          <w:szCs w:val="24"/>
        </w:rPr>
        <w:t xml:space="preserve">, </w:t>
      </w:r>
      <w:r>
        <w:rPr>
          <w:rFonts w:ascii="Arial" w:hAnsi="Arial" w:cs="Arial"/>
          <w:sz w:val="24"/>
          <w:szCs w:val="24"/>
        </w:rPr>
        <w:t xml:space="preserve">with </w:t>
      </w:r>
      <w:r w:rsidR="008A098B">
        <w:rPr>
          <w:rFonts w:ascii="Arial" w:hAnsi="Arial" w:cs="Arial"/>
          <w:sz w:val="24"/>
          <w:szCs w:val="24"/>
        </w:rPr>
        <w:t>timescales and responsibilities are</w:t>
      </w:r>
      <w:r>
        <w:rPr>
          <w:rFonts w:ascii="Arial" w:hAnsi="Arial" w:cs="Arial"/>
          <w:sz w:val="24"/>
          <w:szCs w:val="24"/>
        </w:rPr>
        <w:t xml:space="preserve"> attached at Appendix x</w:t>
      </w:r>
      <w:r w:rsidR="001A7859">
        <w:rPr>
          <w:rFonts w:ascii="Arial" w:hAnsi="Arial" w:cs="Arial"/>
          <w:sz w:val="24"/>
          <w:szCs w:val="24"/>
        </w:rPr>
        <w:t xml:space="preserve"> and will be monitored via HLHF governance and reporting structure</w:t>
      </w:r>
      <w:r w:rsidR="00F67659">
        <w:rPr>
          <w:rFonts w:ascii="Arial" w:hAnsi="Arial" w:cs="Arial"/>
          <w:sz w:val="24"/>
          <w:szCs w:val="24"/>
        </w:rPr>
        <w:t>.</w:t>
      </w:r>
      <w:r>
        <w:rPr>
          <w:rFonts w:ascii="Arial" w:hAnsi="Arial" w:cs="Arial"/>
          <w:sz w:val="24"/>
          <w:szCs w:val="24"/>
        </w:rPr>
        <w:t xml:space="preserve"> </w:t>
      </w:r>
    </w:p>
    <w:p w:rsidR="008A098B" w:rsidRPr="006E58B3" w:rsidRDefault="008A098B" w:rsidP="006E58B3">
      <w:pPr>
        <w:rPr>
          <w:rFonts w:ascii="Arial" w:hAnsi="Arial" w:cs="Arial"/>
          <w:sz w:val="24"/>
          <w:szCs w:val="24"/>
        </w:rPr>
      </w:pPr>
    </w:p>
    <w:p w:rsidR="006E58B3" w:rsidRPr="00A04770" w:rsidRDefault="00F32291" w:rsidP="00A04770">
      <w:pPr>
        <w:rPr>
          <w:rFonts w:ascii="Arial" w:hAnsi="Arial" w:cs="Arial"/>
          <w:sz w:val="24"/>
          <w:szCs w:val="24"/>
        </w:rPr>
      </w:pPr>
      <w:r w:rsidRPr="00A04770">
        <w:rPr>
          <w:rFonts w:ascii="Arial" w:hAnsi="Arial" w:cs="Arial"/>
          <w:sz w:val="24"/>
          <w:szCs w:val="24"/>
        </w:rPr>
        <w:t xml:space="preserve">10. </w:t>
      </w:r>
      <w:r w:rsidR="00077331" w:rsidRPr="00A04770">
        <w:rPr>
          <w:rFonts w:ascii="Arial" w:hAnsi="Arial" w:cs="Arial"/>
          <w:sz w:val="24"/>
          <w:szCs w:val="24"/>
        </w:rPr>
        <w:t>Dispute Resolution</w:t>
      </w:r>
    </w:p>
    <w:p w:rsidR="008A098B" w:rsidRDefault="00077331">
      <w:pPr>
        <w:rPr>
          <w:rFonts w:ascii="Arial" w:hAnsi="Arial" w:cs="Arial"/>
          <w:sz w:val="24"/>
          <w:szCs w:val="24"/>
        </w:rPr>
      </w:pPr>
      <w:r>
        <w:rPr>
          <w:rFonts w:ascii="Arial" w:hAnsi="Arial" w:cs="Arial"/>
          <w:sz w:val="24"/>
          <w:szCs w:val="24"/>
        </w:rPr>
        <w:t xml:space="preserve">If there are any disputes in year to this MOU, the first steps should be through the </w:t>
      </w:r>
      <w:r w:rsidR="0056464B">
        <w:rPr>
          <w:rFonts w:ascii="Arial" w:hAnsi="Arial" w:cs="Arial"/>
          <w:sz w:val="24"/>
          <w:szCs w:val="24"/>
        </w:rPr>
        <w:t>local mechanism where appropriate Director representation</w:t>
      </w:r>
      <w:r w:rsidR="001E2C12">
        <w:rPr>
          <w:rFonts w:ascii="Arial" w:hAnsi="Arial" w:cs="Arial"/>
          <w:sz w:val="24"/>
          <w:szCs w:val="24"/>
        </w:rPr>
        <w:t xml:space="preserve"> is in place</w:t>
      </w:r>
      <w:r w:rsidR="0056464B">
        <w:rPr>
          <w:rFonts w:ascii="Arial" w:hAnsi="Arial" w:cs="Arial"/>
          <w:sz w:val="24"/>
          <w:szCs w:val="24"/>
        </w:rPr>
        <w:t xml:space="preserve"> with escalation </w:t>
      </w:r>
      <w:r w:rsidR="001E2C12">
        <w:rPr>
          <w:rFonts w:ascii="Arial" w:hAnsi="Arial" w:cs="Arial"/>
          <w:sz w:val="24"/>
          <w:szCs w:val="24"/>
        </w:rPr>
        <w:t xml:space="preserve">to </w:t>
      </w:r>
      <w:r w:rsidR="0056464B">
        <w:rPr>
          <w:rFonts w:ascii="Arial" w:hAnsi="Arial" w:cs="Arial"/>
          <w:sz w:val="24"/>
          <w:szCs w:val="24"/>
        </w:rPr>
        <w:t xml:space="preserve">the most appropriate forum for </w:t>
      </w:r>
      <w:r w:rsidR="001E2C12">
        <w:rPr>
          <w:rFonts w:ascii="Arial" w:hAnsi="Arial" w:cs="Arial"/>
          <w:sz w:val="24"/>
          <w:szCs w:val="24"/>
        </w:rPr>
        <w:t>Chief Executive</w:t>
      </w:r>
      <w:r w:rsidR="0056464B">
        <w:rPr>
          <w:rFonts w:ascii="Arial" w:hAnsi="Arial" w:cs="Arial"/>
          <w:sz w:val="24"/>
          <w:szCs w:val="24"/>
        </w:rPr>
        <w:t xml:space="preserve"> resolution. </w:t>
      </w:r>
    </w:p>
    <w:sectPr w:rsidR="008A098B" w:rsidSect="006E58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A3" w:rsidRDefault="003C46A3" w:rsidP="00577676">
      <w:pPr>
        <w:spacing w:after="0" w:line="240" w:lineRule="auto"/>
      </w:pPr>
      <w:r>
        <w:separator/>
      </w:r>
    </w:p>
  </w:endnote>
  <w:endnote w:type="continuationSeparator" w:id="0">
    <w:p w:rsidR="003C46A3" w:rsidRDefault="003C46A3" w:rsidP="0057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40705"/>
      <w:docPartObj>
        <w:docPartGallery w:val="Page Numbers (Bottom of Page)"/>
        <w:docPartUnique/>
      </w:docPartObj>
    </w:sdtPr>
    <w:sdtEndPr>
      <w:rPr>
        <w:noProof/>
      </w:rPr>
    </w:sdtEndPr>
    <w:sdtContent>
      <w:p w:rsidR="00577676" w:rsidRDefault="00577676">
        <w:pPr>
          <w:pStyle w:val="Footer"/>
          <w:jc w:val="center"/>
        </w:pPr>
        <w:r>
          <w:fldChar w:fldCharType="begin"/>
        </w:r>
        <w:r>
          <w:instrText xml:space="preserve"> PAGE   \* MERGEFORMAT </w:instrText>
        </w:r>
        <w:r>
          <w:fldChar w:fldCharType="separate"/>
        </w:r>
        <w:r w:rsidR="00D001B2">
          <w:rPr>
            <w:noProof/>
          </w:rPr>
          <w:t>1</w:t>
        </w:r>
        <w:r>
          <w:rPr>
            <w:noProof/>
          </w:rPr>
          <w:fldChar w:fldCharType="end"/>
        </w:r>
      </w:p>
    </w:sdtContent>
  </w:sdt>
  <w:p w:rsidR="00577676" w:rsidRDefault="00577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A3" w:rsidRDefault="003C46A3" w:rsidP="00577676">
      <w:pPr>
        <w:spacing w:after="0" w:line="240" w:lineRule="auto"/>
      </w:pPr>
      <w:r>
        <w:separator/>
      </w:r>
    </w:p>
  </w:footnote>
  <w:footnote w:type="continuationSeparator" w:id="0">
    <w:p w:rsidR="003C46A3" w:rsidRDefault="003C46A3" w:rsidP="00577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E82"/>
    <w:multiLevelType w:val="multilevel"/>
    <w:tmpl w:val="BD282BD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B1E31B3"/>
    <w:multiLevelType w:val="hybridMultilevel"/>
    <w:tmpl w:val="F66E9C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3A5E05"/>
    <w:multiLevelType w:val="hybridMultilevel"/>
    <w:tmpl w:val="5D10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96F6E"/>
    <w:multiLevelType w:val="hybridMultilevel"/>
    <w:tmpl w:val="48C8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B4515"/>
    <w:multiLevelType w:val="hybridMultilevel"/>
    <w:tmpl w:val="D3FCE89E"/>
    <w:lvl w:ilvl="0" w:tplc="7A0ED8F2">
      <w:start w:val="1"/>
      <w:numFmt w:val="bullet"/>
      <w:lvlText w:val="•"/>
      <w:lvlJc w:val="left"/>
      <w:pPr>
        <w:tabs>
          <w:tab w:val="num" w:pos="720"/>
        </w:tabs>
        <w:ind w:left="720" w:hanging="360"/>
      </w:pPr>
      <w:rPr>
        <w:rFonts w:ascii="Arial" w:hAnsi="Arial" w:hint="default"/>
      </w:rPr>
    </w:lvl>
    <w:lvl w:ilvl="1" w:tplc="33464B1E" w:tentative="1">
      <w:start w:val="1"/>
      <w:numFmt w:val="bullet"/>
      <w:lvlText w:val="•"/>
      <w:lvlJc w:val="left"/>
      <w:pPr>
        <w:tabs>
          <w:tab w:val="num" w:pos="1440"/>
        </w:tabs>
        <w:ind w:left="1440" w:hanging="360"/>
      </w:pPr>
      <w:rPr>
        <w:rFonts w:ascii="Arial" w:hAnsi="Arial" w:hint="default"/>
      </w:rPr>
    </w:lvl>
    <w:lvl w:ilvl="2" w:tplc="4A6A17D4" w:tentative="1">
      <w:start w:val="1"/>
      <w:numFmt w:val="bullet"/>
      <w:lvlText w:val="•"/>
      <w:lvlJc w:val="left"/>
      <w:pPr>
        <w:tabs>
          <w:tab w:val="num" w:pos="2160"/>
        </w:tabs>
        <w:ind w:left="2160" w:hanging="360"/>
      </w:pPr>
      <w:rPr>
        <w:rFonts w:ascii="Arial" w:hAnsi="Arial" w:hint="default"/>
      </w:rPr>
    </w:lvl>
    <w:lvl w:ilvl="3" w:tplc="70B06FAA" w:tentative="1">
      <w:start w:val="1"/>
      <w:numFmt w:val="bullet"/>
      <w:lvlText w:val="•"/>
      <w:lvlJc w:val="left"/>
      <w:pPr>
        <w:tabs>
          <w:tab w:val="num" w:pos="2880"/>
        </w:tabs>
        <w:ind w:left="2880" w:hanging="360"/>
      </w:pPr>
      <w:rPr>
        <w:rFonts w:ascii="Arial" w:hAnsi="Arial" w:hint="default"/>
      </w:rPr>
    </w:lvl>
    <w:lvl w:ilvl="4" w:tplc="4B1491EA" w:tentative="1">
      <w:start w:val="1"/>
      <w:numFmt w:val="bullet"/>
      <w:lvlText w:val="•"/>
      <w:lvlJc w:val="left"/>
      <w:pPr>
        <w:tabs>
          <w:tab w:val="num" w:pos="3600"/>
        </w:tabs>
        <w:ind w:left="3600" w:hanging="360"/>
      </w:pPr>
      <w:rPr>
        <w:rFonts w:ascii="Arial" w:hAnsi="Arial" w:hint="default"/>
      </w:rPr>
    </w:lvl>
    <w:lvl w:ilvl="5" w:tplc="3EB6264C" w:tentative="1">
      <w:start w:val="1"/>
      <w:numFmt w:val="bullet"/>
      <w:lvlText w:val="•"/>
      <w:lvlJc w:val="left"/>
      <w:pPr>
        <w:tabs>
          <w:tab w:val="num" w:pos="4320"/>
        </w:tabs>
        <w:ind w:left="4320" w:hanging="360"/>
      </w:pPr>
      <w:rPr>
        <w:rFonts w:ascii="Arial" w:hAnsi="Arial" w:hint="default"/>
      </w:rPr>
    </w:lvl>
    <w:lvl w:ilvl="6" w:tplc="BFB2917E" w:tentative="1">
      <w:start w:val="1"/>
      <w:numFmt w:val="bullet"/>
      <w:lvlText w:val="•"/>
      <w:lvlJc w:val="left"/>
      <w:pPr>
        <w:tabs>
          <w:tab w:val="num" w:pos="5040"/>
        </w:tabs>
        <w:ind w:left="5040" w:hanging="360"/>
      </w:pPr>
      <w:rPr>
        <w:rFonts w:ascii="Arial" w:hAnsi="Arial" w:hint="default"/>
      </w:rPr>
    </w:lvl>
    <w:lvl w:ilvl="7" w:tplc="2E5CFBE4" w:tentative="1">
      <w:start w:val="1"/>
      <w:numFmt w:val="bullet"/>
      <w:lvlText w:val="•"/>
      <w:lvlJc w:val="left"/>
      <w:pPr>
        <w:tabs>
          <w:tab w:val="num" w:pos="5760"/>
        </w:tabs>
        <w:ind w:left="5760" w:hanging="360"/>
      </w:pPr>
      <w:rPr>
        <w:rFonts w:ascii="Arial" w:hAnsi="Arial" w:hint="default"/>
      </w:rPr>
    </w:lvl>
    <w:lvl w:ilvl="8" w:tplc="DDE075B4" w:tentative="1">
      <w:start w:val="1"/>
      <w:numFmt w:val="bullet"/>
      <w:lvlText w:val="•"/>
      <w:lvlJc w:val="left"/>
      <w:pPr>
        <w:tabs>
          <w:tab w:val="num" w:pos="6480"/>
        </w:tabs>
        <w:ind w:left="6480" w:hanging="360"/>
      </w:pPr>
      <w:rPr>
        <w:rFonts w:ascii="Arial" w:hAnsi="Arial" w:hint="default"/>
      </w:rPr>
    </w:lvl>
  </w:abstractNum>
  <w:abstractNum w:abstractNumId="5">
    <w:nsid w:val="20ED6E6D"/>
    <w:multiLevelType w:val="hybridMultilevel"/>
    <w:tmpl w:val="336C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931229"/>
    <w:multiLevelType w:val="hybridMultilevel"/>
    <w:tmpl w:val="E266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CE1650"/>
    <w:multiLevelType w:val="multilevel"/>
    <w:tmpl w:val="A056850A"/>
    <w:lvl w:ilvl="0">
      <w:start w:val="6"/>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3B544940"/>
    <w:multiLevelType w:val="hybridMultilevel"/>
    <w:tmpl w:val="DEB8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934D33"/>
    <w:multiLevelType w:val="hybridMultilevel"/>
    <w:tmpl w:val="C3C2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13447F"/>
    <w:multiLevelType w:val="hybridMultilevel"/>
    <w:tmpl w:val="E4145BCC"/>
    <w:lvl w:ilvl="0" w:tplc="1B9EF386">
      <w:start w:val="1"/>
      <w:numFmt w:val="bullet"/>
      <w:lvlText w:val="•"/>
      <w:lvlJc w:val="left"/>
      <w:pPr>
        <w:tabs>
          <w:tab w:val="num" w:pos="720"/>
        </w:tabs>
        <w:ind w:left="720" w:hanging="360"/>
      </w:pPr>
      <w:rPr>
        <w:rFonts w:ascii="Arial" w:hAnsi="Arial" w:hint="default"/>
      </w:rPr>
    </w:lvl>
    <w:lvl w:ilvl="1" w:tplc="0B62FB34" w:tentative="1">
      <w:start w:val="1"/>
      <w:numFmt w:val="bullet"/>
      <w:lvlText w:val="•"/>
      <w:lvlJc w:val="left"/>
      <w:pPr>
        <w:tabs>
          <w:tab w:val="num" w:pos="1440"/>
        </w:tabs>
        <w:ind w:left="1440" w:hanging="360"/>
      </w:pPr>
      <w:rPr>
        <w:rFonts w:ascii="Arial" w:hAnsi="Arial" w:hint="default"/>
      </w:rPr>
    </w:lvl>
    <w:lvl w:ilvl="2" w:tplc="7BEEB8D6" w:tentative="1">
      <w:start w:val="1"/>
      <w:numFmt w:val="bullet"/>
      <w:lvlText w:val="•"/>
      <w:lvlJc w:val="left"/>
      <w:pPr>
        <w:tabs>
          <w:tab w:val="num" w:pos="2160"/>
        </w:tabs>
        <w:ind w:left="2160" w:hanging="360"/>
      </w:pPr>
      <w:rPr>
        <w:rFonts w:ascii="Arial" w:hAnsi="Arial" w:hint="default"/>
      </w:rPr>
    </w:lvl>
    <w:lvl w:ilvl="3" w:tplc="76F2B59E" w:tentative="1">
      <w:start w:val="1"/>
      <w:numFmt w:val="bullet"/>
      <w:lvlText w:val="•"/>
      <w:lvlJc w:val="left"/>
      <w:pPr>
        <w:tabs>
          <w:tab w:val="num" w:pos="2880"/>
        </w:tabs>
        <w:ind w:left="2880" w:hanging="360"/>
      </w:pPr>
      <w:rPr>
        <w:rFonts w:ascii="Arial" w:hAnsi="Arial" w:hint="default"/>
      </w:rPr>
    </w:lvl>
    <w:lvl w:ilvl="4" w:tplc="F202DD8A" w:tentative="1">
      <w:start w:val="1"/>
      <w:numFmt w:val="bullet"/>
      <w:lvlText w:val="•"/>
      <w:lvlJc w:val="left"/>
      <w:pPr>
        <w:tabs>
          <w:tab w:val="num" w:pos="3600"/>
        </w:tabs>
        <w:ind w:left="3600" w:hanging="360"/>
      </w:pPr>
      <w:rPr>
        <w:rFonts w:ascii="Arial" w:hAnsi="Arial" w:hint="default"/>
      </w:rPr>
    </w:lvl>
    <w:lvl w:ilvl="5" w:tplc="BB5E8688" w:tentative="1">
      <w:start w:val="1"/>
      <w:numFmt w:val="bullet"/>
      <w:lvlText w:val="•"/>
      <w:lvlJc w:val="left"/>
      <w:pPr>
        <w:tabs>
          <w:tab w:val="num" w:pos="4320"/>
        </w:tabs>
        <w:ind w:left="4320" w:hanging="360"/>
      </w:pPr>
      <w:rPr>
        <w:rFonts w:ascii="Arial" w:hAnsi="Arial" w:hint="default"/>
      </w:rPr>
    </w:lvl>
    <w:lvl w:ilvl="6" w:tplc="898AEDA0" w:tentative="1">
      <w:start w:val="1"/>
      <w:numFmt w:val="bullet"/>
      <w:lvlText w:val="•"/>
      <w:lvlJc w:val="left"/>
      <w:pPr>
        <w:tabs>
          <w:tab w:val="num" w:pos="5040"/>
        </w:tabs>
        <w:ind w:left="5040" w:hanging="360"/>
      </w:pPr>
      <w:rPr>
        <w:rFonts w:ascii="Arial" w:hAnsi="Arial" w:hint="default"/>
      </w:rPr>
    </w:lvl>
    <w:lvl w:ilvl="7" w:tplc="A7BEC380" w:tentative="1">
      <w:start w:val="1"/>
      <w:numFmt w:val="bullet"/>
      <w:lvlText w:val="•"/>
      <w:lvlJc w:val="left"/>
      <w:pPr>
        <w:tabs>
          <w:tab w:val="num" w:pos="5760"/>
        </w:tabs>
        <w:ind w:left="5760" w:hanging="360"/>
      </w:pPr>
      <w:rPr>
        <w:rFonts w:ascii="Arial" w:hAnsi="Arial" w:hint="default"/>
      </w:rPr>
    </w:lvl>
    <w:lvl w:ilvl="8" w:tplc="8A508486" w:tentative="1">
      <w:start w:val="1"/>
      <w:numFmt w:val="bullet"/>
      <w:lvlText w:val="•"/>
      <w:lvlJc w:val="left"/>
      <w:pPr>
        <w:tabs>
          <w:tab w:val="num" w:pos="6480"/>
        </w:tabs>
        <w:ind w:left="6480" w:hanging="360"/>
      </w:pPr>
      <w:rPr>
        <w:rFonts w:ascii="Arial" w:hAnsi="Arial" w:hint="default"/>
      </w:rPr>
    </w:lvl>
  </w:abstractNum>
  <w:abstractNum w:abstractNumId="11">
    <w:nsid w:val="7A2E7C07"/>
    <w:multiLevelType w:val="hybridMultilevel"/>
    <w:tmpl w:val="C6FA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9"/>
  </w:num>
  <w:num w:numId="6">
    <w:abstractNumId w:val="3"/>
  </w:num>
  <w:num w:numId="7">
    <w:abstractNumId w:val="1"/>
  </w:num>
  <w:num w:numId="8">
    <w:abstractNumId w:val="0"/>
  </w:num>
  <w:num w:numId="9">
    <w:abstractNumId w:val="8"/>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77"/>
    <w:rsid w:val="00013141"/>
    <w:rsid w:val="0003036C"/>
    <w:rsid w:val="00043990"/>
    <w:rsid w:val="00054BA5"/>
    <w:rsid w:val="00077331"/>
    <w:rsid w:val="0009147C"/>
    <w:rsid w:val="00094687"/>
    <w:rsid w:val="000A73D5"/>
    <w:rsid w:val="000A7D7C"/>
    <w:rsid w:val="000B4C34"/>
    <w:rsid w:val="000D1378"/>
    <w:rsid w:val="000E57E1"/>
    <w:rsid w:val="00136365"/>
    <w:rsid w:val="00192F5B"/>
    <w:rsid w:val="00196765"/>
    <w:rsid w:val="001A51B3"/>
    <w:rsid w:val="001A7859"/>
    <w:rsid w:val="001B1F1D"/>
    <w:rsid w:val="001B37BF"/>
    <w:rsid w:val="001E2C12"/>
    <w:rsid w:val="002012F9"/>
    <w:rsid w:val="0020751E"/>
    <w:rsid w:val="00217CBB"/>
    <w:rsid w:val="002515B7"/>
    <w:rsid w:val="0027248A"/>
    <w:rsid w:val="00285B89"/>
    <w:rsid w:val="002C7E5A"/>
    <w:rsid w:val="00303594"/>
    <w:rsid w:val="003408C7"/>
    <w:rsid w:val="003C46A3"/>
    <w:rsid w:val="003E0309"/>
    <w:rsid w:val="003F63B4"/>
    <w:rsid w:val="00425AD0"/>
    <w:rsid w:val="004436A9"/>
    <w:rsid w:val="0045600F"/>
    <w:rsid w:val="00472FC5"/>
    <w:rsid w:val="004927DA"/>
    <w:rsid w:val="004B66DF"/>
    <w:rsid w:val="004C13C5"/>
    <w:rsid w:val="004C7977"/>
    <w:rsid w:val="005502F9"/>
    <w:rsid w:val="005510EA"/>
    <w:rsid w:val="00561537"/>
    <w:rsid w:val="0056464B"/>
    <w:rsid w:val="00571097"/>
    <w:rsid w:val="00577676"/>
    <w:rsid w:val="005A3D3D"/>
    <w:rsid w:val="005D7A39"/>
    <w:rsid w:val="005E3F59"/>
    <w:rsid w:val="00621A34"/>
    <w:rsid w:val="00622E6D"/>
    <w:rsid w:val="00623984"/>
    <w:rsid w:val="0067540F"/>
    <w:rsid w:val="00681FC2"/>
    <w:rsid w:val="006D6F46"/>
    <w:rsid w:val="006E58B3"/>
    <w:rsid w:val="007174C7"/>
    <w:rsid w:val="00731DFA"/>
    <w:rsid w:val="00731E54"/>
    <w:rsid w:val="00782732"/>
    <w:rsid w:val="007D2B6C"/>
    <w:rsid w:val="008642F6"/>
    <w:rsid w:val="008A098B"/>
    <w:rsid w:val="008C33C5"/>
    <w:rsid w:val="008E2D59"/>
    <w:rsid w:val="0091058F"/>
    <w:rsid w:val="00914ED1"/>
    <w:rsid w:val="00917029"/>
    <w:rsid w:val="00956958"/>
    <w:rsid w:val="0096152D"/>
    <w:rsid w:val="00966BE9"/>
    <w:rsid w:val="009B48DF"/>
    <w:rsid w:val="00A04770"/>
    <w:rsid w:val="00A23091"/>
    <w:rsid w:val="00A4214B"/>
    <w:rsid w:val="00A919CF"/>
    <w:rsid w:val="00AC437C"/>
    <w:rsid w:val="00AF7906"/>
    <w:rsid w:val="00B03A15"/>
    <w:rsid w:val="00B07422"/>
    <w:rsid w:val="00B17320"/>
    <w:rsid w:val="00B50EEC"/>
    <w:rsid w:val="00BC6B3E"/>
    <w:rsid w:val="00C4526B"/>
    <w:rsid w:val="00C61EA1"/>
    <w:rsid w:val="00D001B2"/>
    <w:rsid w:val="00D14B0C"/>
    <w:rsid w:val="00D47AAF"/>
    <w:rsid w:val="00D5052D"/>
    <w:rsid w:val="00D564F6"/>
    <w:rsid w:val="00D70622"/>
    <w:rsid w:val="00D76148"/>
    <w:rsid w:val="00D80CA3"/>
    <w:rsid w:val="00D83125"/>
    <w:rsid w:val="00DB0943"/>
    <w:rsid w:val="00DB4ED7"/>
    <w:rsid w:val="00DD21F0"/>
    <w:rsid w:val="00DE43AC"/>
    <w:rsid w:val="00E214FE"/>
    <w:rsid w:val="00E67F50"/>
    <w:rsid w:val="00E902FB"/>
    <w:rsid w:val="00EB5CA9"/>
    <w:rsid w:val="00EF19CD"/>
    <w:rsid w:val="00F01C69"/>
    <w:rsid w:val="00F03AD8"/>
    <w:rsid w:val="00F32291"/>
    <w:rsid w:val="00F369C8"/>
    <w:rsid w:val="00F51983"/>
    <w:rsid w:val="00F5688E"/>
    <w:rsid w:val="00F67659"/>
    <w:rsid w:val="00FA02F6"/>
    <w:rsid w:val="00FD3BDF"/>
    <w:rsid w:val="00FD6077"/>
    <w:rsid w:val="00FD7F78"/>
    <w:rsid w:val="00FF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07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77"/>
    <w:rPr>
      <w:rFonts w:ascii="Tahoma" w:hAnsi="Tahoma" w:cs="Tahoma"/>
      <w:sz w:val="16"/>
      <w:szCs w:val="16"/>
    </w:rPr>
  </w:style>
  <w:style w:type="table" w:styleId="TableGrid">
    <w:name w:val="Table Grid"/>
    <w:basedOn w:val="TableNormal"/>
    <w:uiPriority w:val="59"/>
    <w:rsid w:val="003F6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7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676"/>
  </w:style>
  <w:style w:type="paragraph" w:styleId="Footer">
    <w:name w:val="footer"/>
    <w:basedOn w:val="Normal"/>
    <w:link w:val="FooterChar"/>
    <w:uiPriority w:val="99"/>
    <w:unhideWhenUsed/>
    <w:rsid w:val="00577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76"/>
  </w:style>
  <w:style w:type="paragraph" w:styleId="ListParagraph">
    <w:name w:val="List Paragraph"/>
    <w:basedOn w:val="Normal"/>
    <w:uiPriority w:val="34"/>
    <w:qFormat/>
    <w:rsid w:val="006E58B3"/>
    <w:pPr>
      <w:ind w:left="720"/>
      <w:contextualSpacing/>
    </w:pPr>
  </w:style>
  <w:style w:type="character" w:styleId="CommentReference">
    <w:name w:val="annotation reference"/>
    <w:basedOn w:val="DefaultParagraphFont"/>
    <w:uiPriority w:val="99"/>
    <w:semiHidden/>
    <w:unhideWhenUsed/>
    <w:rsid w:val="00914ED1"/>
    <w:rPr>
      <w:sz w:val="16"/>
      <w:szCs w:val="16"/>
    </w:rPr>
  </w:style>
  <w:style w:type="paragraph" w:styleId="CommentText">
    <w:name w:val="annotation text"/>
    <w:basedOn w:val="Normal"/>
    <w:link w:val="CommentTextChar"/>
    <w:uiPriority w:val="99"/>
    <w:semiHidden/>
    <w:unhideWhenUsed/>
    <w:rsid w:val="00914ED1"/>
    <w:pPr>
      <w:spacing w:line="240" w:lineRule="auto"/>
    </w:pPr>
    <w:rPr>
      <w:sz w:val="20"/>
      <w:szCs w:val="20"/>
    </w:rPr>
  </w:style>
  <w:style w:type="character" w:customStyle="1" w:styleId="CommentTextChar">
    <w:name w:val="Comment Text Char"/>
    <w:basedOn w:val="DefaultParagraphFont"/>
    <w:link w:val="CommentText"/>
    <w:uiPriority w:val="99"/>
    <w:semiHidden/>
    <w:rsid w:val="00914ED1"/>
    <w:rPr>
      <w:sz w:val="20"/>
      <w:szCs w:val="20"/>
    </w:rPr>
  </w:style>
  <w:style w:type="paragraph" w:styleId="CommentSubject">
    <w:name w:val="annotation subject"/>
    <w:basedOn w:val="CommentText"/>
    <w:next w:val="CommentText"/>
    <w:link w:val="CommentSubjectChar"/>
    <w:uiPriority w:val="99"/>
    <w:semiHidden/>
    <w:unhideWhenUsed/>
    <w:rsid w:val="00914ED1"/>
    <w:rPr>
      <w:b/>
      <w:bCs/>
    </w:rPr>
  </w:style>
  <w:style w:type="character" w:customStyle="1" w:styleId="CommentSubjectChar">
    <w:name w:val="Comment Subject Char"/>
    <w:basedOn w:val="CommentTextChar"/>
    <w:link w:val="CommentSubject"/>
    <w:uiPriority w:val="99"/>
    <w:semiHidden/>
    <w:rsid w:val="00914E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07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77"/>
    <w:rPr>
      <w:rFonts w:ascii="Tahoma" w:hAnsi="Tahoma" w:cs="Tahoma"/>
      <w:sz w:val="16"/>
      <w:szCs w:val="16"/>
    </w:rPr>
  </w:style>
  <w:style w:type="table" w:styleId="TableGrid">
    <w:name w:val="Table Grid"/>
    <w:basedOn w:val="TableNormal"/>
    <w:uiPriority w:val="59"/>
    <w:rsid w:val="003F6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7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676"/>
  </w:style>
  <w:style w:type="paragraph" w:styleId="Footer">
    <w:name w:val="footer"/>
    <w:basedOn w:val="Normal"/>
    <w:link w:val="FooterChar"/>
    <w:uiPriority w:val="99"/>
    <w:unhideWhenUsed/>
    <w:rsid w:val="00577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76"/>
  </w:style>
  <w:style w:type="paragraph" w:styleId="ListParagraph">
    <w:name w:val="List Paragraph"/>
    <w:basedOn w:val="Normal"/>
    <w:uiPriority w:val="34"/>
    <w:qFormat/>
    <w:rsid w:val="006E58B3"/>
    <w:pPr>
      <w:ind w:left="720"/>
      <w:contextualSpacing/>
    </w:pPr>
  </w:style>
  <w:style w:type="character" w:styleId="CommentReference">
    <w:name w:val="annotation reference"/>
    <w:basedOn w:val="DefaultParagraphFont"/>
    <w:uiPriority w:val="99"/>
    <w:semiHidden/>
    <w:unhideWhenUsed/>
    <w:rsid w:val="00914ED1"/>
    <w:rPr>
      <w:sz w:val="16"/>
      <w:szCs w:val="16"/>
    </w:rPr>
  </w:style>
  <w:style w:type="paragraph" w:styleId="CommentText">
    <w:name w:val="annotation text"/>
    <w:basedOn w:val="Normal"/>
    <w:link w:val="CommentTextChar"/>
    <w:uiPriority w:val="99"/>
    <w:semiHidden/>
    <w:unhideWhenUsed/>
    <w:rsid w:val="00914ED1"/>
    <w:pPr>
      <w:spacing w:line="240" w:lineRule="auto"/>
    </w:pPr>
    <w:rPr>
      <w:sz w:val="20"/>
      <w:szCs w:val="20"/>
    </w:rPr>
  </w:style>
  <w:style w:type="character" w:customStyle="1" w:styleId="CommentTextChar">
    <w:name w:val="Comment Text Char"/>
    <w:basedOn w:val="DefaultParagraphFont"/>
    <w:link w:val="CommentText"/>
    <w:uiPriority w:val="99"/>
    <w:semiHidden/>
    <w:rsid w:val="00914ED1"/>
    <w:rPr>
      <w:sz w:val="20"/>
      <w:szCs w:val="20"/>
    </w:rPr>
  </w:style>
  <w:style w:type="paragraph" w:styleId="CommentSubject">
    <w:name w:val="annotation subject"/>
    <w:basedOn w:val="CommentText"/>
    <w:next w:val="CommentText"/>
    <w:link w:val="CommentSubjectChar"/>
    <w:uiPriority w:val="99"/>
    <w:semiHidden/>
    <w:unhideWhenUsed/>
    <w:rsid w:val="00914ED1"/>
    <w:rPr>
      <w:b/>
      <w:bCs/>
    </w:rPr>
  </w:style>
  <w:style w:type="character" w:customStyle="1" w:styleId="CommentSubjectChar">
    <w:name w:val="Comment Subject Char"/>
    <w:basedOn w:val="CommentTextChar"/>
    <w:link w:val="CommentSubject"/>
    <w:uiPriority w:val="99"/>
    <w:semiHidden/>
    <w:rsid w:val="00914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3766">
      <w:bodyDiv w:val="1"/>
      <w:marLeft w:val="0"/>
      <w:marRight w:val="0"/>
      <w:marTop w:val="0"/>
      <w:marBottom w:val="0"/>
      <w:divBdr>
        <w:top w:val="none" w:sz="0" w:space="0" w:color="auto"/>
        <w:left w:val="none" w:sz="0" w:space="0" w:color="auto"/>
        <w:bottom w:val="none" w:sz="0" w:space="0" w:color="auto"/>
        <w:right w:val="none" w:sz="0" w:space="0" w:color="auto"/>
      </w:divBdr>
      <w:divsChild>
        <w:div w:id="1141969253">
          <w:marLeft w:val="547"/>
          <w:marRight w:val="0"/>
          <w:marTop w:val="115"/>
          <w:marBottom w:val="0"/>
          <w:divBdr>
            <w:top w:val="none" w:sz="0" w:space="0" w:color="auto"/>
            <w:left w:val="none" w:sz="0" w:space="0" w:color="auto"/>
            <w:bottom w:val="none" w:sz="0" w:space="0" w:color="auto"/>
            <w:right w:val="none" w:sz="0" w:space="0" w:color="auto"/>
          </w:divBdr>
        </w:div>
        <w:div w:id="642658616">
          <w:marLeft w:val="547"/>
          <w:marRight w:val="0"/>
          <w:marTop w:val="115"/>
          <w:marBottom w:val="0"/>
          <w:divBdr>
            <w:top w:val="none" w:sz="0" w:space="0" w:color="auto"/>
            <w:left w:val="none" w:sz="0" w:space="0" w:color="auto"/>
            <w:bottom w:val="none" w:sz="0" w:space="0" w:color="auto"/>
            <w:right w:val="none" w:sz="0" w:space="0" w:color="auto"/>
          </w:divBdr>
        </w:div>
        <w:div w:id="112334686">
          <w:marLeft w:val="547"/>
          <w:marRight w:val="0"/>
          <w:marTop w:val="115"/>
          <w:marBottom w:val="0"/>
          <w:divBdr>
            <w:top w:val="none" w:sz="0" w:space="0" w:color="auto"/>
            <w:left w:val="none" w:sz="0" w:space="0" w:color="auto"/>
            <w:bottom w:val="none" w:sz="0" w:space="0" w:color="auto"/>
            <w:right w:val="none" w:sz="0" w:space="0" w:color="auto"/>
          </w:divBdr>
        </w:div>
        <w:div w:id="972060045">
          <w:marLeft w:val="547"/>
          <w:marRight w:val="0"/>
          <w:marTop w:val="115"/>
          <w:marBottom w:val="0"/>
          <w:divBdr>
            <w:top w:val="none" w:sz="0" w:space="0" w:color="auto"/>
            <w:left w:val="none" w:sz="0" w:space="0" w:color="auto"/>
            <w:bottom w:val="none" w:sz="0" w:space="0" w:color="auto"/>
            <w:right w:val="none" w:sz="0" w:space="0" w:color="auto"/>
          </w:divBdr>
        </w:div>
        <w:div w:id="498545034">
          <w:marLeft w:val="547"/>
          <w:marRight w:val="0"/>
          <w:marTop w:val="115"/>
          <w:marBottom w:val="0"/>
          <w:divBdr>
            <w:top w:val="none" w:sz="0" w:space="0" w:color="auto"/>
            <w:left w:val="none" w:sz="0" w:space="0" w:color="auto"/>
            <w:bottom w:val="none" w:sz="0" w:space="0" w:color="auto"/>
            <w:right w:val="none" w:sz="0" w:space="0" w:color="auto"/>
          </w:divBdr>
        </w:div>
        <w:div w:id="1768234544">
          <w:marLeft w:val="547"/>
          <w:marRight w:val="0"/>
          <w:marTop w:val="115"/>
          <w:marBottom w:val="0"/>
          <w:divBdr>
            <w:top w:val="none" w:sz="0" w:space="0" w:color="auto"/>
            <w:left w:val="none" w:sz="0" w:space="0" w:color="auto"/>
            <w:bottom w:val="none" w:sz="0" w:space="0" w:color="auto"/>
            <w:right w:val="none" w:sz="0" w:space="0" w:color="auto"/>
          </w:divBdr>
        </w:div>
      </w:divsChild>
    </w:div>
    <w:div w:id="1601445255">
      <w:bodyDiv w:val="1"/>
      <w:marLeft w:val="0"/>
      <w:marRight w:val="0"/>
      <w:marTop w:val="0"/>
      <w:marBottom w:val="0"/>
      <w:divBdr>
        <w:top w:val="none" w:sz="0" w:space="0" w:color="auto"/>
        <w:left w:val="none" w:sz="0" w:space="0" w:color="auto"/>
        <w:bottom w:val="none" w:sz="0" w:space="0" w:color="auto"/>
        <w:right w:val="none" w:sz="0" w:space="0" w:color="auto"/>
      </w:divBdr>
    </w:div>
    <w:div w:id="2048603277">
      <w:bodyDiv w:val="1"/>
      <w:marLeft w:val="0"/>
      <w:marRight w:val="0"/>
      <w:marTop w:val="0"/>
      <w:marBottom w:val="0"/>
      <w:divBdr>
        <w:top w:val="none" w:sz="0" w:space="0" w:color="auto"/>
        <w:left w:val="none" w:sz="0" w:space="0" w:color="auto"/>
        <w:bottom w:val="none" w:sz="0" w:space="0" w:color="auto"/>
        <w:right w:val="none" w:sz="0" w:space="0" w:color="auto"/>
      </w:divBdr>
      <w:divsChild>
        <w:div w:id="1774862724">
          <w:marLeft w:val="547"/>
          <w:marRight w:val="0"/>
          <w:marTop w:val="115"/>
          <w:marBottom w:val="0"/>
          <w:divBdr>
            <w:top w:val="none" w:sz="0" w:space="0" w:color="auto"/>
            <w:left w:val="none" w:sz="0" w:space="0" w:color="auto"/>
            <w:bottom w:val="none" w:sz="0" w:space="0" w:color="auto"/>
            <w:right w:val="none" w:sz="0" w:space="0" w:color="auto"/>
          </w:divBdr>
        </w:div>
        <w:div w:id="2110462828">
          <w:marLeft w:val="547"/>
          <w:marRight w:val="0"/>
          <w:marTop w:val="115"/>
          <w:marBottom w:val="0"/>
          <w:divBdr>
            <w:top w:val="none" w:sz="0" w:space="0" w:color="auto"/>
            <w:left w:val="none" w:sz="0" w:space="0" w:color="auto"/>
            <w:bottom w:val="none" w:sz="0" w:space="0" w:color="auto"/>
            <w:right w:val="none" w:sz="0" w:space="0" w:color="auto"/>
          </w:divBdr>
        </w:div>
        <w:div w:id="1656227858">
          <w:marLeft w:val="547"/>
          <w:marRight w:val="0"/>
          <w:marTop w:val="115"/>
          <w:marBottom w:val="0"/>
          <w:divBdr>
            <w:top w:val="none" w:sz="0" w:space="0" w:color="auto"/>
            <w:left w:val="none" w:sz="0" w:space="0" w:color="auto"/>
            <w:bottom w:val="none" w:sz="0" w:space="0" w:color="auto"/>
            <w:right w:val="none" w:sz="0" w:space="0" w:color="auto"/>
          </w:divBdr>
        </w:div>
        <w:div w:id="305820378">
          <w:marLeft w:val="547"/>
          <w:marRight w:val="0"/>
          <w:marTop w:val="115"/>
          <w:marBottom w:val="0"/>
          <w:divBdr>
            <w:top w:val="none" w:sz="0" w:space="0" w:color="auto"/>
            <w:left w:val="none" w:sz="0" w:space="0" w:color="auto"/>
            <w:bottom w:val="none" w:sz="0" w:space="0" w:color="auto"/>
            <w:right w:val="none" w:sz="0" w:space="0" w:color="auto"/>
          </w:divBdr>
        </w:div>
        <w:div w:id="833371509">
          <w:marLeft w:val="547"/>
          <w:marRight w:val="0"/>
          <w:marTop w:val="115"/>
          <w:marBottom w:val="0"/>
          <w:divBdr>
            <w:top w:val="none" w:sz="0" w:space="0" w:color="auto"/>
            <w:left w:val="none" w:sz="0" w:space="0" w:color="auto"/>
            <w:bottom w:val="none" w:sz="0" w:space="0" w:color="auto"/>
            <w:right w:val="none" w:sz="0" w:space="0" w:color="auto"/>
          </w:divBdr>
        </w:div>
        <w:div w:id="13103285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AA59-402A-4800-BF51-818FFA74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Kevin</dc:creator>
  <cp:lastModifiedBy>Karen Stamp</cp:lastModifiedBy>
  <cp:revision>1</cp:revision>
  <dcterms:created xsi:type="dcterms:W3CDTF">2015-03-06T12:46:00Z</dcterms:created>
  <dcterms:modified xsi:type="dcterms:W3CDTF">2015-03-06T12:46:00Z</dcterms:modified>
</cp:coreProperties>
</file>