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6A74AF" w:rsidP="00BA763E">
      <w:pPr>
        <w:pStyle w:val="Header"/>
        <w:jc w:val="right"/>
        <w:rPr>
          <w:noProof/>
        </w:rPr>
      </w:pPr>
      <w:bookmarkStart w:id="0" w:name="_GoBack"/>
      <w:bookmarkEnd w:id="0"/>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0E32B8CF" wp14:editId="4AE8A7D4">
                <wp:simplePos x="0" y="0"/>
                <wp:positionH relativeFrom="column">
                  <wp:posOffset>-114300</wp:posOffset>
                </wp:positionH>
                <wp:positionV relativeFrom="paragraph">
                  <wp:posOffset>232410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CF6" w:rsidRPr="00A31E5A" w:rsidRDefault="00CC6527" w:rsidP="00DD689C">
                            <w:pPr>
                              <w:rPr>
                                <w:rFonts w:asciiTheme="minorHAnsi" w:hAnsiTheme="minorHAnsi" w:cs="Arial"/>
                                <w:sz w:val="32"/>
                                <w:szCs w:val="32"/>
                              </w:rPr>
                            </w:pPr>
                            <w:r>
                              <w:rPr>
                                <w:rFonts w:asciiTheme="minorHAnsi" w:hAnsiTheme="minorHAnsi" w:cs="Arial"/>
                                <w:sz w:val="32"/>
                                <w:szCs w:val="32"/>
                              </w:rPr>
                              <w:t>Attachment 08</w:t>
                            </w:r>
                          </w:p>
                          <w:p w:rsidR="00551CF6" w:rsidRDefault="00551CF6"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8.3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" stroked="f">
                <v:textbox>
                  <w:txbxContent>
                    <w:p w:rsidR="00551CF6" w:rsidRPr="00A31E5A" w:rsidRDefault="00CC6527" w:rsidP="00DD689C">
                      <w:pPr>
                        <w:rPr>
                          <w:rFonts w:asciiTheme="minorHAnsi" w:hAnsiTheme="minorHAnsi" w:cs="Arial"/>
                          <w:sz w:val="32"/>
                          <w:szCs w:val="32"/>
                        </w:rPr>
                      </w:pPr>
                      <w:r>
                        <w:rPr>
                          <w:rFonts w:asciiTheme="minorHAnsi" w:hAnsiTheme="minorHAnsi" w:cs="Arial"/>
                          <w:sz w:val="32"/>
                          <w:szCs w:val="32"/>
                        </w:rPr>
                        <w:t>Attachment 08</w:t>
                      </w:r>
                    </w:p>
                    <w:p w:rsidR="00551CF6" w:rsidRDefault="00551CF6" w:rsidP="00DD689C">
                      <w:pPr>
                        <w:rPr>
                          <w:sz w:val="36"/>
                        </w:rPr>
                      </w:pPr>
                    </w:p>
                  </w:txbxContent>
                </v:textbox>
              </v:shape>
            </w:pict>
          </mc:Fallback>
        </mc:AlternateContent>
      </w:r>
      <w:r w:rsidR="001D78A2">
        <w:rPr>
          <w:noProof/>
        </w:rPr>
        <w:drawing>
          <wp:inline distT="0" distB="0" distL="0" distR="0" wp14:anchorId="219E91CC" wp14:editId="5B4C0398">
            <wp:extent cx="777240" cy="312225"/>
            <wp:effectExtent l="0" t="0" r="3810" b="0"/>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312225"/>
                    </a:xfrm>
                    <a:prstGeom prst="rect">
                      <a:avLst/>
                    </a:prstGeom>
                    <a:noFill/>
                    <a:ln>
                      <a:noFill/>
                    </a:ln>
                  </pic:spPr>
                </pic:pic>
              </a:graphicData>
            </a:graphic>
          </wp:inline>
        </w:drawing>
      </w:r>
    </w:p>
    <w:p w:rsidR="00DD689C" w:rsidRDefault="00BA763E" w:rsidP="006A74AF">
      <w:pPr>
        <w:pStyle w:val="Header"/>
        <w:jc w:val="right"/>
        <w:rPr>
          <w:b/>
          <w:color w:val="365F91"/>
        </w:rPr>
      </w:pPr>
      <w:r>
        <w:rPr>
          <w:b/>
          <w:color w:val="365F91"/>
        </w:rPr>
        <w:t>North East Lincolnshire CCG</w:t>
      </w:r>
    </w:p>
    <w:p w:rsidR="006A74AF" w:rsidRPr="006A74AF" w:rsidRDefault="006A74AF" w:rsidP="006A74AF">
      <w:pPr>
        <w:pStyle w:val="Header"/>
        <w:rPr>
          <w:b/>
          <w:color w:val="365F91"/>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8003"/>
      </w:tblGrid>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DD689C" w:rsidP="009306C6">
            <w:pPr>
              <w:rPr>
                <w:rFonts w:ascii="Arial" w:hAnsi="Arial" w:cs="Arial"/>
                <w:b/>
                <w:bCs/>
                <w:sz w:val="22"/>
                <w:szCs w:val="22"/>
              </w:rPr>
            </w:pP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7E6A63" w:rsidP="00A531CD">
            <w:pPr>
              <w:rPr>
                <w:rFonts w:ascii="Arial" w:hAnsi="Arial" w:cs="Arial"/>
                <w:bCs/>
                <w:sz w:val="22"/>
                <w:szCs w:val="22"/>
              </w:rPr>
            </w:pPr>
            <w:r>
              <w:rPr>
                <w:rFonts w:ascii="Arial" w:hAnsi="Arial" w:cs="Arial"/>
                <w:bCs/>
                <w:sz w:val="22"/>
                <w:szCs w:val="22"/>
              </w:rPr>
              <w:t xml:space="preserve">NEL </w:t>
            </w:r>
            <w:r w:rsidR="007927F8">
              <w:rPr>
                <w:rFonts w:ascii="Arial" w:hAnsi="Arial" w:cs="Arial"/>
                <w:bCs/>
                <w:sz w:val="22"/>
                <w:szCs w:val="22"/>
              </w:rPr>
              <w:t xml:space="preserve">CCG </w:t>
            </w:r>
            <w:r w:rsidR="00A531CD">
              <w:rPr>
                <w:rFonts w:ascii="Arial" w:hAnsi="Arial" w:cs="Arial"/>
                <w:bCs/>
                <w:sz w:val="22"/>
                <w:szCs w:val="22"/>
              </w:rPr>
              <w:t>Partnership Board</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A31E5A" w:rsidP="009306C6">
            <w:pPr>
              <w:rPr>
                <w:rFonts w:ascii="Arial" w:hAnsi="Arial" w:cs="Arial"/>
                <w:bCs/>
                <w:sz w:val="22"/>
                <w:szCs w:val="22"/>
              </w:rPr>
            </w:pPr>
            <w:r>
              <w:rPr>
                <w:rFonts w:ascii="Arial" w:hAnsi="Arial" w:cs="Arial"/>
                <w:bCs/>
                <w:sz w:val="22"/>
                <w:szCs w:val="22"/>
              </w:rPr>
              <w:t>Jan Haxby, Director of Quality &amp; Nursing</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A31E5A" w:rsidP="00BC5CEC">
            <w:pPr>
              <w:rPr>
                <w:rFonts w:ascii="Arial" w:hAnsi="Arial" w:cs="Arial"/>
                <w:bCs/>
                <w:sz w:val="22"/>
                <w:szCs w:val="22"/>
              </w:rPr>
            </w:pPr>
            <w:r>
              <w:rPr>
                <w:rFonts w:ascii="Arial" w:hAnsi="Arial" w:cs="Arial"/>
                <w:bCs/>
                <w:sz w:val="22"/>
                <w:szCs w:val="22"/>
              </w:rPr>
              <w:t>10</w:t>
            </w:r>
            <w:r w:rsidRPr="00A31E5A">
              <w:rPr>
                <w:rFonts w:ascii="Arial" w:hAnsi="Arial" w:cs="Arial"/>
                <w:bCs/>
                <w:sz w:val="22"/>
                <w:szCs w:val="22"/>
                <w:vertAlign w:val="superscript"/>
              </w:rPr>
              <w:t>th</w:t>
            </w:r>
            <w:r>
              <w:rPr>
                <w:rFonts w:ascii="Arial" w:hAnsi="Arial" w:cs="Arial"/>
                <w:bCs/>
                <w:sz w:val="22"/>
                <w:szCs w:val="22"/>
              </w:rPr>
              <w:t xml:space="preserve"> March 2016</w:t>
            </w:r>
          </w:p>
        </w:tc>
      </w:tr>
      <w:tr w:rsidR="00DD689C" w:rsidRPr="00752FD6" w:rsidTr="00D7033C">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A31E5A" w:rsidP="009306C6">
            <w:pPr>
              <w:rPr>
                <w:rFonts w:ascii="Arial" w:hAnsi="Arial" w:cs="Arial"/>
                <w:bCs/>
                <w:sz w:val="22"/>
                <w:szCs w:val="22"/>
              </w:rPr>
            </w:pPr>
            <w:r>
              <w:rPr>
                <w:rFonts w:ascii="Arial" w:hAnsi="Arial" w:cs="Arial"/>
                <w:bCs/>
                <w:sz w:val="22"/>
                <w:szCs w:val="22"/>
              </w:rPr>
              <w:t>Quality Report from Clinical Quality Committee</w:t>
            </w:r>
          </w:p>
        </w:tc>
      </w:tr>
      <w:tr w:rsidR="00A31E5A" w:rsidRPr="00752FD6" w:rsidTr="00D7033C">
        <w:tc>
          <w:tcPr>
            <w:tcW w:w="2028" w:type="dxa"/>
            <w:shd w:val="clear" w:color="auto" w:fill="auto"/>
          </w:tcPr>
          <w:p w:rsidR="00A31E5A" w:rsidRPr="00830CC4" w:rsidRDefault="00A31E5A" w:rsidP="00332E64">
            <w:pPr>
              <w:spacing w:line="276" w:lineRule="auto"/>
              <w:jc w:val="both"/>
              <w:rPr>
                <w:rFonts w:ascii="Arial" w:hAnsi="Arial" w:cs="Arial"/>
                <w:b/>
                <w:bCs/>
                <w:sz w:val="22"/>
                <w:szCs w:val="22"/>
              </w:rPr>
            </w:pPr>
            <w:r w:rsidRPr="00830CC4">
              <w:rPr>
                <w:rFonts w:ascii="Arial" w:hAnsi="Arial" w:cs="Arial"/>
                <w:b/>
                <w:bCs/>
                <w:sz w:val="22"/>
                <w:szCs w:val="22"/>
              </w:rPr>
              <w:t>Status:</w:t>
            </w:r>
          </w:p>
          <w:p w:rsidR="00A31E5A" w:rsidRPr="00830CC4" w:rsidRDefault="00A31E5A" w:rsidP="00332E64">
            <w:pPr>
              <w:spacing w:line="276" w:lineRule="auto"/>
              <w:jc w:val="both"/>
              <w:rPr>
                <w:rFonts w:ascii="Arial" w:hAnsi="Arial" w:cs="Arial"/>
                <w:b/>
                <w:bCs/>
                <w:sz w:val="22"/>
                <w:szCs w:val="22"/>
              </w:rPr>
            </w:pPr>
          </w:p>
        </w:tc>
        <w:tc>
          <w:tcPr>
            <w:tcW w:w="8003" w:type="dxa"/>
            <w:shd w:val="clear" w:color="auto" w:fill="auto"/>
          </w:tcPr>
          <w:p w:rsidR="00A31E5A" w:rsidRPr="00830CC4" w:rsidRDefault="00A31E5A" w:rsidP="00332E64">
            <w:pPr>
              <w:spacing w:before="60" w:line="276" w:lineRule="auto"/>
              <w:jc w:val="both"/>
              <w:rPr>
                <w:rFonts w:ascii="Arial" w:hAnsi="Arial" w:cs="Arial"/>
                <w:sz w:val="22"/>
                <w:szCs w:val="22"/>
              </w:rPr>
            </w:pPr>
            <w:r w:rsidRPr="00830CC4">
              <w:rPr>
                <w:rFonts w:ascii="Arial" w:hAnsi="Arial" w:cs="Arial"/>
                <w:sz w:val="22"/>
                <w:szCs w:val="22"/>
              </w:rPr>
              <w:fldChar w:fldCharType="begin">
                <w:ffData>
                  <w:name w:val=""/>
                  <w:enabled/>
                  <w:calcOnExit w:val="0"/>
                  <w:checkBox>
                    <w:sizeAuto/>
                    <w:default w:val="1"/>
                  </w:checkBox>
                </w:ffData>
              </w:fldChar>
            </w:r>
            <w:r w:rsidRPr="00830CC4">
              <w:rPr>
                <w:rFonts w:ascii="Arial" w:hAnsi="Arial" w:cs="Arial"/>
                <w:sz w:val="22"/>
                <w:szCs w:val="22"/>
              </w:rPr>
              <w:instrText xml:space="preserve"> FORMCHECKBOX </w:instrText>
            </w:r>
            <w:r w:rsidRPr="00830CC4">
              <w:rPr>
                <w:rFonts w:ascii="Arial" w:hAnsi="Arial" w:cs="Arial"/>
                <w:sz w:val="22"/>
                <w:szCs w:val="22"/>
              </w:rPr>
            </w:r>
            <w:r w:rsidRPr="00830CC4">
              <w:rPr>
                <w:rFonts w:ascii="Arial" w:hAnsi="Arial" w:cs="Arial"/>
                <w:sz w:val="22"/>
                <w:szCs w:val="22"/>
              </w:rPr>
              <w:fldChar w:fldCharType="end"/>
            </w:r>
            <w:r w:rsidRPr="00830CC4">
              <w:rPr>
                <w:rFonts w:ascii="Arial" w:hAnsi="Arial" w:cs="Arial"/>
                <w:sz w:val="22"/>
                <w:szCs w:val="22"/>
              </w:rPr>
              <w:t xml:space="preserve"> OPEN</w:t>
            </w:r>
            <w:r w:rsidRPr="00830CC4">
              <w:rPr>
                <w:rFonts w:ascii="Arial" w:hAnsi="Arial" w:cs="Arial"/>
                <w:sz w:val="22"/>
                <w:szCs w:val="22"/>
              </w:rPr>
              <w:tab/>
              <w:t xml:space="preserve">           </w:t>
            </w:r>
            <w:r w:rsidRPr="00830CC4">
              <w:rPr>
                <w:rFonts w:ascii="Arial" w:hAnsi="Arial" w:cs="Arial"/>
                <w:sz w:val="22"/>
                <w:szCs w:val="22"/>
              </w:rPr>
              <w:fldChar w:fldCharType="begin">
                <w:ffData>
                  <w:name w:val="Check8"/>
                  <w:enabled/>
                  <w:calcOnExit w:val="0"/>
                  <w:checkBox>
                    <w:sizeAuto/>
                    <w:default w:val="0"/>
                  </w:checkBox>
                </w:ffData>
              </w:fldChar>
            </w:r>
            <w:bookmarkStart w:id="1" w:name="Check8"/>
            <w:r w:rsidRPr="00830CC4">
              <w:rPr>
                <w:rFonts w:ascii="Arial" w:hAnsi="Arial" w:cs="Arial"/>
                <w:sz w:val="22"/>
                <w:szCs w:val="22"/>
              </w:rPr>
              <w:instrText xml:space="preserve"> FORMCHECKBOX </w:instrText>
            </w:r>
            <w:r w:rsidRPr="00830CC4">
              <w:rPr>
                <w:rFonts w:ascii="Arial" w:hAnsi="Arial" w:cs="Arial"/>
                <w:sz w:val="22"/>
                <w:szCs w:val="22"/>
              </w:rPr>
            </w:r>
            <w:r w:rsidRPr="00830CC4">
              <w:rPr>
                <w:rFonts w:ascii="Arial" w:hAnsi="Arial" w:cs="Arial"/>
                <w:sz w:val="22"/>
                <w:szCs w:val="22"/>
              </w:rPr>
              <w:fldChar w:fldCharType="end"/>
            </w:r>
            <w:bookmarkEnd w:id="1"/>
            <w:r w:rsidRPr="00830CC4">
              <w:rPr>
                <w:rFonts w:ascii="Arial" w:hAnsi="Arial" w:cs="Arial"/>
                <w:sz w:val="22"/>
                <w:szCs w:val="22"/>
              </w:rPr>
              <w:t xml:space="preserve"> CLOSED</w:t>
            </w:r>
          </w:p>
        </w:tc>
      </w:tr>
      <w:tr w:rsidR="00A31E5A" w:rsidRPr="00752FD6" w:rsidTr="00D7033C">
        <w:tc>
          <w:tcPr>
            <w:tcW w:w="2028" w:type="dxa"/>
            <w:shd w:val="clear" w:color="auto" w:fill="auto"/>
          </w:tcPr>
          <w:p w:rsidR="00A31E5A" w:rsidRPr="00830CC4" w:rsidRDefault="00A31E5A" w:rsidP="00332E64">
            <w:pPr>
              <w:spacing w:line="276" w:lineRule="auto"/>
              <w:jc w:val="both"/>
              <w:rPr>
                <w:rFonts w:ascii="Arial" w:hAnsi="Arial" w:cs="Arial"/>
                <w:b/>
                <w:bCs/>
                <w:sz w:val="22"/>
                <w:szCs w:val="22"/>
              </w:rPr>
            </w:pPr>
            <w:r w:rsidRPr="00830CC4">
              <w:rPr>
                <w:rFonts w:ascii="Arial" w:hAnsi="Arial" w:cs="Arial"/>
                <w:b/>
                <w:bCs/>
                <w:sz w:val="22"/>
                <w:szCs w:val="22"/>
              </w:rPr>
              <w:t>Agenda Section:</w:t>
            </w:r>
          </w:p>
        </w:tc>
        <w:bookmarkStart w:id="2" w:name="Check4"/>
        <w:tc>
          <w:tcPr>
            <w:tcW w:w="8003" w:type="dxa"/>
            <w:shd w:val="clear" w:color="auto" w:fill="auto"/>
          </w:tcPr>
          <w:p w:rsidR="00A31E5A" w:rsidRPr="00830CC4" w:rsidRDefault="00A31E5A" w:rsidP="00332E64">
            <w:pPr>
              <w:spacing w:before="60" w:line="276" w:lineRule="auto"/>
              <w:jc w:val="both"/>
              <w:rPr>
                <w:rFonts w:ascii="Arial" w:hAnsi="Arial" w:cs="Arial"/>
                <w:sz w:val="22"/>
                <w:szCs w:val="22"/>
              </w:rPr>
            </w:pPr>
            <w:r w:rsidRPr="00830CC4">
              <w:rPr>
                <w:rFonts w:ascii="Arial" w:hAnsi="Arial" w:cs="Arial"/>
                <w:sz w:val="22"/>
                <w:szCs w:val="22"/>
              </w:rPr>
              <w:fldChar w:fldCharType="begin">
                <w:ffData>
                  <w:name w:val="Check4"/>
                  <w:enabled/>
                  <w:calcOnExit w:val="0"/>
                  <w:checkBox>
                    <w:sizeAuto/>
                    <w:default w:val="1"/>
                  </w:checkBox>
                </w:ffData>
              </w:fldChar>
            </w:r>
            <w:r w:rsidRPr="00830CC4">
              <w:rPr>
                <w:rFonts w:ascii="Arial" w:hAnsi="Arial" w:cs="Arial"/>
                <w:sz w:val="22"/>
                <w:szCs w:val="22"/>
              </w:rPr>
              <w:instrText xml:space="preserve"> FORMCHECKBOX </w:instrText>
            </w:r>
            <w:r w:rsidRPr="00830CC4">
              <w:rPr>
                <w:rFonts w:ascii="Arial" w:hAnsi="Arial" w:cs="Arial"/>
                <w:sz w:val="22"/>
                <w:szCs w:val="22"/>
              </w:rPr>
            </w:r>
            <w:r w:rsidRPr="00830CC4">
              <w:rPr>
                <w:rFonts w:ascii="Arial" w:hAnsi="Arial" w:cs="Arial"/>
                <w:sz w:val="22"/>
                <w:szCs w:val="22"/>
              </w:rPr>
              <w:fldChar w:fldCharType="end"/>
            </w:r>
            <w:bookmarkEnd w:id="2"/>
            <w:r w:rsidRPr="00830CC4">
              <w:rPr>
                <w:rFonts w:ascii="Arial" w:hAnsi="Arial" w:cs="Arial"/>
                <w:sz w:val="22"/>
                <w:szCs w:val="22"/>
              </w:rPr>
              <w:t xml:space="preserve"> STRATEGY</w:t>
            </w:r>
            <w:r w:rsidRPr="00830CC4">
              <w:rPr>
                <w:rFonts w:ascii="Arial" w:hAnsi="Arial" w:cs="Arial"/>
                <w:sz w:val="22"/>
                <w:szCs w:val="22"/>
              </w:rPr>
              <w:tab/>
            </w:r>
            <w:r w:rsidRPr="00830CC4">
              <w:rPr>
                <w:rFonts w:ascii="Arial" w:hAnsi="Arial" w:cs="Arial"/>
                <w:sz w:val="22"/>
                <w:szCs w:val="22"/>
              </w:rPr>
              <w:fldChar w:fldCharType="begin">
                <w:ffData>
                  <w:name w:val=""/>
                  <w:enabled/>
                  <w:calcOnExit w:val="0"/>
                  <w:checkBox>
                    <w:sizeAuto/>
                    <w:default w:val="1"/>
                  </w:checkBox>
                </w:ffData>
              </w:fldChar>
            </w:r>
            <w:r w:rsidRPr="00830CC4">
              <w:rPr>
                <w:rFonts w:ascii="Arial" w:hAnsi="Arial" w:cs="Arial"/>
                <w:sz w:val="22"/>
                <w:szCs w:val="22"/>
              </w:rPr>
              <w:instrText xml:space="preserve"> FORMCHECKBOX </w:instrText>
            </w:r>
            <w:r w:rsidRPr="00830CC4">
              <w:rPr>
                <w:rFonts w:ascii="Arial" w:hAnsi="Arial" w:cs="Arial"/>
                <w:sz w:val="22"/>
                <w:szCs w:val="22"/>
              </w:rPr>
            </w:r>
            <w:r w:rsidRPr="00830CC4">
              <w:rPr>
                <w:rFonts w:ascii="Arial" w:hAnsi="Arial" w:cs="Arial"/>
                <w:sz w:val="22"/>
                <w:szCs w:val="22"/>
              </w:rPr>
              <w:fldChar w:fldCharType="end"/>
            </w:r>
            <w:r w:rsidRPr="00830CC4">
              <w:rPr>
                <w:rFonts w:ascii="Arial" w:hAnsi="Arial" w:cs="Arial"/>
                <w:sz w:val="22"/>
                <w:szCs w:val="22"/>
              </w:rPr>
              <w:t xml:space="preserve"> COMMISSIONING    </w:t>
            </w:r>
            <w:r w:rsidRPr="00830CC4">
              <w:rPr>
                <w:rFonts w:ascii="Arial" w:hAnsi="Arial" w:cs="Arial"/>
                <w:sz w:val="22"/>
                <w:szCs w:val="22"/>
              </w:rPr>
              <w:fldChar w:fldCharType="begin">
                <w:ffData>
                  <w:name w:val=""/>
                  <w:enabled/>
                  <w:calcOnExit w:val="0"/>
                  <w:checkBox>
                    <w:sizeAuto/>
                    <w:default w:val="1"/>
                  </w:checkBox>
                </w:ffData>
              </w:fldChar>
            </w:r>
            <w:r w:rsidRPr="00830CC4">
              <w:rPr>
                <w:rFonts w:ascii="Arial" w:hAnsi="Arial" w:cs="Arial"/>
                <w:sz w:val="22"/>
                <w:szCs w:val="22"/>
              </w:rPr>
              <w:instrText xml:space="preserve"> FORMCHECKBOX </w:instrText>
            </w:r>
            <w:r w:rsidRPr="00830CC4">
              <w:rPr>
                <w:rFonts w:ascii="Arial" w:hAnsi="Arial" w:cs="Arial"/>
                <w:sz w:val="22"/>
                <w:szCs w:val="22"/>
              </w:rPr>
            </w:r>
            <w:r w:rsidRPr="00830CC4">
              <w:rPr>
                <w:rFonts w:ascii="Arial" w:hAnsi="Arial" w:cs="Arial"/>
                <w:sz w:val="22"/>
                <w:szCs w:val="22"/>
              </w:rPr>
              <w:fldChar w:fldCharType="end"/>
            </w:r>
            <w:r w:rsidRPr="00830CC4">
              <w:rPr>
                <w:rFonts w:ascii="Arial" w:hAnsi="Arial" w:cs="Arial"/>
                <w:sz w:val="22"/>
                <w:szCs w:val="22"/>
              </w:rPr>
              <w:t xml:space="preserve"> OPERATIONAL ISSUES</w:t>
            </w:r>
          </w:p>
        </w:tc>
      </w:tr>
    </w:tbl>
    <w:p w:rsidR="00DD689C" w:rsidRPr="009D14DD" w:rsidRDefault="00DD689C" w:rsidP="00DD689C">
      <w:pPr>
        <w:rPr>
          <w:rFonts w:ascii="Arial" w:hAnsi="Arial" w:cs="Arial"/>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A52AAC" w:rsidRDefault="006A74AF" w:rsidP="009306C6">
            <w:pPr>
              <w:rPr>
                <w:rFonts w:asciiTheme="minorHAnsi" w:hAnsiTheme="minorHAnsi" w:cs="Arial"/>
                <w:b/>
                <w:bCs/>
                <w:sz w:val="22"/>
                <w:szCs w:val="22"/>
              </w:rPr>
            </w:pPr>
            <w:r w:rsidRPr="00A52AAC">
              <w:rPr>
                <w:rFonts w:asciiTheme="minorHAnsi" w:hAnsiTheme="minorHAnsi" w:cs="Arial"/>
                <w:b/>
                <w:bCs/>
                <w:sz w:val="22"/>
                <w:szCs w:val="22"/>
              </w:rPr>
              <w:t>OBJECT OF REPORT:</w:t>
            </w:r>
          </w:p>
          <w:p w:rsidR="00A31E5A" w:rsidRPr="00A52AAC" w:rsidRDefault="00A31E5A" w:rsidP="009306C6">
            <w:pPr>
              <w:rPr>
                <w:rFonts w:asciiTheme="minorHAnsi" w:hAnsiTheme="minorHAnsi" w:cs="Arial"/>
                <w:b/>
                <w:bCs/>
                <w:sz w:val="22"/>
                <w:szCs w:val="22"/>
              </w:rPr>
            </w:pPr>
          </w:p>
        </w:tc>
      </w:tr>
      <w:tr w:rsidR="00DD689C" w:rsidRPr="00752FD6" w:rsidTr="00D7033C">
        <w:trPr>
          <w:trHeight w:val="856"/>
        </w:trPr>
        <w:tc>
          <w:tcPr>
            <w:tcW w:w="10031" w:type="dxa"/>
            <w:shd w:val="clear" w:color="auto" w:fill="auto"/>
          </w:tcPr>
          <w:p w:rsidR="00A31E5A" w:rsidRPr="00A52AAC" w:rsidRDefault="00A31E5A" w:rsidP="00A31E5A">
            <w:pPr>
              <w:autoSpaceDE w:val="0"/>
              <w:autoSpaceDN w:val="0"/>
              <w:adjustRightInd w:val="0"/>
              <w:jc w:val="both"/>
              <w:rPr>
                <w:rFonts w:asciiTheme="minorHAnsi" w:eastAsiaTheme="minorHAnsi" w:hAnsiTheme="minorHAnsi" w:cs="Arial"/>
                <w:color w:val="000000"/>
                <w:sz w:val="22"/>
                <w:szCs w:val="22"/>
                <w:lang w:eastAsia="en-US"/>
              </w:rPr>
            </w:pPr>
            <w:r w:rsidRPr="00A52AAC">
              <w:rPr>
                <w:rFonts w:asciiTheme="minorHAnsi" w:eastAsiaTheme="minorHAnsi" w:hAnsiTheme="minorHAnsi" w:cs="Arial"/>
                <w:color w:val="000000"/>
                <w:sz w:val="22"/>
                <w:szCs w:val="22"/>
                <w:lang w:eastAsia="en-US"/>
              </w:rPr>
              <w:t>The report informs the Partnership Board of key metrics for quality and safety of the services it commissions and in doing so provides assurance that North East Lincolnshire CCG is fulfilling its responsibility and commitment to commission safe and effective services that meet the needs of the population of North East Lincolnshire.</w:t>
            </w:r>
          </w:p>
          <w:p w:rsidR="00A31E5A" w:rsidRPr="00A52AAC" w:rsidRDefault="00A31E5A" w:rsidP="00A31E5A">
            <w:pPr>
              <w:autoSpaceDE w:val="0"/>
              <w:autoSpaceDN w:val="0"/>
              <w:adjustRightInd w:val="0"/>
              <w:jc w:val="both"/>
              <w:rPr>
                <w:rFonts w:asciiTheme="minorHAnsi" w:eastAsiaTheme="minorHAnsi" w:hAnsiTheme="minorHAnsi" w:cs="Arial"/>
                <w:color w:val="000000"/>
                <w:sz w:val="22"/>
                <w:szCs w:val="22"/>
                <w:lang w:eastAsia="en-US"/>
              </w:rPr>
            </w:pPr>
          </w:p>
          <w:p w:rsidR="00A31E5A" w:rsidRPr="00A52AAC" w:rsidRDefault="00A31E5A" w:rsidP="00A31E5A">
            <w:pPr>
              <w:autoSpaceDE w:val="0"/>
              <w:autoSpaceDN w:val="0"/>
              <w:adjustRightInd w:val="0"/>
              <w:jc w:val="both"/>
              <w:rPr>
                <w:rFonts w:asciiTheme="minorHAnsi" w:eastAsiaTheme="minorHAnsi" w:hAnsiTheme="minorHAnsi" w:cs="Arial"/>
                <w:color w:val="000000"/>
                <w:sz w:val="22"/>
                <w:szCs w:val="22"/>
                <w:lang w:eastAsia="en-US"/>
              </w:rPr>
            </w:pPr>
            <w:r w:rsidRPr="00A52AAC">
              <w:rPr>
                <w:rFonts w:asciiTheme="minorHAnsi" w:eastAsiaTheme="minorHAnsi" w:hAnsiTheme="minorHAnsi" w:cs="Arial"/>
                <w:color w:val="000000"/>
                <w:sz w:val="22"/>
                <w:szCs w:val="22"/>
                <w:lang w:eastAsia="en-US"/>
              </w:rPr>
              <w:t>The report is delivered in 3 sections:</w:t>
            </w:r>
          </w:p>
          <w:p w:rsidR="00A31E5A" w:rsidRPr="00A52AAC" w:rsidRDefault="00A31E5A" w:rsidP="00C31229">
            <w:pPr>
              <w:pStyle w:val="ListParagraph"/>
              <w:numPr>
                <w:ilvl w:val="0"/>
                <w:numId w:val="3"/>
              </w:numPr>
              <w:autoSpaceDE w:val="0"/>
              <w:autoSpaceDN w:val="0"/>
              <w:adjustRightInd w:val="0"/>
              <w:jc w:val="both"/>
              <w:rPr>
                <w:rFonts w:asciiTheme="minorHAnsi" w:eastAsiaTheme="minorHAnsi" w:hAnsiTheme="minorHAnsi" w:cs="Arial"/>
                <w:color w:val="000000"/>
                <w:sz w:val="22"/>
                <w:szCs w:val="22"/>
                <w:lang w:eastAsia="en-US"/>
              </w:rPr>
            </w:pPr>
            <w:r w:rsidRPr="00A52AAC">
              <w:rPr>
                <w:rFonts w:asciiTheme="minorHAnsi" w:eastAsiaTheme="minorHAnsi" w:hAnsiTheme="minorHAnsi" w:cs="Arial"/>
                <w:color w:val="000000"/>
                <w:sz w:val="22"/>
                <w:szCs w:val="22"/>
                <w:lang w:eastAsia="en-US"/>
              </w:rPr>
              <w:t>Effective Care</w:t>
            </w:r>
          </w:p>
          <w:p w:rsidR="00A31E5A" w:rsidRPr="00A52AAC" w:rsidRDefault="00A31E5A" w:rsidP="00C31229">
            <w:pPr>
              <w:pStyle w:val="ListParagraph"/>
              <w:numPr>
                <w:ilvl w:val="0"/>
                <w:numId w:val="3"/>
              </w:numPr>
              <w:autoSpaceDE w:val="0"/>
              <w:autoSpaceDN w:val="0"/>
              <w:adjustRightInd w:val="0"/>
              <w:jc w:val="both"/>
              <w:rPr>
                <w:rFonts w:asciiTheme="minorHAnsi" w:eastAsiaTheme="minorHAnsi" w:hAnsiTheme="minorHAnsi" w:cs="Arial"/>
                <w:color w:val="000000"/>
                <w:sz w:val="22"/>
                <w:szCs w:val="22"/>
                <w:lang w:eastAsia="en-US"/>
              </w:rPr>
            </w:pPr>
            <w:r w:rsidRPr="00A52AAC">
              <w:rPr>
                <w:rFonts w:asciiTheme="minorHAnsi" w:eastAsiaTheme="minorHAnsi" w:hAnsiTheme="minorHAnsi" w:cs="Arial"/>
                <w:color w:val="000000"/>
                <w:sz w:val="22"/>
                <w:szCs w:val="22"/>
                <w:lang w:eastAsia="en-US"/>
              </w:rPr>
              <w:t>Patient Safety</w:t>
            </w:r>
          </w:p>
          <w:p w:rsidR="00A31E5A" w:rsidRPr="00A52AAC" w:rsidRDefault="00A31E5A" w:rsidP="00C31229">
            <w:pPr>
              <w:pStyle w:val="ListParagraph"/>
              <w:numPr>
                <w:ilvl w:val="0"/>
                <w:numId w:val="3"/>
              </w:numPr>
              <w:autoSpaceDE w:val="0"/>
              <w:autoSpaceDN w:val="0"/>
              <w:adjustRightInd w:val="0"/>
              <w:jc w:val="both"/>
              <w:rPr>
                <w:rFonts w:asciiTheme="minorHAnsi" w:eastAsiaTheme="minorHAnsi" w:hAnsiTheme="minorHAnsi" w:cs="Arial"/>
                <w:color w:val="000000"/>
                <w:sz w:val="22"/>
                <w:szCs w:val="22"/>
                <w:lang w:eastAsia="en-US"/>
              </w:rPr>
            </w:pPr>
            <w:r w:rsidRPr="00A52AAC">
              <w:rPr>
                <w:rFonts w:asciiTheme="minorHAnsi" w:eastAsiaTheme="minorHAnsi" w:hAnsiTheme="minorHAnsi" w:cs="Arial"/>
                <w:color w:val="000000"/>
                <w:sz w:val="22"/>
                <w:szCs w:val="22"/>
                <w:lang w:eastAsia="en-US"/>
              </w:rPr>
              <w:t>Patient Experience</w:t>
            </w:r>
          </w:p>
          <w:p w:rsidR="006A74AF" w:rsidRPr="00A52AAC" w:rsidRDefault="006A74AF" w:rsidP="00B41D76">
            <w:pPr>
              <w:rPr>
                <w:rFonts w:asciiTheme="minorHAnsi" w:hAnsiTheme="minorHAnsi"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A52AAC" w:rsidRDefault="00A52AAC" w:rsidP="009306C6">
            <w:pPr>
              <w:rPr>
                <w:rFonts w:asciiTheme="minorHAnsi" w:hAnsiTheme="minorHAnsi" w:cs="Arial"/>
                <w:b/>
                <w:bCs/>
                <w:sz w:val="22"/>
                <w:szCs w:val="22"/>
              </w:rPr>
            </w:pPr>
            <w:r w:rsidRPr="00A52AAC">
              <w:rPr>
                <w:rFonts w:asciiTheme="minorHAnsi" w:hAnsiTheme="minorHAnsi" w:cs="Arial"/>
                <w:b/>
                <w:bCs/>
                <w:sz w:val="22"/>
                <w:szCs w:val="22"/>
              </w:rPr>
              <w:t>SECTION 1. EFFECTIVE CARE</w:t>
            </w:r>
          </w:p>
        </w:tc>
      </w:tr>
      <w:tr w:rsidR="00DD689C" w:rsidRPr="00752FD6" w:rsidTr="00D7033C">
        <w:trPr>
          <w:trHeight w:val="174"/>
        </w:trPr>
        <w:tc>
          <w:tcPr>
            <w:tcW w:w="10031" w:type="dxa"/>
            <w:shd w:val="clear" w:color="auto" w:fill="auto"/>
          </w:tcPr>
          <w:p w:rsidR="00A52AAC" w:rsidRPr="00F72F91" w:rsidRDefault="00A52AAC" w:rsidP="00C31229">
            <w:pPr>
              <w:pStyle w:val="ListParagraph"/>
              <w:numPr>
                <w:ilvl w:val="0"/>
                <w:numId w:val="4"/>
              </w:numPr>
              <w:spacing w:before="240" w:line="276" w:lineRule="auto"/>
              <w:jc w:val="both"/>
              <w:rPr>
                <w:rFonts w:asciiTheme="minorHAnsi" w:hAnsiTheme="minorHAnsi" w:cs="Arial"/>
                <w:b/>
                <w:bCs/>
                <w:sz w:val="22"/>
                <w:szCs w:val="22"/>
              </w:rPr>
            </w:pPr>
            <w:r w:rsidRPr="00F72F91">
              <w:rPr>
                <w:rFonts w:asciiTheme="minorHAnsi" w:hAnsiTheme="minorHAnsi" w:cs="Arial"/>
                <w:b/>
                <w:bCs/>
                <w:sz w:val="22"/>
                <w:szCs w:val="22"/>
              </w:rPr>
              <w:t>External Reviews</w:t>
            </w:r>
          </w:p>
          <w:p w:rsidR="00A52AAC" w:rsidRPr="0091643D" w:rsidRDefault="00A52AAC" w:rsidP="00F72F91">
            <w:pPr>
              <w:pStyle w:val="ListParagraph"/>
              <w:numPr>
                <w:ilvl w:val="0"/>
                <w:numId w:val="5"/>
              </w:numPr>
              <w:spacing w:line="276" w:lineRule="auto"/>
              <w:jc w:val="both"/>
              <w:rPr>
                <w:rFonts w:asciiTheme="minorHAnsi" w:hAnsiTheme="minorHAnsi" w:cs="Arial"/>
                <w:bCs/>
                <w:sz w:val="22"/>
                <w:szCs w:val="22"/>
              </w:rPr>
            </w:pPr>
            <w:r w:rsidRPr="0091643D">
              <w:rPr>
                <w:rFonts w:asciiTheme="minorHAnsi" w:hAnsiTheme="minorHAnsi" w:cs="Arial"/>
                <w:bCs/>
                <w:sz w:val="22"/>
                <w:szCs w:val="22"/>
              </w:rPr>
              <w:t>An announced CQC inspection of St Hu</w:t>
            </w:r>
            <w:r w:rsidR="006F6120" w:rsidRPr="0091643D">
              <w:rPr>
                <w:rFonts w:asciiTheme="minorHAnsi" w:hAnsiTheme="minorHAnsi" w:cs="Arial"/>
                <w:bCs/>
                <w:sz w:val="22"/>
                <w:szCs w:val="22"/>
              </w:rPr>
              <w:t>ghes Hospital was undertaken in</w:t>
            </w:r>
            <w:r w:rsidR="00054514" w:rsidRPr="0091643D">
              <w:rPr>
                <w:rFonts w:asciiTheme="minorHAnsi" w:hAnsiTheme="minorHAnsi" w:cs="Arial"/>
                <w:bCs/>
                <w:sz w:val="22"/>
                <w:szCs w:val="22"/>
              </w:rPr>
              <w:t xml:space="preserve"> </w:t>
            </w:r>
            <w:r w:rsidR="00F72F91" w:rsidRPr="0091643D">
              <w:rPr>
                <w:rFonts w:asciiTheme="minorHAnsi" w:hAnsiTheme="minorHAnsi" w:cs="Arial"/>
                <w:bCs/>
                <w:sz w:val="22"/>
                <w:szCs w:val="22"/>
              </w:rPr>
              <w:t xml:space="preserve">August </w:t>
            </w:r>
            <w:r w:rsidR="00054514" w:rsidRPr="0091643D">
              <w:rPr>
                <w:rFonts w:asciiTheme="minorHAnsi" w:hAnsiTheme="minorHAnsi" w:cs="Arial"/>
                <w:bCs/>
                <w:sz w:val="22"/>
                <w:szCs w:val="22"/>
              </w:rPr>
              <w:t>2015</w:t>
            </w:r>
            <w:r w:rsidR="006F6120" w:rsidRPr="0091643D">
              <w:rPr>
                <w:rFonts w:asciiTheme="minorHAnsi" w:hAnsiTheme="minorHAnsi" w:cs="Arial"/>
                <w:bCs/>
                <w:sz w:val="22"/>
                <w:szCs w:val="22"/>
              </w:rPr>
              <w:t>.</w:t>
            </w:r>
            <w:r w:rsidR="00054514" w:rsidRPr="0091643D">
              <w:rPr>
                <w:rFonts w:asciiTheme="minorHAnsi" w:hAnsiTheme="minorHAnsi"/>
                <w:sz w:val="22"/>
                <w:szCs w:val="22"/>
              </w:rPr>
              <w:t xml:space="preserve"> </w:t>
            </w:r>
            <w:r w:rsidR="0091643D" w:rsidRPr="0091643D">
              <w:rPr>
                <w:rFonts w:asciiTheme="minorHAnsi" w:hAnsiTheme="minorHAnsi"/>
                <w:sz w:val="22"/>
                <w:szCs w:val="22"/>
              </w:rPr>
              <w:t xml:space="preserve">The final </w:t>
            </w:r>
            <w:r w:rsidR="0091643D">
              <w:rPr>
                <w:rFonts w:asciiTheme="minorHAnsi" w:hAnsiTheme="minorHAnsi"/>
                <w:sz w:val="22"/>
                <w:szCs w:val="22"/>
              </w:rPr>
              <w:t xml:space="preserve">CQC </w:t>
            </w:r>
            <w:r w:rsidR="0091643D" w:rsidRPr="0091643D">
              <w:rPr>
                <w:rFonts w:asciiTheme="minorHAnsi" w:hAnsiTheme="minorHAnsi"/>
                <w:sz w:val="22"/>
                <w:szCs w:val="22"/>
              </w:rPr>
              <w:t xml:space="preserve">report </w:t>
            </w:r>
            <w:r w:rsidR="0091643D">
              <w:rPr>
                <w:rFonts w:asciiTheme="minorHAnsi" w:hAnsiTheme="minorHAnsi"/>
                <w:sz w:val="22"/>
                <w:szCs w:val="22"/>
              </w:rPr>
              <w:t xml:space="preserve">has </w:t>
            </w:r>
            <w:r w:rsidR="00054514" w:rsidRPr="0091643D">
              <w:rPr>
                <w:rFonts w:asciiTheme="minorHAnsi" w:hAnsiTheme="minorHAnsi" w:cs="Arial"/>
                <w:bCs/>
                <w:sz w:val="22"/>
                <w:szCs w:val="22"/>
              </w:rPr>
              <w:t xml:space="preserve">given St Hughes a </w:t>
            </w:r>
            <w:r w:rsidR="00F72F91" w:rsidRPr="0091643D">
              <w:rPr>
                <w:rFonts w:asciiTheme="minorHAnsi" w:hAnsiTheme="minorHAnsi" w:cs="Arial"/>
                <w:bCs/>
                <w:sz w:val="22"/>
                <w:szCs w:val="22"/>
              </w:rPr>
              <w:t xml:space="preserve">“requires improvement” </w:t>
            </w:r>
            <w:r w:rsidR="00054514" w:rsidRPr="0091643D">
              <w:rPr>
                <w:rFonts w:asciiTheme="minorHAnsi" w:hAnsiTheme="minorHAnsi" w:cs="Arial"/>
                <w:bCs/>
                <w:sz w:val="22"/>
                <w:szCs w:val="22"/>
              </w:rPr>
              <w:t xml:space="preserve">rating and a summit meeting is planned in March which the CCG will be attending. </w:t>
            </w:r>
            <w:r w:rsidR="00F72F91" w:rsidRPr="0091643D">
              <w:rPr>
                <w:rFonts w:asciiTheme="minorHAnsi" w:hAnsiTheme="minorHAnsi" w:cs="Arial"/>
                <w:bCs/>
                <w:sz w:val="22"/>
                <w:szCs w:val="22"/>
              </w:rPr>
              <w:t xml:space="preserve">St Hugh’s have shared some of the high level findings with the CCG </w:t>
            </w:r>
            <w:r w:rsidR="0091643D">
              <w:rPr>
                <w:rFonts w:asciiTheme="minorHAnsi" w:hAnsiTheme="minorHAnsi" w:cs="Arial"/>
                <w:bCs/>
                <w:sz w:val="22"/>
                <w:szCs w:val="22"/>
              </w:rPr>
              <w:t>and t</w:t>
            </w:r>
            <w:r w:rsidR="00F72F91" w:rsidRPr="0091643D">
              <w:rPr>
                <w:rFonts w:asciiTheme="minorHAnsi" w:hAnsiTheme="minorHAnsi" w:cs="Arial"/>
                <w:bCs/>
                <w:sz w:val="22"/>
                <w:szCs w:val="22"/>
              </w:rPr>
              <w:t xml:space="preserve">he main concerns are </w:t>
            </w:r>
            <w:r w:rsidR="0091643D">
              <w:rPr>
                <w:rFonts w:asciiTheme="minorHAnsi" w:hAnsiTheme="minorHAnsi" w:cs="Arial"/>
                <w:bCs/>
                <w:sz w:val="22"/>
                <w:szCs w:val="22"/>
              </w:rPr>
              <w:t>regarding the h</w:t>
            </w:r>
            <w:r w:rsidR="00F72F91" w:rsidRPr="0091643D">
              <w:rPr>
                <w:rFonts w:asciiTheme="minorHAnsi" w:hAnsiTheme="minorHAnsi" w:cs="Arial"/>
                <w:bCs/>
                <w:sz w:val="22"/>
                <w:szCs w:val="22"/>
              </w:rPr>
              <w:t xml:space="preserve">ospitals ability to evidence areas through documentation of meeting minutes etc, which St Hugh’s have already started to address. The Summit meeting will enable a plan to be developed with support from key stakeholders. </w:t>
            </w:r>
          </w:p>
          <w:p w:rsidR="00A52AAC" w:rsidRPr="00F72F91" w:rsidRDefault="00A52AAC" w:rsidP="00C31229">
            <w:pPr>
              <w:pStyle w:val="ListParagraph"/>
              <w:numPr>
                <w:ilvl w:val="0"/>
                <w:numId w:val="5"/>
              </w:numPr>
              <w:spacing w:line="276" w:lineRule="auto"/>
              <w:jc w:val="both"/>
              <w:rPr>
                <w:rFonts w:asciiTheme="minorHAnsi" w:hAnsiTheme="minorHAnsi" w:cs="Arial"/>
                <w:bCs/>
                <w:sz w:val="22"/>
                <w:szCs w:val="22"/>
              </w:rPr>
            </w:pPr>
            <w:r w:rsidRPr="00F72F91">
              <w:rPr>
                <w:rFonts w:asciiTheme="minorHAnsi" w:hAnsiTheme="minorHAnsi" w:cs="Arial"/>
                <w:bCs/>
                <w:sz w:val="22"/>
                <w:szCs w:val="22"/>
              </w:rPr>
              <w:t xml:space="preserve">We are still awaiting the final report from CQC in respect of the announced and unannounced inspections of NLG. </w:t>
            </w:r>
            <w:r w:rsidR="006F6120" w:rsidRPr="00F72F91">
              <w:rPr>
                <w:rFonts w:asciiTheme="minorHAnsi" w:hAnsiTheme="minorHAnsi" w:cs="Arial"/>
                <w:bCs/>
                <w:sz w:val="22"/>
                <w:szCs w:val="22"/>
              </w:rPr>
              <w:t xml:space="preserve"> </w:t>
            </w:r>
            <w:r w:rsidRPr="00F72F91">
              <w:rPr>
                <w:rFonts w:asciiTheme="minorHAnsi" w:hAnsiTheme="minorHAnsi" w:cs="Arial"/>
                <w:bCs/>
                <w:sz w:val="22"/>
                <w:szCs w:val="22"/>
              </w:rPr>
              <w:t>Anecdotally we are aware that the CQC are considering their final view and that they have raised a number of concerns including mixed sex accommodation</w:t>
            </w:r>
            <w:r w:rsidR="00054514" w:rsidRPr="00F72F91">
              <w:rPr>
                <w:rFonts w:asciiTheme="minorHAnsi" w:hAnsiTheme="minorHAnsi" w:cs="Arial"/>
                <w:bCs/>
                <w:sz w:val="22"/>
                <w:szCs w:val="22"/>
              </w:rPr>
              <w:t xml:space="preserve"> and OPD follow-up</w:t>
            </w:r>
            <w:r w:rsidRPr="00F72F91">
              <w:rPr>
                <w:rFonts w:asciiTheme="minorHAnsi" w:hAnsiTheme="minorHAnsi" w:cs="Arial"/>
                <w:bCs/>
                <w:sz w:val="22"/>
                <w:szCs w:val="22"/>
              </w:rPr>
              <w:t>.</w:t>
            </w:r>
            <w:r w:rsidR="00054514" w:rsidRPr="00F72F91">
              <w:rPr>
                <w:rFonts w:asciiTheme="minorHAnsi" w:hAnsiTheme="minorHAnsi" w:cs="Arial"/>
                <w:bCs/>
                <w:sz w:val="22"/>
                <w:szCs w:val="22"/>
              </w:rPr>
              <w:t xml:space="preserve"> </w:t>
            </w:r>
            <w:r w:rsidR="00054514" w:rsidRPr="00F72F91">
              <w:rPr>
                <w:rFonts w:asciiTheme="minorHAnsi" w:hAnsiTheme="minorHAnsi" w:cs="Arial"/>
                <w:bCs/>
                <w:i/>
                <w:sz w:val="22"/>
                <w:szCs w:val="22"/>
              </w:rPr>
              <w:t>See further in Section 2 D – Risks related to NLG.</w:t>
            </w:r>
          </w:p>
          <w:p w:rsidR="002C0EB3" w:rsidRPr="00F72F91" w:rsidRDefault="00A52AAC" w:rsidP="002C0EB3">
            <w:pPr>
              <w:pStyle w:val="ListParagraph"/>
              <w:numPr>
                <w:ilvl w:val="0"/>
                <w:numId w:val="5"/>
              </w:numPr>
              <w:spacing w:line="276" w:lineRule="auto"/>
              <w:jc w:val="both"/>
              <w:rPr>
                <w:rFonts w:asciiTheme="minorHAnsi" w:hAnsiTheme="minorHAnsi" w:cs="Arial"/>
                <w:bCs/>
                <w:sz w:val="22"/>
                <w:szCs w:val="22"/>
              </w:rPr>
            </w:pPr>
            <w:r w:rsidRPr="00F72F91">
              <w:rPr>
                <w:rFonts w:asciiTheme="minorHAnsi" w:hAnsiTheme="minorHAnsi" w:cs="Arial"/>
                <w:bCs/>
                <w:sz w:val="22"/>
                <w:szCs w:val="22"/>
              </w:rPr>
              <w:t>We are sti</w:t>
            </w:r>
            <w:r w:rsidR="00121A76" w:rsidRPr="00F72F91">
              <w:rPr>
                <w:rFonts w:asciiTheme="minorHAnsi" w:hAnsiTheme="minorHAnsi" w:cs="Arial"/>
                <w:bCs/>
                <w:sz w:val="22"/>
                <w:szCs w:val="22"/>
              </w:rPr>
              <w:t>ll awaiting the CQC EMAS report for the i</w:t>
            </w:r>
            <w:r w:rsidRPr="00F72F91">
              <w:rPr>
                <w:rFonts w:asciiTheme="minorHAnsi" w:hAnsiTheme="minorHAnsi" w:cs="Arial"/>
                <w:bCs/>
                <w:sz w:val="22"/>
                <w:szCs w:val="22"/>
              </w:rPr>
              <w:t>nspection during November</w:t>
            </w:r>
            <w:r w:rsidR="00121A76" w:rsidRPr="00F72F91">
              <w:rPr>
                <w:rFonts w:asciiTheme="minorHAnsi" w:hAnsiTheme="minorHAnsi" w:cs="Arial"/>
                <w:bCs/>
                <w:sz w:val="22"/>
                <w:szCs w:val="22"/>
              </w:rPr>
              <w:t xml:space="preserve">. This is expected to be published end of March 16. Commissioners haven’t had any further updates on the CQC position. </w:t>
            </w:r>
            <w:r w:rsidRPr="00F72F91">
              <w:rPr>
                <w:rFonts w:asciiTheme="minorHAnsi" w:hAnsiTheme="minorHAnsi" w:cs="Arial"/>
                <w:bCs/>
                <w:sz w:val="22"/>
                <w:szCs w:val="22"/>
              </w:rPr>
              <w:t xml:space="preserve"> </w:t>
            </w:r>
          </w:p>
          <w:p w:rsidR="00121A76" w:rsidRPr="00F72F91" w:rsidRDefault="00121A76" w:rsidP="00121A76">
            <w:pPr>
              <w:pStyle w:val="ListParagraph"/>
              <w:spacing w:line="276" w:lineRule="auto"/>
              <w:jc w:val="both"/>
              <w:rPr>
                <w:rFonts w:asciiTheme="minorHAnsi" w:hAnsiTheme="minorHAnsi" w:cs="Arial"/>
                <w:bCs/>
                <w:sz w:val="22"/>
                <w:szCs w:val="22"/>
              </w:rPr>
            </w:pPr>
          </w:p>
          <w:p w:rsidR="00A52AAC" w:rsidRPr="00F72F91" w:rsidRDefault="00A52AAC" w:rsidP="00C31229">
            <w:pPr>
              <w:pStyle w:val="ListParagraph"/>
              <w:numPr>
                <w:ilvl w:val="0"/>
                <w:numId w:val="4"/>
              </w:numPr>
              <w:spacing w:line="276" w:lineRule="auto"/>
              <w:jc w:val="both"/>
              <w:rPr>
                <w:rFonts w:asciiTheme="minorHAnsi" w:hAnsiTheme="minorHAnsi" w:cs="Arial"/>
                <w:b/>
                <w:bCs/>
                <w:sz w:val="22"/>
                <w:szCs w:val="22"/>
              </w:rPr>
            </w:pPr>
            <w:r w:rsidRPr="00F72F91">
              <w:rPr>
                <w:rFonts w:asciiTheme="minorHAnsi" w:hAnsiTheme="minorHAnsi" w:cs="Arial"/>
                <w:b/>
                <w:bCs/>
                <w:sz w:val="22"/>
                <w:szCs w:val="22"/>
              </w:rPr>
              <w:t>Clinical Effectiveness</w:t>
            </w:r>
          </w:p>
          <w:p w:rsidR="00A52AAC" w:rsidRPr="00F72F91" w:rsidRDefault="00A52AAC" w:rsidP="006F6120">
            <w:pPr>
              <w:pStyle w:val="ListParagraph"/>
              <w:spacing w:line="276" w:lineRule="auto"/>
              <w:jc w:val="both"/>
              <w:rPr>
                <w:rFonts w:asciiTheme="minorHAnsi" w:hAnsiTheme="minorHAnsi" w:cs="Arial"/>
                <w:bCs/>
                <w:sz w:val="22"/>
                <w:szCs w:val="22"/>
              </w:rPr>
            </w:pPr>
            <w:r w:rsidRPr="00F72F91">
              <w:rPr>
                <w:rFonts w:asciiTheme="minorHAnsi" w:hAnsiTheme="minorHAnsi" w:cs="Arial"/>
                <w:bCs/>
                <w:sz w:val="22"/>
                <w:szCs w:val="22"/>
              </w:rPr>
              <w:t xml:space="preserve">The two Quality Committees at NL CCG and NEL CCG have agreed to establish a Research &amp; </w:t>
            </w:r>
            <w:r w:rsidRPr="00F72F91">
              <w:rPr>
                <w:rFonts w:asciiTheme="minorHAnsi" w:hAnsiTheme="minorHAnsi" w:cs="Arial"/>
                <w:bCs/>
                <w:sz w:val="22"/>
                <w:szCs w:val="22"/>
              </w:rPr>
              <w:lastRenderedPageBreak/>
              <w:t>Development Working Group reporting to both Quality Committees, which will aim to promote:-</w:t>
            </w:r>
          </w:p>
          <w:p w:rsidR="00A52AAC" w:rsidRPr="00F72F91" w:rsidRDefault="00A52AAC" w:rsidP="006F6120">
            <w:pPr>
              <w:pStyle w:val="ListParagraph"/>
              <w:numPr>
                <w:ilvl w:val="1"/>
                <w:numId w:val="15"/>
              </w:numPr>
              <w:spacing w:line="276" w:lineRule="auto"/>
              <w:jc w:val="both"/>
              <w:rPr>
                <w:rFonts w:asciiTheme="minorHAnsi" w:hAnsiTheme="minorHAnsi" w:cs="Arial"/>
                <w:bCs/>
                <w:sz w:val="22"/>
                <w:szCs w:val="22"/>
              </w:rPr>
            </w:pPr>
            <w:r w:rsidRPr="00F72F91">
              <w:rPr>
                <w:rFonts w:asciiTheme="minorHAnsi" w:hAnsiTheme="minorHAnsi" w:cs="Arial"/>
                <w:bCs/>
                <w:sz w:val="22"/>
                <w:szCs w:val="22"/>
              </w:rPr>
              <w:t>Opportunities for high quality and relevant research and making links to local health and care need or clinical practice.</w:t>
            </w:r>
          </w:p>
          <w:p w:rsidR="00A52AAC" w:rsidRPr="00F72F91" w:rsidRDefault="00A52AAC" w:rsidP="006F6120">
            <w:pPr>
              <w:pStyle w:val="ListParagraph"/>
              <w:numPr>
                <w:ilvl w:val="1"/>
                <w:numId w:val="15"/>
              </w:numPr>
              <w:spacing w:line="276" w:lineRule="auto"/>
              <w:jc w:val="both"/>
              <w:rPr>
                <w:rFonts w:asciiTheme="minorHAnsi" w:hAnsiTheme="minorHAnsi" w:cs="Arial"/>
                <w:bCs/>
                <w:sz w:val="22"/>
                <w:szCs w:val="22"/>
              </w:rPr>
            </w:pPr>
            <w:r w:rsidRPr="00F72F91">
              <w:rPr>
                <w:rFonts w:asciiTheme="minorHAnsi" w:hAnsiTheme="minorHAnsi" w:cs="Arial"/>
                <w:bCs/>
                <w:sz w:val="22"/>
                <w:szCs w:val="22"/>
              </w:rPr>
              <w:t>Good research that leads to innovation and provides a strong evidence base for clinical decision making.</w:t>
            </w:r>
          </w:p>
          <w:p w:rsidR="00A52AAC" w:rsidRPr="00F72F91" w:rsidRDefault="00A52AAC" w:rsidP="006F6120">
            <w:pPr>
              <w:pStyle w:val="ListParagraph"/>
              <w:numPr>
                <w:ilvl w:val="1"/>
                <w:numId w:val="15"/>
              </w:numPr>
              <w:spacing w:line="276" w:lineRule="auto"/>
              <w:jc w:val="both"/>
              <w:rPr>
                <w:rFonts w:asciiTheme="minorHAnsi" w:hAnsiTheme="minorHAnsi" w:cs="Arial"/>
                <w:bCs/>
                <w:sz w:val="22"/>
                <w:szCs w:val="22"/>
              </w:rPr>
            </w:pPr>
            <w:r w:rsidRPr="00F72F91">
              <w:rPr>
                <w:rFonts w:asciiTheme="minorHAnsi" w:hAnsiTheme="minorHAnsi" w:cs="Arial"/>
                <w:bCs/>
                <w:sz w:val="22"/>
                <w:szCs w:val="22"/>
              </w:rPr>
              <w:t>The promotion and conduct of research embedded in the CCG.</w:t>
            </w:r>
          </w:p>
          <w:p w:rsidR="00A52AAC" w:rsidRPr="00F72F91" w:rsidRDefault="00A52AAC" w:rsidP="006F6120">
            <w:pPr>
              <w:pStyle w:val="ListParagraph"/>
              <w:numPr>
                <w:ilvl w:val="1"/>
                <w:numId w:val="15"/>
              </w:numPr>
              <w:spacing w:line="276" w:lineRule="auto"/>
              <w:jc w:val="both"/>
              <w:rPr>
                <w:rFonts w:asciiTheme="minorHAnsi" w:hAnsiTheme="minorHAnsi" w:cs="Arial"/>
                <w:bCs/>
                <w:sz w:val="22"/>
                <w:szCs w:val="22"/>
              </w:rPr>
            </w:pPr>
            <w:r w:rsidRPr="00F72F91">
              <w:rPr>
                <w:rFonts w:asciiTheme="minorHAnsi" w:hAnsiTheme="minorHAnsi" w:cs="Arial"/>
                <w:bCs/>
                <w:sz w:val="22"/>
                <w:szCs w:val="22"/>
              </w:rPr>
              <w:t>A developing and evolving knowledge base is established to improve health outcomes and reduce inequalities.</w:t>
            </w:r>
          </w:p>
          <w:p w:rsidR="002C0EB3" w:rsidRPr="00F72F91" w:rsidRDefault="002C0EB3" w:rsidP="002C0EB3">
            <w:pPr>
              <w:spacing w:line="276" w:lineRule="auto"/>
              <w:ind w:left="360"/>
              <w:jc w:val="both"/>
              <w:rPr>
                <w:rFonts w:asciiTheme="minorHAnsi" w:hAnsiTheme="minorHAnsi" w:cs="Arial"/>
                <w:bCs/>
                <w:sz w:val="22"/>
                <w:szCs w:val="22"/>
              </w:rPr>
            </w:pPr>
          </w:p>
          <w:p w:rsidR="00A52AAC" w:rsidRPr="00F72F91" w:rsidRDefault="00A52AAC" w:rsidP="00C31229">
            <w:pPr>
              <w:pStyle w:val="ListParagraph"/>
              <w:numPr>
                <w:ilvl w:val="0"/>
                <w:numId w:val="4"/>
              </w:numPr>
              <w:spacing w:line="276" w:lineRule="auto"/>
              <w:jc w:val="both"/>
              <w:rPr>
                <w:rFonts w:asciiTheme="minorHAnsi" w:hAnsiTheme="minorHAnsi" w:cs="Arial"/>
                <w:b/>
                <w:bCs/>
                <w:sz w:val="22"/>
                <w:szCs w:val="22"/>
              </w:rPr>
            </w:pPr>
            <w:r w:rsidRPr="00F72F91">
              <w:rPr>
                <w:rFonts w:asciiTheme="minorHAnsi" w:hAnsiTheme="minorHAnsi" w:cs="Arial"/>
                <w:b/>
                <w:bCs/>
                <w:sz w:val="22"/>
                <w:szCs w:val="22"/>
              </w:rPr>
              <w:t>CQUINS</w:t>
            </w:r>
          </w:p>
          <w:p w:rsidR="00A52AAC" w:rsidRPr="00F72F91" w:rsidRDefault="00A52AAC" w:rsidP="002C0EB3">
            <w:pPr>
              <w:pStyle w:val="ListParagraph"/>
              <w:spacing w:line="276" w:lineRule="auto"/>
              <w:jc w:val="both"/>
              <w:rPr>
                <w:rFonts w:asciiTheme="minorHAnsi" w:hAnsiTheme="minorHAnsi" w:cs="Arial"/>
                <w:bCs/>
                <w:sz w:val="22"/>
                <w:szCs w:val="22"/>
              </w:rPr>
            </w:pPr>
            <w:r w:rsidRPr="00F72F91">
              <w:rPr>
                <w:rFonts w:asciiTheme="minorHAnsi" w:hAnsiTheme="minorHAnsi" w:cs="Arial"/>
                <w:bCs/>
                <w:sz w:val="22"/>
                <w:szCs w:val="22"/>
              </w:rPr>
              <w:t>The Commissioning for Quality &amp; Innovation (CQUIN) is a payment scheme that encourages care providers to share and continually improve how care is delivered. Commissioners are able to allocate up to 2.5% of the provider’s whole contract value to the CQUIN scheme to develop specific quality initiatives during the year.</w:t>
            </w:r>
            <w:r w:rsidR="002C0EB3" w:rsidRPr="00F72F91">
              <w:rPr>
                <w:rFonts w:asciiTheme="minorHAnsi" w:hAnsiTheme="minorHAnsi" w:cs="Arial"/>
                <w:bCs/>
                <w:sz w:val="22"/>
                <w:szCs w:val="22"/>
              </w:rPr>
              <w:t xml:space="preserve"> </w:t>
            </w:r>
            <w:r w:rsidRPr="00F72F91">
              <w:rPr>
                <w:rFonts w:asciiTheme="minorHAnsi" w:hAnsiTheme="minorHAnsi" w:cs="Arial"/>
                <w:bCs/>
                <w:sz w:val="22"/>
                <w:szCs w:val="22"/>
              </w:rPr>
              <w:t xml:space="preserve"> The scheme is split into two sections; the local indicators and the national indicators (the national indicators are defined by NHS England). </w:t>
            </w:r>
            <w:r w:rsidR="002C0EB3" w:rsidRPr="00F72F91">
              <w:rPr>
                <w:rFonts w:asciiTheme="minorHAnsi" w:hAnsiTheme="minorHAnsi" w:cs="Arial"/>
                <w:bCs/>
                <w:sz w:val="22"/>
                <w:szCs w:val="22"/>
              </w:rPr>
              <w:t xml:space="preserve"> </w:t>
            </w:r>
            <w:r w:rsidRPr="00F72F91">
              <w:rPr>
                <w:rFonts w:asciiTheme="minorHAnsi" w:hAnsiTheme="minorHAnsi" w:cs="Arial"/>
                <w:bCs/>
                <w:sz w:val="22"/>
                <w:szCs w:val="22"/>
              </w:rPr>
              <w:t xml:space="preserve">The national indicators have not yet been defined but it is expected that these will be published by mid-March </w:t>
            </w:r>
            <w:r w:rsidR="002C0EB3" w:rsidRPr="00F72F91">
              <w:rPr>
                <w:rFonts w:asciiTheme="minorHAnsi" w:hAnsiTheme="minorHAnsi" w:cs="Arial"/>
                <w:bCs/>
                <w:sz w:val="22"/>
                <w:szCs w:val="22"/>
              </w:rPr>
              <w:t>2016.</w:t>
            </w:r>
          </w:p>
          <w:p w:rsidR="00A52AAC" w:rsidRPr="00F72F91" w:rsidRDefault="00A52AAC" w:rsidP="00A52AAC">
            <w:pPr>
              <w:spacing w:line="276" w:lineRule="auto"/>
              <w:jc w:val="both"/>
              <w:rPr>
                <w:rFonts w:asciiTheme="minorHAnsi" w:hAnsiTheme="minorHAnsi" w:cs="Arial"/>
                <w:bCs/>
                <w:sz w:val="22"/>
                <w:szCs w:val="22"/>
              </w:rPr>
            </w:pPr>
          </w:p>
          <w:p w:rsidR="00A52AAC" w:rsidRPr="00F72F91" w:rsidRDefault="00A52AAC" w:rsidP="002C0EB3">
            <w:pPr>
              <w:pStyle w:val="ListParagraph"/>
              <w:spacing w:line="276" w:lineRule="auto"/>
              <w:jc w:val="both"/>
              <w:rPr>
                <w:rFonts w:asciiTheme="minorHAnsi" w:hAnsiTheme="minorHAnsi" w:cs="Arial"/>
                <w:bCs/>
                <w:sz w:val="22"/>
                <w:szCs w:val="22"/>
              </w:rPr>
            </w:pPr>
            <w:r w:rsidRPr="00F72F91">
              <w:rPr>
                <w:rFonts w:asciiTheme="minorHAnsi" w:hAnsiTheme="minorHAnsi" w:cs="Arial"/>
                <w:bCs/>
                <w:sz w:val="22"/>
                <w:szCs w:val="22"/>
              </w:rPr>
              <w:t xml:space="preserve">Commissioners have been working closely with NL&amp;G since November </w:t>
            </w:r>
            <w:r w:rsidR="002C0EB3" w:rsidRPr="00F72F91">
              <w:rPr>
                <w:rFonts w:asciiTheme="minorHAnsi" w:hAnsiTheme="minorHAnsi" w:cs="Arial"/>
                <w:bCs/>
                <w:sz w:val="22"/>
                <w:szCs w:val="22"/>
              </w:rPr>
              <w:t>20</w:t>
            </w:r>
            <w:r w:rsidRPr="00F72F91">
              <w:rPr>
                <w:rFonts w:asciiTheme="minorHAnsi" w:hAnsiTheme="minorHAnsi" w:cs="Arial"/>
                <w:bCs/>
                <w:sz w:val="22"/>
                <w:szCs w:val="22"/>
              </w:rPr>
              <w:t xml:space="preserve">15 to negotiate and agree </w:t>
            </w:r>
            <w:r w:rsidR="00054514" w:rsidRPr="00F72F91">
              <w:rPr>
                <w:rFonts w:asciiTheme="minorHAnsi" w:hAnsiTheme="minorHAnsi" w:cs="Arial"/>
                <w:bCs/>
                <w:sz w:val="22"/>
                <w:szCs w:val="22"/>
              </w:rPr>
              <w:t xml:space="preserve">local </w:t>
            </w:r>
            <w:r w:rsidRPr="00F72F91">
              <w:rPr>
                <w:rFonts w:asciiTheme="minorHAnsi" w:hAnsiTheme="minorHAnsi" w:cs="Arial"/>
                <w:bCs/>
                <w:sz w:val="22"/>
                <w:szCs w:val="22"/>
              </w:rPr>
              <w:t xml:space="preserve">quality CQUINs for 2016/17. </w:t>
            </w:r>
            <w:r w:rsidR="002C0EB3" w:rsidRPr="00F72F91">
              <w:rPr>
                <w:rFonts w:asciiTheme="minorHAnsi" w:hAnsiTheme="minorHAnsi" w:cs="Arial"/>
                <w:bCs/>
                <w:sz w:val="22"/>
                <w:szCs w:val="22"/>
              </w:rPr>
              <w:t xml:space="preserve"> </w:t>
            </w:r>
            <w:r w:rsidRPr="00F72F91">
              <w:rPr>
                <w:rFonts w:asciiTheme="minorHAnsi" w:hAnsiTheme="minorHAnsi" w:cs="Arial"/>
                <w:bCs/>
                <w:sz w:val="22"/>
                <w:szCs w:val="22"/>
              </w:rPr>
              <w:t>Agreement has been reache</w:t>
            </w:r>
            <w:r w:rsidR="002C0EB3" w:rsidRPr="00F72F91">
              <w:rPr>
                <w:rFonts w:asciiTheme="minorHAnsi" w:hAnsiTheme="minorHAnsi" w:cs="Arial"/>
                <w:bCs/>
                <w:sz w:val="22"/>
                <w:szCs w:val="22"/>
              </w:rPr>
              <w:t xml:space="preserve">d between all 4 commissioners, </w:t>
            </w:r>
            <w:r w:rsidRPr="00F72F91">
              <w:rPr>
                <w:rFonts w:asciiTheme="minorHAnsi" w:hAnsiTheme="minorHAnsi" w:cs="Arial"/>
                <w:bCs/>
                <w:sz w:val="22"/>
                <w:szCs w:val="22"/>
              </w:rPr>
              <w:t>and the proposed local CQUINs are summarised below:</w:t>
            </w:r>
          </w:p>
          <w:p w:rsidR="002C0EB3" w:rsidRPr="00F72F91" w:rsidRDefault="002C0EB3" w:rsidP="00A52AAC">
            <w:pPr>
              <w:rPr>
                <w:rFonts w:ascii="Calibri" w:eastAsia="Calibri" w:hAnsi="Calibri"/>
                <w:color w:val="1F497D"/>
                <w:sz w:val="22"/>
                <w:szCs w:val="22"/>
                <w:lang w:eastAsia="en-US"/>
              </w:rPr>
            </w:pPr>
          </w:p>
          <w:tbl>
            <w:tblPr>
              <w:tblW w:w="0" w:type="auto"/>
              <w:tblInd w:w="699" w:type="dxa"/>
              <w:tblCellMar>
                <w:left w:w="0" w:type="dxa"/>
                <w:right w:w="0" w:type="dxa"/>
              </w:tblCellMar>
              <w:tblLook w:val="04A0" w:firstRow="1" w:lastRow="0" w:firstColumn="1" w:lastColumn="0" w:noHBand="0" w:noVBand="1"/>
            </w:tblPr>
            <w:tblGrid>
              <w:gridCol w:w="1851"/>
              <w:gridCol w:w="7115"/>
            </w:tblGrid>
            <w:tr w:rsidR="00A52AAC" w:rsidRPr="00F72F91" w:rsidTr="002C0EB3">
              <w:trPr>
                <w:trHeight w:val="455"/>
              </w:trPr>
              <w:tc>
                <w:tcPr>
                  <w:tcW w:w="1674"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A52AAC" w:rsidRPr="00F72F91" w:rsidRDefault="00A52AAC" w:rsidP="00332E64">
                  <w:pPr>
                    <w:rPr>
                      <w:rFonts w:ascii="Calibri" w:eastAsia="Calibri" w:hAnsi="Calibri"/>
                      <w:color w:val="1F497D"/>
                      <w:sz w:val="22"/>
                      <w:szCs w:val="22"/>
                      <w:lang w:eastAsia="en-US"/>
                    </w:rPr>
                  </w:pPr>
                  <w:r w:rsidRPr="00F72F91">
                    <w:rPr>
                      <w:rFonts w:ascii="Calibri" w:eastAsia="Calibri" w:hAnsi="Calibri"/>
                      <w:color w:val="1F497D"/>
                      <w:sz w:val="22"/>
                      <w:szCs w:val="22"/>
                      <w:lang w:eastAsia="en-US"/>
                    </w:rPr>
                    <w:t>CQUIN Title</w:t>
                  </w:r>
                </w:p>
              </w:tc>
              <w:tc>
                <w:tcPr>
                  <w:tcW w:w="7115"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rsidR="00A52AAC" w:rsidRPr="00F72F91" w:rsidRDefault="00A52AAC" w:rsidP="00332E64">
                  <w:pPr>
                    <w:rPr>
                      <w:rFonts w:ascii="Calibri" w:eastAsia="Calibri" w:hAnsi="Calibri"/>
                      <w:color w:val="1F497D"/>
                      <w:sz w:val="22"/>
                      <w:szCs w:val="22"/>
                      <w:lang w:eastAsia="en-US"/>
                    </w:rPr>
                  </w:pPr>
                  <w:r w:rsidRPr="00F72F91">
                    <w:rPr>
                      <w:rFonts w:ascii="Calibri" w:eastAsia="Calibri" w:hAnsi="Calibri"/>
                      <w:color w:val="1F497D"/>
                      <w:sz w:val="22"/>
                      <w:szCs w:val="22"/>
                      <w:lang w:eastAsia="en-US"/>
                    </w:rPr>
                    <w:t xml:space="preserve">Summary </w:t>
                  </w:r>
                </w:p>
                <w:p w:rsidR="00A52AAC" w:rsidRPr="00F72F91" w:rsidRDefault="00A52AAC" w:rsidP="00332E64">
                  <w:pPr>
                    <w:rPr>
                      <w:rFonts w:ascii="Calibri" w:eastAsia="Calibri" w:hAnsi="Calibri"/>
                      <w:color w:val="1F497D"/>
                      <w:sz w:val="22"/>
                      <w:szCs w:val="22"/>
                      <w:lang w:eastAsia="en-US"/>
                    </w:rPr>
                  </w:pPr>
                </w:p>
              </w:tc>
            </w:tr>
            <w:tr w:rsidR="00A52AAC" w:rsidRPr="00F72F91" w:rsidTr="002C0EB3">
              <w:trPr>
                <w:trHeight w:val="4395"/>
              </w:trPr>
              <w:tc>
                <w:tcPr>
                  <w:tcW w:w="16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2AAC" w:rsidRPr="00F72F91" w:rsidRDefault="00A52AAC" w:rsidP="006F6120">
                  <w:pPr>
                    <w:rPr>
                      <w:rFonts w:ascii="Calibri" w:eastAsia="Calibri" w:hAnsi="Calibri"/>
                      <w:sz w:val="22"/>
                      <w:szCs w:val="22"/>
                      <w:lang w:eastAsia="en-US"/>
                    </w:rPr>
                  </w:pPr>
                  <w:r w:rsidRPr="00F72F91">
                    <w:rPr>
                      <w:rFonts w:ascii="Calibri" w:eastAsia="Calibri" w:hAnsi="Calibri"/>
                      <w:sz w:val="22"/>
                      <w:szCs w:val="22"/>
                      <w:lang w:eastAsia="en-US"/>
                    </w:rPr>
                    <w:t>Adults at risk within hospital settings due to cognitive impairment or decline</w:t>
                  </w:r>
                </w:p>
              </w:tc>
              <w:tc>
                <w:tcPr>
                  <w:tcW w:w="7115" w:type="dxa"/>
                  <w:tcBorders>
                    <w:top w:val="nil"/>
                    <w:left w:val="nil"/>
                    <w:bottom w:val="single" w:sz="8" w:space="0" w:color="auto"/>
                    <w:right w:val="single" w:sz="8" w:space="0" w:color="auto"/>
                  </w:tcBorders>
                  <w:tcMar>
                    <w:top w:w="0" w:type="dxa"/>
                    <w:left w:w="108" w:type="dxa"/>
                    <w:bottom w:w="0" w:type="dxa"/>
                    <w:right w:w="108" w:type="dxa"/>
                  </w:tcMar>
                </w:tcPr>
                <w:p w:rsidR="00A52AAC" w:rsidRPr="00F72F91" w:rsidRDefault="00A52AAC" w:rsidP="006F6120">
                  <w:pPr>
                    <w:rPr>
                      <w:rFonts w:ascii="Calibri" w:eastAsia="Calibri" w:hAnsi="Calibri"/>
                      <w:sz w:val="22"/>
                      <w:szCs w:val="22"/>
                      <w:lang w:eastAsia="en-US"/>
                    </w:rPr>
                  </w:pPr>
                  <w:r w:rsidRPr="00F72F91">
                    <w:rPr>
                      <w:rFonts w:ascii="Calibri" w:eastAsia="Calibri" w:hAnsi="Calibri"/>
                      <w:sz w:val="22"/>
                      <w:szCs w:val="22"/>
                      <w:lang w:eastAsia="en-US"/>
                    </w:rPr>
                    <w:t xml:space="preserve">This indicator requires the Trust to undertake a comprehensive review of processes and practices in place in relation to the identification of adults at risk, across all Trust sites. </w:t>
                  </w:r>
                </w:p>
                <w:p w:rsidR="00A52AAC" w:rsidRPr="00F72F91" w:rsidRDefault="00A52AAC" w:rsidP="006F6120">
                  <w:pPr>
                    <w:rPr>
                      <w:rFonts w:ascii="Calibri" w:eastAsia="Calibri" w:hAnsi="Calibri"/>
                      <w:sz w:val="22"/>
                      <w:szCs w:val="22"/>
                      <w:lang w:eastAsia="en-US"/>
                    </w:rPr>
                  </w:pPr>
                  <w:r w:rsidRPr="00F72F91">
                    <w:rPr>
                      <w:rFonts w:ascii="Calibri" w:eastAsia="Calibri" w:hAnsi="Calibri"/>
                      <w:sz w:val="22"/>
                      <w:szCs w:val="22"/>
                      <w:lang w:eastAsia="en-US"/>
                    </w:rPr>
                    <w:t>These patients will be considered to be at risk due to their cognitive i</w:t>
                  </w:r>
                  <w:r w:rsidR="002C0EB3" w:rsidRPr="00F72F91">
                    <w:rPr>
                      <w:rFonts w:ascii="Calibri" w:eastAsia="Calibri" w:hAnsi="Calibri"/>
                      <w:sz w:val="22"/>
                      <w:szCs w:val="22"/>
                      <w:lang w:eastAsia="en-US"/>
                    </w:rPr>
                    <w:t>mpairment or decline (t</w:t>
                  </w:r>
                  <w:r w:rsidRPr="00F72F91">
                    <w:rPr>
                      <w:rFonts w:ascii="Calibri" w:eastAsia="Calibri" w:hAnsi="Calibri"/>
                      <w:sz w:val="22"/>
                      <w:szCs w:val="22"/>
                      <w:lang w:eastAsia="en-US"/>
                    </w:rPr>
                    <w:t>he loss of intellectual function), cognitive impairment to include patients with or who develop any of the following conditions:</w:t>
                  </w:r>
                </w:p>
                <w:p w:rsidR="002C0EB3" w:rsidRPr="00F72F91" w:rsidRDefault="00A52AAC" w:rsidP="006F6120">
                  <w:pPr>
                    <w:pStyle w:val="ListParagraph"/>
                    <w:numPr>
                      <w:ilvl w:val="0"/>
                      <w:numId w:val="7"/>
                    </w:numPr>
                    <w:rPr>
                      <w:rFonts w:ascii="Calibri" w:eastAsia="Calibri" w:hAnsi="Calibri"/>
                      <w:sz w:val="22"/>
                      <w:szCs w:val="22"/>
                      <w:lang w:eastAsia="en-US"/>
                    </w:rPr>
                  </w:pPr>
                  <w:r w:rsidRPr="00F72F91">
                    <w:rPr>
                      <w:rFonts w:ascii="Calibri" w:eastAsia="Calibri" w:hAnsi="Calibri"/>
                      <w:sz w:val="22"/>
                      <w:szCs w:val="22"/>
                      <w:lang w:eastAsia="en-US"/>
                    </w:rPr>
                    <w:t xml:space="preserve">dementia </w:t>
                  </w:r>
                </w:p>
                <w:p w:rsidR="00A52AAC" w:rsidRPr="00F72F91" w:rsidRDefault="00A52AAC" w:rsidP="006F6120">
                  <w:pPr>
                    <w:pStyle w:val="ListParagraph"/>
                    <w:numPr>
                      <w:ilvl w:val="0"/>
                      <w:numId w:val="7"/>
                    </w:numPr>
                    <w:rPr>
                      <w:rFonts w:ascii="Calibri" w:eastAsia="Calibri" w:hAnsi="Calibri"/>
                      <w:sz w:val="22"/>
                      <w:szCs w:val="22"/>
                      <w:lang w:eastAsia="en-US"/>
                    </w:rPr>
                  </w:pPr>
                  <w:r w:rsidRPr="00F72F91">
                    <w:rPr>
                      <w:rFonts w:ascii="Calibri" w:eastAsia="Calibri" w:hAnsi="Calibri"/>
                      <w:sz w:val="22"/>
                      <w:szCs w:val="22"/>
                      <w:lang w:eastAsia="en-US"/>
                    </w:rPr>
                    <w:t xml:space="preserve">delirium </w:t>
                  </w:r>
                </w:p>
                <w:p w:rsidR="00A52AAC" w:rsidRPr="00F72F91" w:rsidRDefault="002C0EB3" w:rsidP="006F6120">
                  <w:pPr>
                    <w:pStyle w:val="ListParagraph"/>
                    <w:numPr>
                      <w:ilvl w:val="0"/>
                      <w:numId w:val="7"/>
                    </w:numPr>
                    <w:rPr>
                      <w:rFonts w:ascii="Calibri" w:eastAsia="Calibri" w:hAnsi="Calibri"/>
                      <w:sz w:val="22"/>
                      <w:szCs w:val="22"/>
                      <w:lang w:eastAsia="en-US"/>
                    </w:rPr>
                  </w:pPr>
                  <w:r w:rsidRPr="00F72F91">
                    <w:rPr>
                      <w:rFonts w:ascii="Calibri" w:eastAsia="Calibri" w:hAnsi="Calibri"/>
                      <w:sz w:val="22"/>
                      <w:szCs w:val="22"/>
                      <w:lang w:eastAsia="en-US"/>
                    </w:rPr>
                    <w:t>learning disability</w:t>
                  </w:r>
                </w:p>
                <w:p w:rsidR="00A52AAC" w:rsidRPr="00F72F91" w:rsidRDefault="00A52AAC" w:rsidP="006F6120">
                  <w:pPr>
                    <w:pStyle w:val="ListParagraph"/>
                    <w:numPr>
                      <w:ilvl w:val="0"/>
                      <w:numId w:val="7"/>
                    </w:numPr>
                    <w:rPr>
                      <w:rFonts w:ascii="Calibri" w:eastAsia="Calibri" w:hAnsi="Calibri"/>
                      <w:sz w:val="22"/>
                      <w:szCs w:val="22"/>
                      <w:lang w:eastAsia="en-US"/>
                    </w:rPr>
                  </w:pPr>
                  <w:r w:rsidRPr="00F72F91">
                    <w:rPr>
                      <w:rFonts w:ascii="Calibri" w:eastAsia="Calibri" w:hAnsi="Calibri"/>
                      <w:sz w:val="22"/>
                      <w:szCs w:val="22"/>
                      <w:lang w:eastAsia="en-US"/>
                    </w:rPr>
                    <w:t>neurolo</w:t>
                  </w:r>
                  <w:r w:rsidR="002C0EB3" w:rsidRPr="00F72F91">
                    <w:rPr>
                      <w:rFonts w:ascii="Calibri" w:eastAsia="Calibri" w:hAnsi="Calibri"/>
                      <w:sz w:val="22"/>
                      <w:szCs w:val="22"/>
                      <w:lang w:eastAsia="en-US"/>
                    </w:rPr>
                    <w:t>gical condition</w:t>
                  </w:r>
                </w:p>
                <w:p w:rsidR="00A52AAC" w:rsidRPr="00F72F91" w:rsidRDefault="00A52AAC" w:rsidP="006F6120">
                  <w:pPr>
                    <w:pStyle w:val="ListParagraph"/>
                    <w:numPr>
                      <w:ilvl w:val="0"/>
                      <w:numId w:val="7"/>
                    </w:numPr>
                    <w:rPr>
                      <w:rFonts w:ascii="Calibri" w:eastAsia="Calibri" w:hAnsi="Calibri"/>
                      <w:sz w:val="22"/>
                      <w:szCs w:val="22"/>
                      <w:lang w:eastAsia="en-US"/>
                    </w:rPr>
                  </w:pPr>
                  <w:r w:rsidRPr="00F72F91">
                    <w:rPr>
                      <w:rFonts w:ascii="Calibri" w:eastAsia="Calibri" w:hAnsi="Calibri"/>
                      <w:sz w:val="22"/>
                      <w:szCs w:val="22"/>
                      <w:lang w:eastAsia="en-US"/>
                    </w:rPr>
                    <w:t>acquired brain injury</w:t>
                  </w:r>
                </w:p>
                <w:p w:rsidR="00A52AAC" w:rsidRPr="00F72F91" w:rsidRDefault="00A52AAC" w:rsidP="006F6120">
                  <w:pPr>
                    <w:pStyle w:val="ListParagraph"/>
                    <w:numPr>
                      <w:ilvl w:val="0"/>
                      <w:numId w:val="7"/>
                    </w:numPr>
                    <w:rPr>
                      <w:rFonts w:ascii="Calibri" w:eastAsia="Calibri" w:hAnsi="Calibri"/>
                      <w:sz w:val="22"/>
                      <w:szCs w:val="22"/>
                      <w:lang w:eastAsia="en-US"/>
                    </w:rPr>
                  </w:pPr>
                  <w:r w:rsidRPr="00F72F91">
                    <w:rPr>
                      <w:rFonts w:ascii="Calibri" w:eastAsia="Calibri" w:hAnsi="Calibri"/>
                      <w:sz w:val="22"/>
                      <w:szCs w:val="22"/>
                      <w:lang w:eastAsia="en-US"/>
                    </w:rPr>
                    <w:t>impairment</w:t>
                  </w:r>
                  <w:r w:rsidR="002C0EB3" w:rsidRPr="00F72F91">
                    <w:rPr>
                      <w:rFonts w:ascii="Calibri" w:eastAsia="Calibri" w:hAnsi="Calibri"/>
                      <w:sz w:val="22"/>
                      <w:szCs w:val="22"/>
                      <w:lang w:eastAsia="en-US"/>
                    </w:rPr>
                    <w:t xml:space="preserve"> due to substance/alcohol abuse</w:t>
                  </w:r>
                </w:p>
                <w:p w:rsidR="00A52AAC" w:rsidRPr="00F72F91" w:rsidRDefault="00A52AAC" w:rsidP="006F6120">
                  <w:pPr>
                    <w:rPr>
                      <w:rFonts w:ascii="Calibri" w:eastAsia="Calibri" w:hAnsi="Calibri"/>
                      <w:sz w:val="22"/>
                      <w:szCs w:val="22"/>
                      <w:lang w:eastAsia="en-US"/>
                    </w:rPr>
                  </w:pPr>
                  <w:r w:rsidRPr="00F72F91">
                    <w:rPr>
                      <w:rFonts w:ascii="Calibri" w:eastAsia="Calibri" w:hAnsi="Calibri"/>
                      <w:sz w:val="22"/>
                      <w:szCs w:val="22"/>
                      <w:lang w:eastAsia="en-US"/>
                    </w:rPr>
                    <w:t>The review will focus on action taken by the Trust to identify, promote/disseminate and improve good practice in respect of the care, support and overall clinical management provided to this vulnerable client group.</w:t>
                  </w:r>
                </w:p>
                <w:p w:rsidR="002C0EB3" w:rsidRPr="00F72F91" w:rsidRDefault="002C0EB3" w:rsidP="006F6120">
                  <w:pPr>
                    <w:rPr>
                      <w:rFonts w:ascii="Calibri" w:eastAsia="Calibri" w:hAnsi="Calibri"/>
                      <w:sz w:val="22"/>
                      <w:szCs w:val="22"/>
                      <w:lang w:eastAsia="en-US"/>
                    </w:rPr>
                  </w:pPr>
                </w:p>
              </w:tc>
            </w:tr>
            <w:tr w:rsidR="00A52AAC" w:rsidRPr="00F72F91" w:rsidTr="005875AF">
              <w:trPr>
                <w:trHeight w:val="782"/>
              </w:trPr>
              <w:tc>
                <w:tcPr>
                  <w:tcW w:w="16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EB3" w:rsidRPr="00F72F91" w:rsidRDefault="00A52AAC" w:rsidP="006F6120">
                  <w:pPr>
                    <w:rPr>
                      <w:rFonts w:ascii="Calibri" w:eastAsia="Calibri" w:hAnsi="Calibri"/>
                      <w:sz w:val="22"/>
                      <w:szCs w:val="22"/>
                      <w:lang w:eastAsia="en-US"/>
                    </w:rPr>
                  </w:pPr>
                  <w:r w:rsidRPr="00F72F91">
                    <w:rPr>
                      <w:rFonts w:ascii="Calibri" w:eastAsia="Calibri" w:hAnsi="Calibri"/>
                      <w:sz w:val="22"/>
                      <w:szCs w:val="22"/>
                      <w:lang w:eastAsia="en-US"/>
                    </w:rPr>
                    <w:t>Chronic Obstructive Pulmonary Disease (COPD) Care Bundle (Specifically the discharge element)</w:t>
                  </w:r>
                </w:p>
              </w:tc>
              <w:tc>
                <w:tcPr>
                  <w:tcW w:w="7115" w:type="dxa"/>
                  <w:tcBorders>
                    <w:top w:val="nil"/>
                    <w:left w:val="nil"/>
                    <w:bottom w:val="single" w:sz="8" w:space="0" w:color="auto"/>
                    <w:right w:val="single" w:sz="8" w:space="0" w:color="auto"/>
                  </w:tcBorders>
                  <w:tcMar>
                    <w:top w:w="0" w:type="dxa"/>
                    <w:left w:w="108" w:type="dxa"/>
                    <w:bottom w:w="0" w:type="dxa"/>
                    <w:right w:w="108" w:type="dxa"/>
                  </w:tcMar>
                </w:tcPr>
                <w:p w:rsidR="00A52AAC" w:rsidRPr="00F72F91" w:rsidRDefault="00A52AAC" w:rsidP="006F6120">
                  <w:pPr>
                    <w:rPr>
                      <w:rFonts w:ascii="Calibri" w:eastAsia="Calibri" w:hAnsi="Calibri"/>
                      <w:sz w:val="22"/>
                      <w:szCs w:val="22"/>
                      <w:lang w:eastAsia="en-US"/>
                    </w:rPr>
                  </w:pPr>
                  <w:r w:rsidRPr="00F72F91">
                    <w:rPr>
                      <w:rFonts w:ascii="Calibri" w:eastAsia="Calibri" w:hAnsi="Calibri"/>
                      <w:sz w:val="22"/>
                      <w:szCs w:val="22"/>
                      <w:lang w:eastAsia="en-US"/>
                    </w:rPr>
                    <w:t>Inclusion: All patients discharged from hospital after admission for acute exacerbation of COPD.</w:t>
                  </w:r>
                </w:p>
                <w:p w:rsidR="00A52AAC" w:rsidRPr="00F72F91" w:rsidRDefault="00A52AAC" w:rsidP="006F6120">
                  <w:pPr>
                    <w:rPr>
                      <w:rFonts w:ascii="Calibri" w:eastAsia="Calibri" w:hAnsi="Calibri"/>
                      <w:sz w:val="22"/>
                      <w:szCs w:val="22"/>
                      <w:lang w:eastAsia="en-US"/>
                    </w:rPr>
                  </w:pPr>
                  <w:r w:rsidRPr="00F72F91">
                    <w:rPr>
                      <w:rFonts w:ascii="Calibri" w:eastAsia="Calibri" w:hAnsi="Calibri"/>
                      <w:sz w:val="22"/>
                      <w:szCs w:val="22"/>
                      <w:lang w:eastAsia="en-US"/>
                    </w:rPr>
                    <w:t>This indicator has been proposed in order to support effective implementation of the British Thoracic COPD care bundle, specifically</w:t>
                  </w:r>
                  <w:r w:rsidR="006F6120" w:rsidRPr="00F72F91">
                    <w:rPr>
                      <w:rFonts w:ascii="Calibri" w:eastAsia="Calibri" w:hAnsi="Calibri"/>
                      <w:sz w:val="22"/>
                      <w:szCs w:val="22"/>
                      <w:lang w:eastAsia="en-US"/>
                    </w:rPr>
                    <w:t xml:space="preserve"> the patient discharge element.</w:t>
                  </w:r>
                </w:p>
                <w:p w:rsidR="00A52AAC" w:rsidRPr="00F72F91" w:rsidRDefault="00A52AAC" w:rsidP="006F6120">
                  <w:pPr>
                    <w:rPr>
                      <w:rFonts w:ascii="Calibri" w:eastAsia="Calibri" w:hAnsi="Calibri"/>
                      <w:sz w:val="22"/>
                      <w:szCs w:val="22"/>
                      <w:lang w:eastAsia="en-US"/>
                    </w:rPr>
                  </w:pPr>
                </w:p>
              </w:tc>
            </w:tr>
            <w:tr w:rsidR="00A52AAC" w:rsidRPr="00F72F91" w:rsidTr="002C0EB3">
              <w:trPr>
                <w:trHeight w:val="4632"/>
              </w:trPr>
              <w:tc>
                <w:tcPr>
                  <w:tcW w:w="16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2AAC" w:rsidRPr="00F72F91" w:rsidRDefault="00A52AAC" w:rsidP="00332E64">
                  <w:pPr>
                    <w:rPr>
                      <w:rFonts w:ascii="Calibri" w:eastAsia="Calibri" w:hAnsi="Calibri"/>
                      <w:sz w:val="22"/>
                      <w:szCs w:val="22"/>
                      <w:lang w:eastAsia="en-US"/>
                    </w:rPr>
                  </w:pPr>
                  <w:r w:rsidRPr="00F72F91">
                    <w:rPr>
                      <w:rFonts w:ascii="Calibri" w:eastAsia="Calibri" w:hAnsi="Calibri"/>
                      <w:sz w:val="22"/>
                      <w:szCs w:val="22"/>
                      <w:lang w:eastAsia="en-US"/>
                    </w:rPr>
                    <w:t>Dementia and Delirium CQUIN: discharge summary and follow on recommendations</w:t>
                  </w:r>
                </w:p>
              </w:tc>
              <w:tc>
                <w:tcPr>
                  <w:tcW w:w="7115" w:type="dxa"/>
                  <w:tcBorders>
                    <w:top w:val="nil"/>
                    <w:left w:val="nil"/>
                    <w:bottom w:val="single" w:sz="8" w:space="0" w:color="auto"/>
                    <w:right w:val="single" w:sz="8" w:space="0" w:color="auto"/>
                  </w:tcBorders>
                  <w:tcMar>
                    <w:top w:w="0" w:type="dxa"/>
                    <w:left w:w="108" w:type="dxa"/>
                    <w:bottom w:w="0" w:type="dxa"/>
                    <w:right w:w="108" w:type="dxa"/>
                  </w:tcMar>
                </w:tcPr>
                <w:p w:rsidR="00A52AAC" w:rsidRPr="00F72F91" w:rsidRDefault="00A52AAC" w:rsidP="006F6120">
                  <w:pPr>
                    <w:rPr>
                      <w:rFonts w:ascii="Calibri" w:eastAsia="Calibri" w:hAnsi="Calibri"/>
                      <w:sz w:val="22"/>
                      <w:szCs w:val="22"/>
                      <w:lang w:eastAsia="en-US"/>
                    </w:rPr>
                  </w:pPr>
                  <w:r w:rsidRPr="00F72F91">
                    <w:rPr>
                      <w:rFonts w:ascii="Calibri" w:eastAsia="Calibri" w:hAnsi="Calibri"/>
                      <w:sz w:val="22"/>
                      <w:szCs w:val="22"/>
                      <w:lang w:eastAsia="en-US"/>
                    </w:rPr>
                    <w:t>The overall aim of this CQUIN indicator is to demonstrate partnership working between the Acute Trust and mental health providers, specifically focusing on the effectiveness and the efficiencies th</w:t>
                  </w:r>
                  <w:r w:rsidR="002C0EB3" w:rsidRPr="00F72F91">
                    <w:rPr>
                      <w:rFonts w:ascii="Calibri" w:eastAsia="Calibri" w:hAnsi="Calibri"/>
                      <w:sz w:val="22"/>
                      <w:szCs w:val="22"/>
                      <w:lang w:eastAsia="en-US"/>
                    </w:rPr>
                    <w:t>at these partnerships have on</w:t>
                  </w:r>
                  <w:r w:rsidR="005633D4" w:rsidRPr="00F72F91">
                    <w:rPr>
                      <w:rFonts w:ascii="Calibri" w:eastAsia="Calibri" w:hAnsi="Calibri"/>
                      <w:sz w:val="22"/>
                      <w:szCs w:val="22"/>
                      <w:lang w:eastAsia="en-US"/>
                    </w:rPr>
                    <w:t xml:space="preserve"> care.</w:t>
                  </w:r>
                </w:p>
                <w:p w:rsidR="00A52AAC" w:rsidRPr="00F72F91" w:rsidRDefault="00A52AAC" w:rsidP="006F6120">
                  <w:pPr>
                    <w:rPr>
                      <w:rFonts w:ascii="Calibri" w:eastAsia="Calibri" w:hAnsi="Calibri"/>
                      <w:sz w:val="22"/>
                      <w:szCs w:val="22"/>
                      <w:lang w:eastAsia="en-US"/>
                    </w:rPr>
                  </w:pPr>
                  <w:r w:rsidRPr="00F72F91">
                    <w:rPr>
                      <w:rFonts w:ascii="Calibri" w:eastAsia="Calibri" w:hAnsi="Calibri"/>
                      <w:sz w:val="22"/>
                      <w:szCs w:val="22"/>
                      <w:lang w:eastAsia="en-US"/>
                    </w:rPr>
                    <w:t>In North East Lincolnshire, this partner</w:t>
                  </w:r>
                  <w:r w:rsidR="002C0EB3" w:rsidRPr="00F72F91">
                    <w:rPr>
                      <w:rFonts w:ascii="Calibri" w:eastAsia="Calibri" w:hAnsi="Calibri"/>
                      <w:sz w:val="22"/>
                      <w:szCs w:val="22"/>
                      <w:lang w:eastAsia="en-US"/>
                    </w:rPr>
                    <w:t>ship specifically relates NAViGO</w:t>
                  </w:r>
                  <w:r w:rsidRPr="00F72F91">
                    <w:rPr>
                      <w:rFonts w:ascii="Calibri" w:eastAsia="Calibri" w:hAnsi="Calibri"/>
                      <w:sz w:val="22"/>
                      <w:szCs w:val="22"/>
                      <w:lang w:eastAsia="en-US"/>
                    </w:rPr>
                    <w:t xml:space="preserve"> with particular reference to the effectiveness of the Home from Home service at Di</w:t>
                  </w:r>
                  <w:r w:rsidR="005633D4" w:rsidRPr="00F72F91">
                    <w:rPr>
                      <w:rFonts w:ascii="Calibri" w:eastAsia="Calibri" w:hAnsi="Calibri"/>
                      <w:sz w:val="22"/>
                      <w:szCs w:val="22"/>
                      <w:lang w:eastAsia="en-US"/>
                    </w:rPr>
                    <w:t>ana Princess of Wales Hospital.</w:t>
                  </w:r>
                </w:p>
                <w:p w:rsidR="00A52AAC" w:rsidRPr="00F72F91" w:rsidRDefault="00A52AAC" w:rsidP="006F6120">
                  <w:pPr>
                    <w:rPr>
                      <w:rFonts w:ascii="Calibri" w:eastAsia="Calibri" w:hAnsi="Calibri"/>
                      <w:sz w:val="22"/>
                      <w:szCs w:val="22"/>
                      <w:lang w:eastAsia="en-US"/>
                    </w:rPr>
                  </w:pPr>
                  <w:r w:rsidRPr="00F72F91">
                    <w:rPr>
                      <w:rFonts w:ascii="Calibri" w:eastAsia="Calibri" w:hAnsi="Calibri"/>
                      <w:sz w:val="22"/>
                      <w:szCs w:val="22"/>
                      <w:lang w:eastAsia="en-US"/>
                    </w:rPr>
                    <w:t>In North Lincolnshire, this CQUIN indicator will relate to the partnership between NL&amp;G FT</w:t>
                  </w:r>
                  <w:r w:rsidR="005633D4" w:rsidRPr="00F72F91">
                    <w:rPr>
                      <w:rFonts w:ascii="Calibri" w:eastAsia="Calibri" w:hAnsi="Calibri"/>
                      <w:sz w:val="22"/>
                      <w:szCs w:val="22"/>
                      <w:lang w:eastAsia="en-US"/>
                    </w:rPr>
                    <w:t xml:space="preserve"> and RDASH Mental Health Trust.</w:t>
                  </w:r>
                </w:p>
                <w:p w:rsidR="00A52AAC" w:rsidRPr="00F72F91" w:rsidRDefault="00A52AAC" w:rsidP="006F6120">
                  <w:pPr>
                    <w:rPr>
                      <w:rFonts w:ascii="Calibri" w:eastAsia="Calibri" w:hAnsi="Calibri"/>
                      <w:sz w:val="22"/>
                      <w:szCs w:val="22"/>
                      <w:lang w:eastAsia="en-US"/>
                    </w:rPr>
                  </w:pPr>
                  <w:r w:rsidRPr="00F72F91">
                    <w:rPr>
                      <w:rFonts w:ascii="Calibri" w:eastAsia="Calibri" w:hAnsi="Calibri"/>
                      <w:sz w:val="22"/>
                      <w:szCs w:val="22"/>
                      <w:lang w:eastAsia="en-US"/>
                    </w:rPr>
                    <w:t>NL&amp;G FT is also required to demonstrate effective partnership working with mental health providers in the Lincolnshire East area and the</w:t>
                  </w:r>
                  <w:r w:rsidR="005633D4" w:rsidRPr="00F72F91">
                    <w:rPr>
                      <w:rFonts w:ascii="Calibri" w:eastAsia="Calibri" w:hAnsi="Calibri"/>
                      <w:sz w:val="22"/>
                      <w:szCs w:val="22"/>
                      <w:lang w:eastAsia="en-US"/>
                    </w:rPr>
                    <w:t xml:space="preserve"> East Riding of Yorkshire area.</w:t>
                  </w:r>
                </w:p>
                <w:p w:rsidR="00A52AAC" w:rsidRPr="00F72F91" w:rsidRDefault="00A52AAC" w:rsidP="006F6120">
                  <w:pPr>
                    <w:rPr>
                      <w:rFonts w:ascii="Calibri" w:eastAsia="Calibri" w:hAnsi="Calibri"/>
                      <w:sz w:val="22"/>
                      <w:szCs w:val="22"/>
                      <w:lang w:eastAsia="en-US"/>
                    </w:rPr>
                  </w:pPr>
                  <w:r w:rsidRPr="00F72F91">
                    <w:rPr>
                      <w:rFonts w:ascii="Calibri" w:eastAsia="Calibri" w:hAnsi="Calibri"/>
                      <w:sz w:val="22"/>
                      <w:szCs w:val="22"/>
                      <w:lang w:eastAsia="en-US"/>
                    </w:rPr>
                    <w:t>The proportion of patients aged 65 and over, following an episode of care with a length of stay over 72 hours, who have been identified with dementia or delirium, and who have a discharge summary including follow up recommendations that is shared with the patient’s GP</w:t>
                  </w:r>
                  <w:r w:rsidR="002C0EB3" w:rsidRPr="00F72F91">
                    <w:rPr>
                      <w:rFonts w:ascii="Calibri" w:eastAsia="Calibri" w:hAnsi="Calibri"/>
                      <w:sz w:val="22"/>
                      <w:szCs w:val="22"/>
                      <w:lang w:eastAsia="en-US"/>
                    </w:rPr>
                    <w:t>.</w:t>
                  </w:r>
                </w:p>
              </w:tc>
            </w:tr>
          </w:tbl>
          <w:p w:rsidR="00A52AAC" w:rsidRPr="00F72F91" w:rsidRDefault="00A52AAC" w:rsidP="00A52AAC">
            <w:pPr>
              <w:rPr>
                <w:rFonts w:ascii="Calibri" w:eastAsia="Calibri" w:hAnsi="Calibri"/>
                <w:sz w:val="22"/>
                <w:szCs w:val="22"/>
              </w:rPr>
            </w:pPr>
          </w:p>
          <w:p w:rsidR="00A52AAC" w:rsidRPr="00F72F91" w:rsidRDefault="00A52AAC" w:rsidP="002E0A15">
            <w:pPr>
              <w:pStyle w:val="ListParagraph"/>
              <w:rPr>
                <w:rFonts w:asciiTheme="minorHAnsi" w:hAnsiTheme="minorHAnsi" w:cs="Arial"/>
                <w:bCs/>
                <w:sz w:val="22"/>
                <w:szCs w:val="22"/>
              </w:rPr>
            </w:pPr>
            <w:r w:rsidRPr="00F72F91">
              <w:rPr>
                <w:rFonts w:asciiTheme="minorHAnsi" w:hAnsiTheme="minorHAnsi" w:cs="Arial"/>
                <w:bCs/>
                <w:sz w:val="22"/>
                <w:szCs w:val="22"/>
              </w:rPr>
              <w:t>NL</w:t>
            </w:r>
            <w:r w:rsidR="002C0EB3" w:rsidRPr="00F72F91">
              <w:rPr>
                <w:rFonts w:asciiTheme="minorHAnsi" w:hAnsiTheme="minorHAnsi" w:cs="Arial"/>
                <w:bCs/>
                <w:sz w:val="22"/>
                <w:szCs w:val="22"/>
              </w:rPr>
              <w:t>&amp;</w:t>
            </w:r>
            <w:r w:rsidRPr="00F72F91">
              <w:rPr>
                <w:rFonts w:asciiTheme="minorHAnsi" w:hAnsiTheme="minorHAnsi" w:cs="Arial"/>
                <w:bCs/>
                <w:sz w:val="22"/>
                <w:szCs w:val="22"/>
              </w:rPr>
              <w:t xml:space="preserve">G and the Quality Team </w:t>
            </w:r>
            <w:r w:rsidR="00054514" w:rsidRPr="00F72F91">
              <w:rPr>
                <w:rFonts w:asciiTheme="minorHAnsi" w:hAnsiTheme="minorHAnsi" w:cs="Arial"/>
                <w:bCs/>
                <w:sz w:val="22"/>
                <w:szCs w:val="22"/>
              </w:rPr>
              <w:t xml:space="preserve">are now </w:t>
            </w:r>
            <w:r w:rsidRPr="00F72F91">
              <w:rPr>
                <w:rFonts w:asciiTheme="minorHAnsi" w:hAnsiTheme="minorHAnsi" w:cs="Arial"/>
                <w:bCs/>
                <w:sz w:val="22"/>
                <w:szCs w:val="22"/>
              </w:rPr>
              <w:t xml:space="preserve">working closely to negotiate the </w:t>
            </w:r>
            <w:r w:rsidR="00054514" w:rsidRPr="00F72F91">
              <w:rPr>
                <w:rFonts w:asciiTheme="minorHAnsi" w:hAnsiTheme="minorHAnsi" w:cs="Arial"/>
                <w:bCs/>
                <w:sz w:val="22"/>
                <w:szCs w:val="22"/>
              </w:rPr>
              <w:t xml:space="preserve">final versions and the </w:t>
            </w:r>
            <w:r w:rsidRPr="00F72F91">
              <w:rPr>
                <w:rFonts w:asciiTheme="minorHAnsi" w:hAnsiTheme="minorHAnsi" w:cs="Arial"/>
                <w:bCs/>
                <w:sz w:val="22"/>
                <w:szCs w:val="22"/>
              </w:rPr>
              <w:t>next steps</w:t>
            </w:r>
            <w:r w:rsidR="00054514" w:rsidRPr="00F72F91">
              <w:rPr>
                <w:rFonts w:asciiTheme="minorHAnsi" w:hAnsiTheme="minorHAnsi" w:cs="Arial"/>
                <w:bCs/>
                <w:sz w:val="22"/>
                <w:szCs w:val="22"/>
              </w:rPr>
              <w:t xml:space="preserve">. </w:t>
            </w:r>
            <w:r w:rsidRPr="00F72F91">
              <w:rPr>
                <w:rFonts w:asciiTheme="minorHAnsi" w:hAnsiTheme="minorHAnsi" w:cs="Arial"/>
                <w:bCs/>
                <w:sz w:val="22"/>
                <w:szCs w:val="22"/>
              </w:rPr>
              <w:t>The final versions agreed can be shared at the next board.</w:t>
            </w:r>
          </w:p>
          <w:p w:rsidR="00A52AAC" w:rsidRPr="00F72F91" w:rsidRDefault="00A52AAC" w:rsidP="00A52AAC">
            <w:pPr>
              <w:rPr>
                <w:rFonts w:asciiTheme="minorHAnsi" w:hAnsiTheme="minorHAnsi" w:cs="Arial"/>
                <w:bCs/>
                <w:sz w:val="22"/>
                <w:szCs w:val="22"/>
              </w:rPr>
            </w:pPr>
          </w:p>
          <w:p w:rsidR="00A52AAC" w:rsidRPr="00F72F91" w:rsidRDefault="00A52AAC" w:rsidP="002E0A15">
            <w:pPr>
              <w:pStyle w:val="ListParagraph"/>
              <w:rPr>
                <w:rFonts w:asciiTheme="minorHAnsi" w:hAnsiTheme="minorHAnsi" w:cs="Arial"/>
                <w:bCs/>
                <w:sz w:val="22"/>
                <w:szCs w:val="22"/>
              </w:rPr>
            </w:pPr>
            <w:r w:rsidRPr="00F72F91">
              <w:rPr>
                <w:rFonts w:asciiTheme="minorHAnsi" w:hAnsiTheme="minorHAnsi" w:cs="Arial"/>
                <w:bCs/>
                <w:sz w:val="22"/>
                <w:szCs w:val="22"/>
              </w:rPr>
              <w:t>We intend developing a new process for the development of CQUINs commencing in the autumn 2016 and this will be shared and approved by the Quality Committee.</w:t>
            </w:r>
          </w:p>
          <w:p w:rsidR="006A74AF" w:rsidRPr="00F72F91" w:rsidRDefault="006A74AF" w:rsidP="00585083">
            <w:pPr>
              <w:jc w:val="both"/>
              <w:rPr>
                <w:rFonts w:asciiTheme="minorHAnsi" w:hAnsiTheme="minorHAnsi" w:cs="Arial"/>
                <w:bCs/>
                <w:sz w:val="22"/>
                <w:szCs w:val="22"/>
              </w:rPr>
            </w:pPr>
          </w:p>
          <w:p w:rsidR="002E0A15" w:rsidRPr="00F72F91" w:rsidRDefault="008F721F" w:rsidP="00C31229">
            <w:pPr>
              <w:pStyle w:val="ListParagraph"/>
              <w:numPr>
                <w:ilvl w:val="0"/>
                <w:numId w:val="4"/>
              </w:numPr>
              <w:spacing w:line="276" w:lineRule="auto"/>
              <w:jc w:val="both"/>
              <w:rPr>
                <w:rFonts w:asciiTheme="minorHAnsi" w:hAnsiTheme="minorHAnsi" w:cs="Arial"/>
                <w:bCs/>
                <w:sz w:val="22"/>
                <w:szCs w:val="22"/>
              </w:rPr>
            </w:pPr>
            <w:r>
              <w:rPr>
                <w:rFonts w:asciiTheme="minorHAnsi" w:hAnsiTheme="minorHAnsi" w:cs="Arial"/>
                <w:b/>
                <w:bCs/>
                <w:sz w:val="22"/>
                <w:szCs w:val="22"/>
              </w:rPr>
              <w:t>Summary</w:t>
            </w:r>
            <w:r w:rsidR="002E0A15" w:rsidRPr="00F72F91">
              <w:rPr>
                <w:rFonts w:asciiTheme="minorHAnsi" w:hAnsiTheme="minorHAnsi" w:cs="Arial"/>
                <w:b/>
                <w:bCs/>
                <w:sz w:val="22"/>
                <w:szCs w:val="22"/>
              </w:rPr>
              <w:t xml:space="preserve"> Hospital</w:t>
            </w:r>
            <w:r>
              <w:rPr>
                <w:rFonts w:asciiTheme="minorHAnsi" w:hAnsiTheme="minorHAnsi" w:cs="Arial"/>
                <w:b/>
                <w:bCs/>
                <w:sz w:val="22"/>
                <w:szCs w:val="22"/>
              </w:rPr>
              <w:t>-level Mortality Indicator</w:t>
            </w:r>
            <w:r w:rsidR="002E0A15" w:rsidRPr="00F72F91">
              <w:rPr>
                <w:rFonts w:asciiTheme="minorHAnsi" w:hAnsiTheme="minorHAnsi" w:cs="Arial"/>
                <w:b/>
                <w:bCs/>
                <w:sz w:val="22"/>
                <w:szCs w:val="22"/>
              </w:rPr>
              <w:t xml:space="preserve"> (SHMI)</w:t>
            </w:r>
          </w:p>
          <w:p w:rsidR="008F721F" w:rsidRDefault="008F721F" w:rsidP="00054514">
            <w:pPr>
              <w:pStyle w:val="ListParagraph"/>
              <w:spacing w:line="276" w:lineRule="auto"/>
              <w:jc w:val="both"/>
              <w:rPr>
                <w:rFonts w:asciiTheme="minorHAnsi" w:hAnsiTheme="minorHAnsi" w:cs="Arial"/>
                <w:bCs/>
                <w:sz w:val="22"/>
                <w:szCs w:val="22"/>
              </w:rPr>
            </w:pPr>
            <w:r w:rsidRPr="00F72F91">
              <w:rPr>
                <w:rFonts w:asciiTheme="minorHAnsi" w:hAnsiTheme="minorHAnsi" w:cs="Arial"/>
                <w:bCs/>
                <w:sz w:val="22"/>
                <w:szCs w:val="22"/>
              </w:rPr>
              <w:t xml:space="preserve">SHMI measures deaths both in and out of hospital </w:t>
            </w:r>
            <w:r w:rsidRPr="008F721F">
              <w:rPr>
                <w:rFonts w:asciiTheme="minorHAnsi" w:hAnsiTheme="minorHAnsi" w:cs="Arial"/>
                <w:bCs/>
                <w:sz w:val="22"/>
                <w:szCs w:val="22"/>
              </w:rPr>
              <w:t>(deaths within 30 days of hospital discharge)</w:t>
            </w:r>
            <w:r>
              <w:rPr>
                <w:rFonts w:asciiTheme="minorHAnsi" w:hAnsiTheme="minorHAnsi" w:cs="Arial"/>
                <w:bCs/>
                <w:sz w:val="22"/>
                <w:szCs w:val="22"/>
              </w:rPr>
              <w:t xml:space="preserve"> </w:t>
            </w:r>
            <w:r w:rsidRPr="00F72F91">
              <w:rPr>
                <w:rFonts w:asciiTheme="minorHAnsi" w:hAnsiTheme="minorHAnsi" w:cs="Arial"/>
                <w:bCs/>
                <w:sz w:val="22"/>
                <w:szCs w:val="22"/>
              </w:rPr>
              <w:t>and reflects on all care provided to patients.</w:t>
            </w:r>
            <w:r>
              <w:rPr>
                <w:rFonts w:asciiTheme="minorHAnsi" w:hAnsiTheme="minorHAnsi" w:cs="Arial"/>
                <w:bCs/>
                <w:sz w:val="22"/>
                <w:szCs w:val="22"/>
              </w:rPr>
              <w:t xml:space="preserve"> </w:t>
            </w:r>
            <w:r w:rsidRPr="008F721F">
              <w:rPr>
                <w:rFonts w:asciiTheme="minorHAnsi" w:hAnsiTheme="minorHAnsi" w:cs="Arial"/>
                <w:bCs/>
                <w:sz w:val="22"/>
                <w:szCs w:val="22"/>
              </w:rPr>
              <w:t>Recent SHMI data showed that we have returned to the “as expected” range at 109.7, for the period of July 2014-June 2015, with the latest official SHMI release expected within March 2016 (for the period: Oct 14-Sept 15). Using an NLAG purchased indicator (HED from University Hospitals Birmingham) which provides a ‘provisional’ proxy of the ‘official’ SHMI, attempting to give an indication as to what</w:t>
            </w:r>
            <w:r>
              <w:rPr>
                <w:rFonts w:asciiTheme="minorHAnsi" w:hAnsiTheme="minorHAnsi" w:cs="Arial"/>
                <w:bCs/>
                <w:sz w:val="22"/>
                <w:szCs w:val="22"/>
              </w:rPr>
              <w:t xml:space="preserve"> the ‘official’ indicator will </w:t>
            </w:r>
            <w:r w:rsidRPr="008F721F">
              <w:rPr>
                <w:rFonts w:asciiTheme="minorHAnsi" w:hAnsiTheme="minorHAnsi" w:cs="Arial"/>
                <w:bCs/>
                <w:sz w:val="22"/>
                <w:szCs w:val="22"/>
              </w:rPr>
              <w:t>look like demonstrates that there has been an increase in out of hospital SHMI in NEL. This data is from the period November 14 to September 2015</w:t>
            </w:r>
          </w:p>
          <w:p w:rsidR="002E0A15" w:rsidRPr="00F72F91" w:rsidRDefault="002E0A15" w:rsidP="002E0A15">
            <w:pPr>
              <w:spacing w:line="276" w:lineRule="auto"/>
              <w:jc w:val="both"/>
              <w:rPr>
                <w:rFonts w:asciiTheme="minorHAnsi" w:hAnsiTheme="minorHAnsi" w:cs="Arial"/>
                <w:bCs/>
                <w:sz w:val="22"/>
                <w:szCs w:val="22"/>
              </w:rPr>
            </w:pPr>
          </w:p>
          <w:p w:rsidR="002E0A15" w:rsidRPr="00F72F91" w:rsidRDefault="002E0A15" w:rsidP="000D62C7">
            <w:pPr>
              <w:pStyle w:val="ListParagraph"/>
              <w:spacing w:line="276" w:lineRule="auto"/>
              <w:jc w:val="both"/>
              <w:rPr>
                <w:rFonts w:asciiTheme="minorHAnsi" w:hAnsiTheme="minorHAnsi" w:cs="Arial"/>
                <w:bCs/>
                <w:sz w:val="22"/>
                <w:szCs w:val="22"/>
              </w:rPr>
            </w:pPr>
            <w:r w:rsidRPr="00F72F91">
              <w:rPr>
                <w:noProof/>
              </w:rPr>
              <w:drawing>
                <wp:inline distT="0" distB="0" distL="0" distR="0" wp14:anchorId="07FAE8F5" wp14:editId="3FC7BC5F">
                  <wp:extent cx="3730625" cy="2084705"/>
                  <wp:effectExtent l="0" t="0" r="3175" b="0"/>
                  <wp:docPr id="6" name="Picture 6" descr="cid:image004.jpg@01D1748E.09DDB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1748E.09DDBD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730625" cy="2084705"/>
                          </a:xfrm>
                          <a:prstGeom prst="rect">
                            <a:avLst/>
                          </a:prstGeom>
                          <a:noFill/>
                          <a:ln>
                            <a:noFill/>
                          </a:ln>
                        </pic:spPr>
                      </pic:pic>
                    </a:graphicData>
                  </a:graphic>
                </wp:inline>
              </w:drawing>
            </w:r>
          </w:p>
          <w:p w:rsidR="002E0A15" w:rsidRPr="00F72F91" w:rsidRDefault="002E0A15" w:rsidP="002E0A15">
            <w:pPr>
              <w:spacing w:line="276" w:lineRule="auto"/>
              <w:jc w:val="both"/>
              <w:rPr>
                <w:rFonts w:asciiTheme="minorHAnsi" w:hAnsiTheme="minorHAnsi" w:cs="Arial"/>
                <w:bCs/>
                <w:sz w:val="22"/>
                <w:szCs w:val="22"/>
              </w:rPr>
            </w:pPr>
          </w:p>
          <w:p w:rsidR="002E0A15" w:rsidRPr="00F72F91" w:rsidRDefault="002E0A15" w:rsidP="000D62C7">
            <w:pPr>
              <w:pStyle w:val="ListParagraph"/>
              <w:spacing w:line="276" w:lineRule="auto"/>
              <w:jc w:val="both"/>
              <w:rPr>
                <w:rFonts w:asciiTheme="minorHAnsi" w:hAnsiTheme="minorHAnsi" w:cs="Arial"/>
                <w:bCs/>
                <w:sz w:val="22"/>
                <w:szCs w:val="22"/>
              </w:rPr>
            </w:pPr>
            <w:r w:rsidRPr="00F72F91">
              <w:rPr>
                <w:rFonts w:asciiTheme="minorHAnsi" w:hAnsiTheme="minorHAnsi" w:cs="Arial"/>
                <w:bCs/>
                <w:sz w:val="22"/>
                <w:szCs w:val="22"/>
              </w:rPr>
              <w:t xml:space="preserve">The NEL out of hospital increases (see chart above from the most recent NL&amp;G Mortality report) shows a huge drop in October.  We are working with NL&amp;G to better understand the data and NL&amp;G consider the October drop could be due to a number of scenarios: the number of out of hospital deaths for DPOW in the latest month (Oct-15) was low, or it could be because of delays in recording deaths, or could be that DPOW simply had lower out of hospital deaths that month. </w:t>
            </w:r>
            <w:r w:rsidR="005A0236" w:rsidRPr="00F72F91">
              <w:rPr>
                <w:rFonts w:asciiTheme="minorHAnsi" w:hAnsiTheme="minorHAnsi" w:cs="Arial"/>
                <w:bCs/>
                <w:sz w:val="22"/>
                <w:szCs w:val="22"/>
              </w:rPr>
              <w:t xml:space="preserve"> </w:t>
            </w:r>
            <w:r w:rsidRPr="00F72F91">
              <w:rPr>
                <w:rFonts w:asciiTheme="minorHAnsi" w:hAnsiTheme="minorHAnsi" w:cs="Arial"/>
                <w:bCs/>
                <w:sz w:val="22"/>
                <w:szCs w:val="22"/>
              </w:rPr>
              <w:t>We may see the number of deaths for Oct-15 go up in next month’s data refresh, which may result in a less dramatic line on the graph.</w:t>
            </w:r>
          </w:p>
          <w:p w:rsidR="002E0A15" w:rsidRPr="00F72F91" w:rsidRDefault="002E0A15" w:rsidP="002E0A15">
            <w:pPr>
              <w:spacing w:line="276" w:lineRule="auto"/>
              <w:jc w:val="both"/>
              <w:rPr>
                <w:rFonts w:asciiTheme="minorHAnsi" w:hAnsiTheme="minorHAnsi" w:cs="Arial"/>
                <w:bCs/>
                <w:sz w:val="22"/>
                <w:szCs w:val="22"/>
              </w:rPr>
            </w:pPr>
          </w:p>
          <w:p w:rsidR="002E0A15" w:rsidRPr="00F72F91" w:rsidRDefault="002E0A15" w:rsidP="007C626B">
            <w:pPr>
              <w:pStyle w:val="ListParagraph"/>
              <w:spacing w:line="276" w:lineRule="auto"/>
              <w:jc w:val="both"/>
              <w:rPr>
                <w:rFonts w:asciiTheme="minorHAnsi" w:hAnsiTheme="minorHAnsi" w:cs="Arial"/>
                <w:bCs/>
                <w:sz w:val="22"/>
                <w:szCs w:val="22"/>
              </w:rPr>
            </w:pPr>
            <w:r w:rsidRPr="00F72F91">
              <w:rPr>
                <w:rFonts w:asciiTheme="minorHAnsi" w:hAnsiTheme="minorHAnsi" w:cs="Arial"/>
                <w:bCs/>
                <w:sz w:val="22"/>
                <w:szCs w:val="22"/>
              </w:rPr>
              <w:t>The CCG is working closely with NL&amp;G towards developing one strategic approach, with a number of delivery plans for all partners from the same strategy.</w:t>
            </w:r>
            <w:r w:rsidR="005A0236" w:rsidRPr="00F72F91">
              <w:rPr>
                <w:rFonts w:asciiTheme="minorHAnsi" w:hAnsiTheme="minorHAnsi" w:cs="Arial"/>
                <w:bCs/>
                <w:sz w:val="22"/>
                <w:szCs w:val="22"/>
              </w:rPr>
              <w:t xml:space="preserve"> </w:t>
            </w:r>
            <w:r w:rsidRPr="00F72F91">
              <w:rPr>
                <w:rFonts w:asciiTheme="minorHAnsi" w:hAnsiTheme="minorHAnsi" w:cs="Arial"/>
                <w:bCs/>
                <w:sz w:val="22"/>
                <w:szCs w:val="22"/>
              </w:rPr>
              <w:t xml:space="preserve">NL&amp;G has </w:t>
            </w:r>
            <w:r w:rsidR="007C626B" w:rsidRPr="00F72F91">
              <w:rPr>
                <w:rFonts w:asciiTheme="minorHAnsi" w:hAnsiTheme="minorHAnsi" w:cs="Arial"/>
                <w:bCs/>
                <w:sz w:val="22"/>
                <w:szCs w:val="22"/>
              </w:rPr>
              <w:t xml:space="preserve">a number of </w:t>
            </w:r>
            <w:r w:rsidRPr="00F72F91">
              <w:rPr>
                <w:rFonts w:asciiTheme="minorHAnsi" w:hAnsiTheme="minorHAnsi" w:cs="Arial"/>
                <w:bCs/>
                <w:sz w:val="22"/>
                <w:szCs w:val="22"/>
              </w:rPr>
              <w:t xml:space="preserve">internal work streams which we are now proposing focus on the whole patient pathway and not just acute services. </w:t>
            </w:r>
            <w:r w:rsidR="005A0236" w:rsidRPr="00F72F91">
              <w:rPr>
                <w:rFonts w:asciiTheme="minorHAnsi" w:hAnsiTheme="minorHAnsi" w:cs="Arial"/>
                <w:bCs/>
                <w:sz w:val="22"/>
                <w:szCs w:val="22"/>
              </w:rPr>
              <w:t xml:space="preserve"> </w:t>
            </w:r>
            <w:r w:rsidRPr="00F72F91">
              <w:rPr>
                <w:rFonts w:asciiTheme="minorHAnsi" w:hAnsiTheme="minorHAnsi" w:cs="Arial"/>
                <w:bCs/>
                <w:sz w:val="22"/>
                <w:szCs w:val="22"/>
              </w:rPr>
              <w:t>These work streams are linked to the following specialties which are considered to be priority areas due to their high levels of crude mortality:</w:t>
            </w:r>
            <w:r w:rsidR="007C626B" w:rsidRPr="00F72F91">
              <w:rPr>
                <w:rFonts w:asciiTheme="minorHAnsi" w:hAnsiTheme="minorHAnsi" w:cs="Arial"/>
                <w:bCs/>
                <w:sz w:val="22"/>
                <w:szCs w:val="22"/>
              </w:rPr>
              <w:t xml:space="preserve"> </w:t>
            </w:r>
            <w:r w:rsidRPr="00F72F91">
              <w:rPr>
                <w:rFonts w:asciiTheme="minorHAnsi" w:hAnsiTheme="minorHAnsi" w:cs="Arial"/>
                <w:bCs/>
                <w:sz w:val="22"/>
                <w:szCs w:val="22"/>
              </w:rPr>
              <w:t>Respiratory</w:t>
            </w:r>
            <w:r w:rsidR="007C626B" w:rsidRPr="00F72F91">
              <w:rPr>
                <w:rFonts w:asciiTheme="minorHAnsi" w:hAnsiTheme="minorHAnsi" w:cs="Arial"/>
                <w:bCs/>
                <w:sz w:val="22"/>
                <w:szCs w:val="22"/>
              </w:rPr>
              <w:t xml:space="preserve">, </w:t>
            </w:r>
            <w:r w:rsidRPr="00F72F91">
              <w:rPr>
                <w:rFonts w:asciiTheme="minorHAnsi" w:hAnsiTheme="minorHAnsi" w:cs="Arial"/>
                <w:bCs/>
                <w:sz w:val="22"/>
                <w:szCs w:val="22"/>
              </w:rPr>
              <w:t>Cardiology</w:t>
            </w:r>
            <w:r w:rsidR="007C626B" w:rsidRPr="00F72F91">
              <w:rPr>
                <w:rFonts w:asciiTheme="minorHAnsi" w:hAnsiTheme="minorHAnsi" w:cs="Arial"/>
                <w:bCs/>
                <w:sz w:val="22"/>
                <w:szCs w:val="22"/>
              </w:rPr>
              <w:t xml:space="preserve">, </w:t>
            </w:r>
            <w:r w:rsidR="008F721F">
              <w:rPr>
                <w:rFonts w:asciiTheme="minorHAnsi" w:hAnsiTheme="minorHAnsi" w:cs="Arial"/>
                <w:bCs/>
                <w:sz w:val="22"/>
                <w:szCs w:val="22"/>
              </w:rPr>
              <w:t xml:space="preserve">deteriorating patients including </w:t>
            </w:r>
            <w:r w:rsidRPr="00F72F91">
              <w:rPr>
                <w:rFonts w:asciiTheme="minorHAnsi" w:hAnsiTheme="minorHAnsi" w:cs="Arial"/>
                <w:bCs/>
                <w:sz w:val="22"/>
                <w:szCs w:val="22"/>
              </w:rPr>
              <w:t>Sepsis</w:t>
            </w:r>
            <w:r w:rsidR="007C626B" w:rsidRPr="00F72F91">
              <w:rPr>
                <w:rFonts w:asciiTheme="minorHAnsi" w:hAnsiTheme="minorHAnsi" w:cs="Arial"/>
                <w:bCs/>
                <w:sz w:val="22"/>
                <w:szCs w:val="22"/>
              </w:rPr>
              <w:t xml:space="preserve">, </w:t>
            </w:r>
            <w:r w:rsidRPr="00F72F91">
              <w:rPr>
                <w:rFonts w:asciiTheme="minorHAnsi" w:hAnsiTheme="minorHAnsi" w:cs="Arial"/>
                <w:bCs/>
                <w:sz w:val="22"/>
                <w:szCs w:val="22"/>
              </w:rPr>
              <w:t>Gastroenterology</w:t>
            </w:r>
            <w:r w:rsidR="007C626B" w:rsidRPr="00F72F91">
              <w:rPr>
                <w:rFonts w:asciiTheme="minorHAnsi" w:hAnsiTheme="minorHAnsi" w:cs="Arial"/>
                <w:bCs/>
                <w:sz w:val="22"/>
                <w:szCs w:val="22"/>
              </w:rPr>
              <w:t xml:space="preserve">, </w:t>
            </w:r>
            <w:r w:rsidR="008F721F">
              <w:rPr>
                <w:rFonts w:asciiTheme="minorHAnsi" w:hAnsiTheme="minorHAnsi" w:cs="Arial"/>
                <w:bCs/>
                <w:sz w:val="22"/>
                <w:szCs w:val="22"/>
              </w:rPr>
              <w:t xml:space="preserve">End of Life </w:t>
            </w:r>
            <w:r w:rsidR="007C626B" w:rsidRPr="00F72F91">
              <w:rPr>
                <w:rFonts w:asciiTheme="minorHAnsi" w:hAnsiTheme="minorHAnsi" w:cs="Arial"/>
                <w:bCs/>
                <w:sz w:val="22"/>
                <w:szCs w:val="22"/>
              </w:rPr>
              <w:t xml:space="preserve">&amp; </w:t>
            </w:r>
            <w:r w:rsidRPr="00F72F91">
              <w:rPr>
                <w:rFonts w:asciiTheme="minorHAnsi" w:hAnsiTheme="minorHAnsi" w:cs="Arial"/>
                <w:bCs/>
                <w:sz w:val="22"/>
                <w:szCs w:val="22"/>
              </w:rPr>
              <w:t>Stroke</w:t>
            </w:r>
            <w:r w:rsidR="007C626B" w:rsidRPr="00F72F91">
              <w:rPr>
                <w:rFonts w:asciiTheme="minorHAnsi" w:hAnsiTheme="minorHAnsi" w:cs="Arial"/>
                <w:bCs/>
                <w:sz w:val="22"/>
                <w:szCs w:val="22"/>
              </w:rPr>
              <w:t>.</w:t>
            </w:r>
          </w:p>
          <w:p w:rsidR="002E0A15" w:rsidRPr="00F72F91" w:rsidRDefault="002E0A15" w:rsidP="002E0A15">
            <w:pPr>
              <w:spacing w:line="276" w:lineRule="auto"/>
              <w:jc w:val="both"/>
              <w:rPr>
                <w:rFonts w:asciiTheme="minorHAnsi" w:hAnsiTheme="minorHAnsi" w:cs="Arial"/>
                <w:bCs/>
                <w:sz w:val="22"/>
                <w:szCs w:val="22"/>
              </w:rPr>
            </w:pPr>
          </w:p>
          <w:p w:rsidR="002E0A15" w:rsidRPr="00F72F91" w:rsidRDefault="002E0A15" w:rsidP="000D62C7">
            <w:pPr>
              <w:pStyle w:val="ListParagraph"/>
              <w:spacing w:line="276" w:lineRule="auto"/>
              <w:jc w:val="both"/>
              <w:rPr>
                <w:rFonts w:asciiTheme="minorHAnsi" w:hAnsiTheme="minorHAnsi" w:cs="Arial"/>
                <w:bCs/>
                <w:sz w:val="22"/>
                <w:szCs w:val="22"/>
              </w:rPr>
            </w:pPr>
            <w:r w:rsidRPr="00F72F91">
              <w:rPr>
                <w:rFonts w:asciiTheme="minorHAnsi" w:hAnsiTheme="minorHAnsi" w:cs="Arial"/>
                <w:bCs/>
                <w:sz w:val="22"/>
                <w:szCs w:val="22"/>
              </w:rPr>
              <w:t xml:space="preserve">The CCG continues to hold its own Mortality Steering group who monitor delivery of the CCG’s contribution to any agreed plans and work streams, and in addition has its own actions. </w:t>
            </w:r>
            <w:r w:rsidR="005A0236" w:rsidRPr="00F72F91">
              <w:rPr>
                <w:rFonts w:asciiTheme="minorHAnsi" w:hAnsiTheme="minorHAnsi" w:cs="Arial"/>
                <w:bCs/>
                <w:sz w:val="22"/>
                <w:szCs w:val="22"/>
              </w:rPr>
              <w:t xml:space="preserve"> </w:t>
            </w:r>
            <w:r w:rsidRPr="00F72F91">
              <w:rPr>
                <w:rFonts w:asciiTheme="minorHAnsi" w:hAnsiTheme="minorHAnsi" w:cs="Arial"/>
                <w:bCs/>
                <w:sz w:val="22"/>
                <w:szCs w:val="22"/>
              </w:rPr>
              <w:t>This group has developed a dataset that will help to show the journey towards improving mortality rather than relying only on SHMI as the indicator of a change in mortality in NEL.</w:t>
            </w:r>
          </w:p>
          <w:p w:rsidR="002E0A15" w:rsidRPr="00F72F91" w:rsidRDefault="002E0A15" w:rsidP="002E0A15">
            <w:pPr>
              <w:spacing w:line="276" w:lineRule="auto"/>
              <w:jc w:val="both"/>
              <w:rPr>
                <w:rFonts w:asciiTheme="minorHAnsi" w:hAnsiTheme="minorHAnsi" w:cs="Arial"/>
                <w:bCs/>
                <w:sz w:val="22"/>
                <w:szCs w:val="22"/>
              </w:rPr>
            </w:pPr>
          </w:p>
          <w:p w:rsidR="002E0A15" w:rsidRPr="00F72F91" w:rsidRDefault="002E0A15" w:rsidP="000D62C7">
            <w:pPr>
              <w:pStyle w:val="ListParagraph"/>
              <w:spacing w:line="276" w:lineRule="auto"/>
              <w:jc w:val="both"/>
              <w:rPr>
                <w:rFonts w:asciiTheme="minorHAnsi" w:hAnsiTheme="minorHAnsi" w:cs="Arial"/>
                <w:bCs/>
                <w:sz w:val="22"/>
                <w:szCs w:val="22"/>
              </w:rPr>
            </w:pPr>
            <w:r w:rsidRPr="00F72F91">
              <w:rPr>
                <w:rFonts w:asciiTheme="minorHAnsi" w:hAnsiTheme="minorHAnsi" w:cs="Arial"/>
                <w:bCs/>
                <w:sz w:val="22"/>
                <w:szCs w:val="22"/>
              </w:rPr>
              <w:t xml:space="preserve">A recent education session delivered for primary care staff was jointly delivered by the CCG and NL&amp;G and focused on SHMI data and intelligence and seeking ways of improving patient pathways. </w:t>
            </w:r>
            <w:r w:rsidR="005A0236" w:rsidRPr="00F72F91">
              <w:rPr>
                <w:rFonts w:asciiTheme="minorHAnsi" w:hAnsiTheme="minorHAnsi" w:cs="Arial"/>
                <w:bCs/>
                <w:sz w:val="22"/>
                <w:szCs w:val="22"/>
              </w:rPr>
              <w:t xml:space="preserve"> </w:t>
            </w:r>
            <w:r w:rsidRPr="00F72F91">
              <w:rPr>
                <w:rFonts w:asciiTheme="minorHAnsi" w:hAnsiTheme="minorHAnsi" w:cs="Arial"/>
                <w:bCs/>
                <w:sz w:val="22"/>
                <w:szCs w:val="22"/>
              </w:rPr>
              <w:t>There are plans to hold a similar larger workshop in the summer for a wider audience of providers.</w:t>
            </w:r>
          </w:p>
          <w:p w:rsidR="002E0A15" w:rsidRPr="00F72F91" w:rsidRDefault="002E0A15" w:rsidP="002E0A15">
            <w:pPr>
              <w:spacing w:line="276" w:lineRule="auto"/>
              <w:jc w:val="both"/>
              <w:rPr>
                <w:rFonts w:asciiTheme="minorHAnsi" w:hAnsiTheme="minorHAnsi" w:cs="Arial"/>
                <w:bCs/>
                <w:sz w:val="22"/>
                <w:szCs w:val="22"/>
              </w:rPr>
            </w:pPr>
          </w:p>
          <w:p w:rsidR="000D62C7" w:rsidRPr="00F72F91" w:rsidRDefault="000D62C7" w:rsidP="00C31229">
            <w:pPr>
              <w:pStyle w:val="ListParagraph"/>
              <w:numPr>
                <w:ilvl w:val="0"/>
                <w:numId w:val="4"/>
              </w:numPr>
              <w:spacing w:line="276" w:lineRule="auto"/>
              <w:jc w:val="both"/>
              <w:rPr>
                <w:rFonts w:asciiTheme="minorHAnsi" w:hAnsiTheme="minorHAnsi" w:cs="Arial"/>
                <w:b/>
                <w:bCs/>
                <w:sz w:val="22"/>
                <w:szCs w:val="22"/>
              </w:rPr>
            </w:pPr>
            <w:r w:rsidRPr="00F72F91">
              <w:rPr>
                <w:rFonts w:asciiTheme="minorHAnsi" w:hAnsiTheme="minorHAnsi" w:cs="Arial"/>
                <w:b/>
                <w:bCs/>
                <w:sz w:val="22"/>
                <w:szCs w:val="22"/>
              </w:rPr>
              <w:t>Examples of Good Practice</w:t>
            </w:r>
          </w:p>
          <w:p w:rsidR="002E0A15" w:rsidRPr="00F72F91" w:rsidRDefault="002E0A15" w:rsidP="000D62C7">
            <w:pPr>
              <w:pStyle w:val="ListParagraph"/>
              <w:spacing w:line="276" w:lineRule="auto"/>
              <w:jc w:val="both"/>
              <w:rPr>
                <w:rFonts w:asciiTheme="minorHAnsi" w:hAnsiTheme="minorHAnsi" w:cs="Arial"/>
                <w:bCs/>
                <w:sz w:val="22"/>
                <w:szCs w:val="22"/>
              </w:rPr>
            </w:pPr>
            <w:r w:rsidRPr="00F72F91">
              <w:rPr>
                <w:rFonts w:asciiTheme="minorHAnsi" w:hAnsiTheme="minorHAnsi" w:cs="Arial"/>
                <w:bCs/>
                <w:sz w:val="22"/>
                <w:szCs w:val="22"/>
              </w:rPr>
              <w:t>NL</w:t>
            </w:r>
            <w:r w:rsidR="000D62C7" w:rsidRPr="00F72F91">
              <w:rPr>
                <w:rFonts w:asciiTheme="minorHAnsi" w:hAnsiTheme="minorHAnsi" w:cs="Arial"/>
                <w:bCs/>
                <w:sz w:val="22"/>
                <w:szCs w:val="22"/>
              </w:rPr>
              <w:t>&amp;</w:t>
            </w:r>
            <w:r w:rsidRPr="00F72F91">
              <w:rPr>
                <w:rFonts w:asciiTheme="minorHAnsi" w:hAnsiTheme="minorHAnsi" w:cs="Arial"/>
                <w:bCs/>
                <w:sz w:val="22"/>
                <w:szCs w:val="22"/>
              </w:rPr>
              <w:t>G Tissue Viability Nurses have developed a new toolkit to assist nursing and care staff to prevent and treat pressure ulcers called the PUG</w:t>
            </w:r>
            <w:r w:rsidR="008F721F">
              <w:rPr>
                <w:rFonts w:asciiTheme="minorHAnsi" w:hAnsiTheme="minorHAnsi" w:cs="Arial"/>
                <w:bCs/>
                <w:sz w:val="22"/>
                <w:szCs w:val="22"/>
              </w:rPr>
              <w:t>, and this has achieved national recognition</w:t>
            </w:r>
            <w:r w:rsidRPr="00F72F91">
              <w:rPr>
                <w:rFonts w:asciiTheme="minorHAnsi" w:hAnsiTheme="minorHAnsi" w:cs="Arial"/>
                <w:bCs/>
                <w:sz w:val="22"/>
                <w:szCs w:val="22"/>
              </w:rPr>
              <w:t>. The Trust have delivered training alongside providing nursing staff with access to a toolkit and are attributing the reduction in grades 3 and 4 pressure ulcers over the last 12 months to the impact of this p</w:t>
            </w:r>
            <w:r w:rsidR="000D62C7" w:rsidRPr="00F72F91">
              <w:rPr>
                <w:rFonts w:asciiTheme="minorHAnsi" w:hAnsiTheme="minorHAnsi" w:cs="Arial"/>
                <w:bCs/>
                <w:sz w:val="22"/>
                <w:szCs w:val="22"/>
              </w:rPr>
              <w:t>iece of work.</w:t>
            </w:r>
          </w:p>
          <w:p w:rsidR="002E0A15" w:rsidRPr="00F72F91" w:rsidRDefault="002E0A15" w:rsidP="002E0A15">
            <w:pPr>
              <w:spacing w:line="276" w:lineRule="auto"/>
              <w:jc w:val="both"/>
              <w:rPr>
                <w:rFonts w:asciiTheme="minorHAnsi" w:eastAsia="Calibri" w:hAnsiTheme="minorHAnsi" w:cs="Arial"/>
                <w:sz w:val="22"/>
                <w:szCs w:val="22"/>
                <w:lang w:eastAsia="en-US"/>
              </w:rPr>
            </w:pPr>
          </w:p>
          <w:p w:rsidR="000D62C7" w:rsidRPr="00F72F91" w:rsidRDefault="000D62C7" w:rsidP="000D62C7">
            <w:pPr>
              <w:spacing w:line="276" w:lineRule="auto"/>
              <w:jc w:val="both"/>
              <w:rPr>
                <w:rFonts w:asciiTheme="minorHAnsi" w:eastAsia="Calibri" w:hAnsiTheme="minorHAnsi" w:cs="Arial"/>
                <w:b/>
                <w:sz w:val="22"/>
                <w:szCs w:val="22"/>
                <w:lang w:eastAsia="en-US"/>
              </w:rPr>
            </w:pPr>
            <w:r w:rsidRPr="00F72F91">
              <w:rPr>
                <w:rFonts w:asciiTheme="minorHAnsi" w:eastAsia="Calibri" w:hAnsiTheme="minorHAnsi" w:cs="Arial"/>
                <w:b/>
                <w:sz w:val="22"/>
                <w:szCs w:val="22"/>
                <w:lang w:eastAsia="en-US"/>
              </w:rPr>
              <w:t>SECTION 2. PATIENT AND CLIENT SAFETY</w:t>
            </w:r>
          </w:p>
          <w:p w:rsidR="000D62C7" w:rsidRPr="00F72F91" w:rsidRDefault="000D62C7" w:rsidP="000D62C7">
            <w:pPr>
              <w:spacing w:line="276" w:lineRule="auto"/>
              <w:jc w:val="both"/>
              <w:rPr>
                <w:rFonts w:asciiTheme="minorHAnsi" w:hAnsiTheme="minorHAnsi" w:cs="Arial"/>
                <w:b/>
                <w:bCs/>
                <w:sz w:val="22"/>
                <w:szCs w:val="22"/>
                <w:u w:val="single"/>
              </w:rPr>
            </w:pPr>
          </w:p>
          <w:p w:rsidR="000D62C7" w:rsidRPr="00F72F91" w:rsidRDefault="000D62C7" w:rsidP="00C31229">
            <w:pPr>
              <w:pStyle w:val="ListParagraph"/>
              <w:numPr>
                <w:ilvl w:val="0"/>
                <w:numId w:val="9"/>
              </w:numPr>
              <w:spacing w:line="276" w:lineRule="auto"/>
              <w:jc w:val="both"/>
              <w:rPr>
                <w:rFonts w:asciiTheme="minorHAnsi" w:hAnsiTheme="minorHAnsi"/>
                <w:b/>
              </w:rPr>
            </w:pPr>
            <w:r w:rsidRPr="00F72F91">
              <w:rPr>
                <w:rFonts w:asciiTheme="minorHAnsi" w:hAnsiTheme="minorHAnsi" w:cs="Arial"/>
                <w:b/>
                <w:bCs/>
                <w:sz w:val="22"/>
                <w:szCs w:val="22"/>
              </w:rPr>
              <w:t>Safeguarding</w:t>
            </w:r>
          </w:p>
          <w:p w:rsidR="000D62C7" w:rsidRDefault="00282EB7" w:rsidP="00282EB7">
            <w:pPr>
              <w:pStyle w:val="ListParagraph"/>
              <w:jc w:val="both"/>
              <w:rPr>
                <w:rFonts w:asciiTheme="minorHAnsi" w:hAnsiTheme="minorHAnsi" w:cs="Arial"/>
                <w:sz w:val="22"/>
                <w:szCs w:val="22"/>
              </w:rPr>
            </w:pPr>
            <w:r w:rsidRPr="00F72F91">
              <w:rPr>
                <w:rFonts w:asciiTheme="minorHAnsi" w:hAnsiTheme="minorHAnsi"/>
              </w:rPr>
              <w:t>I</w:t>
            </w:r>
            <w:r w:rsidR="000D62C7" w:rsidRPr="00F72F91">
              <w:rPr>
                <w:rFonts w:asciiTheme="minorHAnsi" w:hAnsiTheme="minorHAnsi" w:cs="Arial"/>
                <w:sz w:val="22"/>
                <w:szCs w:val="22"/>
              </w:rPr>
              <w:t xml:space="preserve">n line with the Prevent Duty guidance, the Board will receive its training at the next Board workshop. </w:t>
            </w:r>
            <w:r w:rsidR="005A0236" w:rsidRPr="00F72F91">
              <w:rPr>
                <w:rFonts w:asciiTheme="minorHAnsi" w:hAnsiTheme="minorHAnsi" w:cs="Arial"/>
                <w:sz w:val="22"/>
                <w:szCs w:val="22"/>
              </w:rPr>
              <w:t xml:space="preserve"> </w:t>
            </w:r>
            <w:r w:rsidR="000D62C7" w:rsidRPr="00F72F91">
              <w:rPr>
                <w:rFonts w:asciiTheme="minorHAnsi" w:hAnsiTheme="minorHAnsi" w:cs="Arial"/>
                <w:sz w:val="22"/>
                <w:szCs w:val="22"/>
              </w:rPr>
              <w:t>Prevent training is creating a demand on our resources but the Safeguarding Designated Nurse is delivering it wit</w:t>
            </w:r>
            <w:r w:rsidRPr="00F72F91">
              <w:rPr>
                <w:rFonts w:asciiTheme="minorHAnsi" w:hAnsiTheme="minorHAnsi" w:cs="Arial"/>
                <w:sz w:val="22"/>
                <w:szCs w:val="22"/>
              </w:rPr>
              <w:t>h colleagues across the patch.</w:t>
            </w:r>
          </w:p>
          <w:p w:rsidR="00B10FD4" w:rsidRDefault="00B10FD4" w:rsidP="00282EB7">
            <w:pPr>
              <w:pStyle w:val="ListParagraph"/>
              <w:jc w:val="both"/>
              <w:rPr>
                <w:rFonts w:asciiTheme="minorHAnsi" w:hAnsiTheme="minorHAnsi" w:cs="Arial"/>
                <w:sz w:val="22"/>
                <w:szCs w:val="22"/>
              </w:rPr>
            </w:pPr>
          </w:p>
          <w:p w:rsidR="00B10FD4" w:rsidRPr="00B10FD4" w:rsidRDefault="00B10FD4" w:rsidP="00B10FD4">
            <w:pPr>
              <w:pStyle w:val="ListParagraph"/>
              <w:jc w:val="both"/>
              <w:rPr>
                <w:rFonts w:asciiTheme="minorHAnsi" w:hAnsiTheme="minorHAnsi" w:cs="Arial"/>
                <w:sz w:val="22"/>
                <w:szCs w:val="22"/>
              </w:rPr>
            </w:pPr>
            <w:r w:rsidRPr="00B10FD4">
              <w:rPr>
                <w:rFonts w:asciiTheme="minorHAnsi" w:hAnsiTheme="minorHAnsi" w:cs="Arial"/>
                <w:sz w:val="22"/>
                <w:szCs w:val="22"/>
              </w:rPr>
              <w:t xml:space="preserve">NHS England </w:t>
            </w:r>
            <w:r>
              <w:rPr>
                <w:rFonts w:asciiTheme="minorHAnsi" w:hAnsiTheme="minorHAnsi" w:cs="Arial"/>
                <w:sz w:val="22"/>
                <w:szCs w:val="22"/>
              </w:rPr>
              <w:t xml:space="preserve">provided a </w:t>
            </w:r>
            <w:r w:rsidRPr="00B10FD4">
              <w:rPr>
                <w:rFonts w:asciiTheme="minorHAnsi" w:hAnsiTheme="minorHAnsi" w:cs="Arial"/>
                <w:sz w:val="22"/>
                <w:szCs w:val="22"/>
              </w:rPr>
              <w:t>briefing on</w:t>
            </w:r>
            <w:r>
              <w:rPr>
                <w:rFonts w:asciiTheme="minorHAnsi" w:hAnsiTheme="minorHAnsi" w:cs="Arial"/>
                <w:sz w:val="22"/>
                <w:szCs w:val="22"/>
              </w:rPr>
              <w:t xml:space="preserve"> the</w:t>
            </w:r>
            <w:r w:rsidRPr="00B10FD4">
              <w:rPr>
                <w:rFonts w:asciiTheme="minorHAnsi" w:hAnsiTheme="minorHAnsi" w:cs="Arial"/>
                <w:sz w:val="22"/>
                <w:szCs w:val="22"/>
              </w:rPr>
              <w:t xml:space="preserve"> Goddard</w:t>
            </w:r>
            <w:r>
              <w:rPr>
                <w:rFonts w:asciiTheme="minorHAnsi" w:hAnsiTheme="minorHAnsi" w:cs="Arial"/>
                <w:sz w:val="22"/>
                <w:szCs w:val="22"/>
              </w:rPr>
              <w:t xml:space="preserve"> Enquiry and the </w:t>
            </w:r>
            <w:r w:rsidRPr="00B10FD4">
              <w:rPr>
                <w:rFonts w:asciiTheme="minorHAnsi" w:hAnsiTheme="minorHAnsi" w:cs="Arial"/>
                <w:sz w:val="22"/>
                <w:szCs w:val="22"/>
              </w:rPr>
              <w:t>Myles Bradbury (</w:t>
            </w:r>
            <w:proofErr w:type="spellStart"/>
            <w:r w:rsidRPr="00B10FD4">
              <w:rPr>
                <w:rFonts w:asciiTheme="minorHAnsi" w:hAnsiTheme="minorHAnsi" w:cs="Arial"/>
                <w:sz w:val="22"/>
                <w:szCs w:val="22"/>
              </w:rPr>
              <w:t>Addenbrookes</w:t>
            </w:r>
            <w:proofErr w:type="spellEnd"/>
            <w:r w:rsidRPr="00B10FD4">
              <w:rPr>
                <w:rFonts w:asciiTheme="minorHAnsi" w:hAnsiTheme="minorHAnsi" w:cs="Arial"/>
                <w:sz w:val="22"/>
                <w:szCs w:val="22"/>
              </w:rPr>
              <w:t>’ Paediatric Haematology Consultant) case.</w:t>
            </w:r>
            <w:r>
              <w:rPr>
                <w:rFonts w:asciiTheme="minorHAnsi" w:hAnsiTheme="minorHAnsi" w:cs="Arial"/>
                <w:sz w:val="22"/>
                <w:szCs w:val="22"/>
              </w:rPr>
              <w:t xml:space="preserve"> The Designated Nurse for Safeguarding Children attended the briefing and will produce a report for the Quality Committee and relevant partnership boards. T</w:t>
            </w:r>
            <w:r w:rsidRPr="00B10FD4">
              <w:rPr>
                <w:rFonts w:asciiTheme="minorHAnsi" w:hAnsiTheme="minorHAnsi" w:cs="Arial"/>
                <w:sz w:val="22"/>
                <w:szCs w:val="22"/>
              </w:rPr>
              <w:t xml:space="preserve">here is an expectation from NHSE that all NHS governing bodies will </w:t>
            </w:r>
            <w:r>
              <w:rPr>
                <w:rFonts w:asciiTheme="minorHAnsi" w:hAnsiTheme="minorHAnsi" w:cs="Arial"/>
                <w:sz w:val="22"/>
                <w:szCs w:val="22"/>
              </w:rPr>
              <w:t xml:space="preserve">receive </w:t>
            </w:r>
            <w:r w:rsidRPr="00B10FD4">
              <w:rPr>
                <w:rFonts w:asciiTheme="minorHAnsi" w:hAnsiTheme="minorHAnsi" w:cs="Arial"/>
                <w:sz w:val="22"/>
                <w:szCs w:val="22"/>
              </w:rPr>
              <w:t xml:space="preserve">a briefing (and discussion) on the implications of the Goddard enquiry, </w:t>
            </w:r>
            <w:r>
              <w:rPr>
                <w:rFonts w:asciiTheme="minorHAnsi" w:hAnsiTheme="minorHAnsi" w:cs="Arial"/>
                <w:sz w:val="22"/>
                <w:szCs w:val="22"/>
              </w:rPr>
              <w:t>and it is therefore proposed that t</w:t>
            </w:r>
            <w:r w:rsidRPr="00B10FD4">
              <w:rPr>
                <w:rFonts w:asciiTheme="minorHAnsi" w:hAnsiTheme="minorHAnsi" w:cs="Arial"/>
                <w:sz w:val="22"/>
                <w:szCs w:val="22"/>
              </w:rPr>
              <w:t xml:space="preserve">his </w:t>
            </w:r>
            <w:r>
              <w:rPr>
                <w:rFonts w:asciiTheme="minorHAnsi" w:hAnsiTheme="minorHAnsi" w:cs="Arial"/>
                <w:sz w:val="22"/>
                <w:szCs w:val="22"/>
              </w:rPr>
              <w:t xml:space="preserve">is included </w:t>
            </w:r>
            <w:r w:rsidRPr="00B10FD4">
              <w:rPr>
                <w:rFonts w:asciiTheme="minorHAnsi" w:hAnsiTheme="minorHAnsi" w:cs="Arial"/>
                <w:sz w:val="22"/>
                <w:szCs w:val="22"/>
              </w:rPr>
              <w:t xml:space="preserve">as part of the </w:t>
            </w:r>
            <w:r>
              <w:rPr>
                <w:rFonts w:asciiTheme="minorHAnsi" w:hAnsiTheme="minorHAnsi" w:cs="Arial"/>
                <w:sz w:val="22"/>
                <w:szCs w:val="22"/>
              </w:rPr>
              <w:t xml:space="preserve">already planned safeguarding annual update to the </w:t>
            </w:r>
            <w:r w:rsidRPr="00B10FD4">
              <w:rPr>
                <w:rFonts w:asciiTheme="minorHAnsi" w:hAnsiTheme="minorHAnsi" w:cs="Arial"/>
                <w:sz w:val="22"/>
                <w:szCs w:val="22"/>
              </w:rPr>
              <w:t>Partnership Board workshop in June.</w:t>
            </w:r>
          </w:p>
          <w:p w:rsidR="007C626B" w:rsidRPr="00F72F91" w:rsidRDefault="007C626B" w:rsidP="00282EB7">
            <w:pPr>
              <w:pStyle w:val="ListParagraph"/>
              <w:jc w:val="both"/>
              <w:rPr>
                <w:rFonts w:asciiTheme="minorHAnsi" w:hAnsiTheme="minorHAnsi" w:cs="Arial"/>
                <w:sz w:val="22"/>
                <w:szCs w:val="22"/>
              </w:rPr>
            </w:pPr>
          </w:p>
          <w:p w:rsidR="007C626B" w:rsidRPr="00F72F91" w:rsidRDefault="007C626B" w:rsidP="00282EB7">
            <w:pPr>
              <w:pStyle w:val="ListParagraph"/>
              <w:jc w:val="both"/>
              <w:rPr>
                <w:rFonts w:asciiTheme="minorHAnsi" w:hAnsiTheme="minorHAnsi" w:cs="Arial"/>
                <w:sz w:val="22"/>
                <w:szCs w:val="22"/>
              </w:rPr>
            </w:pPr>
            <w:r w:rsidRPr="00F72F91">
              <w:rPr>
                <w:rFonts w:asciiTheme="minorHAnsi" w:hAnsiTheme="minorHAnsi" w:cs="Arial"/>
                <w:sz w:val="22"/>
                <w:szCs w:val="22"/>
              </w:rPr>
              <w:t xml:space="preserve">The 2 Designated Nurses are working on a new dashboard for reporting to both the Quality Committee and the CCG Partnership Board and will be agreed by the Quality Committee. </w:t>
            </w:r>
          </w:p>
          <w:p w:rsidR="000D62C7" w:rsidRPr="00F72F91" w:rsidRDefault="000D62C7" w:rsidP="000D62C7">
            <w:pPr>
              <w:rPr>
                <w:rFonts w:asciiTheme="minorHAnsi" w:hAnsiTheme="minorHAnsi" w:cs="Arial"/>
                <w:sz w:val="22"/>
                <w:szCs w:val="22"/>
              </w:rPr>
            </w:pPr>
          </w:p>
          <w:p w:rsidR="00746637" w:rsidRPr="00F72F91" w:rsidRDefault="00282EB7" w:rsidP="00746637">
            <w:pPr>
              <w:pStyle w:val="ListParagraph"/>
              <w:numPr>
                <w:ilvl w:val="0"/>
                <w:numId w:val="9"/>
              </w:numPr>
              <w:spacing w:line="276" w:lineRule="auto"/>
              <w:jc w:val="both"/>
              <w:rPr>
                <w:rFonts w:asciiTheme="minorHAnsi" w:hAnsiTheme="minorHAnsi" w:cs="Arial"/>
                <w:b/>
                <w:bCs/>
                <w:sz w:val="22"/>
                <w:szCs w:val="22"/>
              </w:rPr>
            </w:pPr>
            <w:r w:rsidRPr="00F72F91">
              <w:rPr>
                <w:rFonts w:asciiTheme="minorHAnsi" w:hAnsiTheme="minorHAnsi" w:cs="Arial"/>
                <w:b/>
                <w:bCs/>
                <w:sz w:val="22"/>
                <w:szCs w:val="22"/>
              </w:rPr>
              <w:t>Infection Control</w:t>
            </w:r>
          </w:p>
          <w:p w:rsidR="000D62C7" w:rsidRPr="00F72F91" w:rsidRDefault="000D62C7" w:rsidP="00282EB7">
            <w:pPr>
              <w:pStyle w:val="ListParagraph"/>
              <w:spacing w:line="276" w:lineRule="auto"/>
              <w:jc w:val="both"/>
              <w:rPr>
                <w:rFonts w:asciiTheme="minorHAnsi" w:hAnsiTheme="minorHAnsi" w:cs="Arial"/>
                <w:b/>
                <w:bCs/>
                <w:sz w:val="22"/>
                <w:szCs w:val="22"/>
                <w:u w:val="single"/>
              </w:rPr>
            </w:pPr>
            <w:r w:rsidRPr="00F72F91">
              <w:rPr>
                <w:rFonts w:asciiTheme="minorHAnsi" w:hAnsiTheme="minorHAnsi" w:cs="Arial"/>
                <w:bCs/>
                <w:sz w:val="22"/>
                <w:szCs w:val="22"/>
                <w:u w:val="single"/>
              </w:rPr>
              <w:t>Clostridium Difficile</w:t>
            </w:r>
          </w:p>
          <w:p w:rsidR="000D62C7" w:rsidRPr="00F72F91" w:rsidRDefault="00746637" w:rsidP="00282EB7">
            <w:pPr>
              <w:pStyle w:val="ListParagraph"/>
              <w:spacing w:line="276" w:lineRule="auto"/>
              <w:jc w:val="both"/>
              <w:rPr>
                <w:rFonts w:asciiTheme="minorHAnsi" w:hAnsiTheme="minorHAnsi" w:cs="Arial"/>
                <w:bCs/>
                <w:sz w:val="22"/>
                <w:szCs w:val="22"/>
              </w:rPr>
            </w:pPr>
            <w:r w:rsidRPr="00F72F91">
              <w:rPr>
                <w:rFonts w:asciiTheme="minorHAnsi" w:hAnsiTheme="minorHAnsi" w:cs="Arial"/>
                <w:bCs/>
                <w:sz w:val="22"/>
                <w:szCs w:val="22"/>
              </w:rPr>
              <w:t>A total of 30</w:t>
            </w:r>
            <w:r w:rsidR="000D62C7" w:rsidRPr="00F72F91">
              <w:rPr>
                <w:rFonts w:asciiTheme="minorHAnsi" w:hAnsiTheme="minorHAnsi" w:cs="Arial"/>
                <w:bCs/>
                <w:sz w:val="22"/>
                <w:szCs w:val="22"/>
              </w:rPr>
              <w:t xml:space="preserve"> cases have occurred</w:t>
            </w:r>
            <w:r w:rsidRPr="00F72F91">
              <w:rPr>
                <w:rFonts w:asciiTheme="minorHAnsi" w:hAnsiTheme="minorHAnsi" w:cs="Arial"/>
                <w:bCs/>
                <w:sz w:val="22"/>
                <w:szCs w:val="22"/>
              </w:rPr>
              <w:t xml:space="preserve"> to date</w:t>
            </w:r>
            <w:r w:rsidR="000D62C7" w:rsidRPr="00F72F91">
              <w:rPr>
                <w:rFonts w:asciiTheme="minorHAnsi" w:hAnsiTheme="minorHAnsi" w:cs="Arial"/>
                <w:bCs/>
                <w:sz w:val="22"/>
                <w:szCs w:val="22"/>
              </w:rPr>
              <w:t xml:space="preserve"> in the period April</w:t>
            </w:r>
            <w:r w:rsidR="00282EB7" w:rsidRPr="00F72F91">
              <w:rPr>
                <w:rFonts w:asciiTheme="minorHAnsi" w:hAnsiTheme="minorHAnsi" w:cs="Arial"/>
                <w:bCs/>
                <w:sz w:val="22"/>
                <w:szCs w:val="22"/>
              </w:rPr>
              <w:t xml:space="preserve"> 2015 to </w:t>
            </w:r>
            <w:r w:rsidRPr="00F72F91">
              <w:rPr>
                <w:rFonts w:asciiTheme="minorHAnsi" w:hAnsiTheme="minorHAnsi" w:cs="Arial"/>
                <w:bCs/>
                <w:sz w:val="22"/>
                <w:szCs w:val="22"/>
              </w:rPr>
              <w:t xml:space="preserve">February </w:t>
            </w:r>
            <w:r w:rsidR="00282EB7" w:rsidRPr="00F72F91">
              <w:rPr>
                <w:rFonts w:asciiTheme="minorHAnsi" w:hAnsiTheme="minorHAnsi" w:cs="Arial"/>
                <w:bCs/>
                <w:sz w:val="22"/>
                <w:szCs w:val="22"/>
              </w:rPr>
              <w:t>20</w:t>
            </w:r>
            <w:r w:rsidR="000D62C7" w:rsidRPr="00F72F91">
              <w:rPr>
                <w:rFonts w:asciiTheme="minorHAnsi" w:hAnsiTheme="minorHAnsi" w:cs="Arial"/>
                <w:bCs/>
                <w:sz w:val="22"/>
                <w:szCs w:val="22"/>
              </w:rPr>
              <w:t xml:space="preserve">16 against the annual 2015/16 target of 35, on current trend the forecast position would be 32. </w:t>
            </w:r>
            <w:r w:rsidR="00282EB7" w:rsidRPr="00F72F91">
              <w:rPr>
                <w:rFonts w:asciiTheme="minorHAnsi" w:hAnsiTheme="minorHAnsi" w:cs="Arial"/>
                <w:bCs/>
                <w:sz w:val="22"/>
                <w:szCs w:val="22"/>
              </w:rPr>
              <w:t xml:space="preserve"> </w:t>
            </w:r>
            <w:r w:rsidRPr="00F72F91">
              <w:rPr>
                <w:rFonts w:asciiTheme="minorHAnsi" w:hAnsiTheme="minorHAnsi" w:cs="Arial"/>
                <w:bCs/>
                <w:sz w:val="22"/>
                <w:szCs w:val="22"/>
              </w:rPr>
              <w:t>Of the 30 cases, 18</w:t>
            </w:r>
            <w:r w:rsidR="000D62C7" w:rsidRPr="00F72F91">
              <w:rPr>
                <w:rFonts w:asciiTheme="minorHAnsi" w:hAnsiTheme="minorHAnsi" w:cs="Arial"/>
                <w:bCs/>
                <w:sz w:val="22"/>
                <w:szCs w:val="22"/>
              </w:rPr>
              <w:t xml:space="preserve"> were Community acquired infections</w:t>
            </w:r>
            <w:r w:rsidRPr="00F72F91">
              <w:rPr>
                <w:rFonts w:asciiTheme="minorHAnsi" w:hAnsiTheme="minorHAnsi" w:cs="Arial"/>
                <w:bCs/>
                <w:sz w:val="22"/>
                <w:szCs w:val="22"/>
              </w:rPr>
              <w:t xml:space="preserve"> and the other 12</w:t>
            </w:r>
            <w:r w:rsidR="000D62C7" w:rsidRPr="00F72F91">
              <w:rPr>
                <w:rFonts w:asciiTheme="minorHAnsi" w:hAnsiTheme="minorHAnsi" w:cs="Arial"/>
                <w:bCs/>
                <w:sz w:val="22"/>
                <w:szCs w:val="22"/>
              </w:rPr>
              <w:t xml:space="preserve"> were Acute.</w:t>
            </w:r>
            <w:r w:rsidR="008F721F">
              <w:rPr>
                <w:rFonts w:asciiTheme="minorHAnsi" w:hAnsiTheme="minorHAnsi" w:cs="Arial"/>
                <w:bCs/>
                <w:sz w:val="22"/>
                <w:szCs w:val="22"/>
              </w:rPr>
              <w:t xml:space="preserve"> </w:t>
            </w:r>
          </w:p>
          <w:p w:rsidR="000D62C7" w:rsidRPr="00F72F91" w:rsidRDefault="000D62C7" w:rsidP="000D62C7">
            <w:pPr>
              <w:spacing w:line="276" w:lineRule="auto"/>
              <w:jc w:val="both"/>
              <w:rPr>
                <w:rFonts w:asciiTheme="minorHAnsi" w:hAnsiTheme="minorHAnsi" w:cs="Arial"/>
                <w:bCs/>
                <w:sz w:val="22"/>
                <w:szCs w:val="22"/>
              </w:rPr>
            </w:pPr>
          </w:p>
          <w:p w:rsidR="000D62C7" w:rsidRPr="00F72F91" w:rsidRDefault="000D62C7" w:rsidP="00282EB7">
            <w:pPr>
              <w:pStyle w:val="ListParagraph"/>
              <w:spacing w:line="276" w:lineRule="auto"/>
              <w:jc w:val="both"/>
              <w:rPr>
                <w:rFonts w:asciiTheme="minorHAnsi" w:hAnsiTheme="minorHAnsi" w:cs="Arial"/>
                <w:bCs/>
                <w:sz w:val="22"/>
                <w:szCs w:val="22"/>
              </w:rPr>
            </w:pPr>
            <w:r w:rsidRPr="00F72F91">
              <w:rPr>
                <w:rFonts w:asciiTheme="minorHAnsi" w:hAnsiTheme="minorHAnsi" w:cs="Arial"/>
                <w:bCs/>
                <w:sz w:val="22"/>
                <w:szCs w:val="22"/>
              </w:rPr>
              <w:t>Systems across both primary and secondary care are in place to undertake post infecti</w:t>
            </w:r>
            <w:r w:rsidR="00282EB7" w:rsidRPr="00F72F91">
              <w:rPr>
                <w:rFonts w:asciiTheme="minorHAnsi" w:hAnsiTheme="minorHAnsi" w:cs="Arial"/>
                <w:bCs/>
                <w:sz w:val="22"/>
                <w:szCs w:val="22"/>
              </w:rPr>
              <w:t xml:space="preserve">on reviews of all C Diff cases. </w:t>
            </w:r>
            <w:r w:rsidRPr="00F72F91">
              <w:rPr>
                <w:rFonts w:asciiTheme="minorHAnsi" w:hAnsiTheme="minorHAnsi" w:cs="Arial"/>
                <w:bCs/>
                <w:sz w:val="22"/>
                <w:szCs w:val="22"/>
              </w:rPr>
              <w:t xml:space="preserve"> We are continuing to monitor NL&amp;G action plans and Infection Control Policies in the Quality Contracting Committee and Yorks and Humber Hospital Ac</w:t>
            </w:r>
            <w:r w:rsidR="00282EB7" w:rsidRPr="00F72F91">
              <w:rPr>
                <w:rFonts w:asciiTheme="minorHAnsi" w:hAnsiTheme="minorHAnsi" w:cs="Arial"/>
                <w:bCs/>
                <w:sz w:val="22"/>
                <w:szCs w:val="22"/>
              </w:rPr>
              <w:t>quired Infection Strategy Group.</w:t>
            </w:r>
          </w:p>
          <w:p w:rsidR="000D62C7" w:rsidRPr="00F72F91" w:rsidRDefault="000D62C7" w:rsidP="000D62C7">
            <w:pPr>
              <w:spacing w:line="276" w:lineRule="auto"/>
              <w:jc w:val="both"/>
              <w:rPr>
                <w:rFonts w:asciiTheme="minorHAnsi" w:hAnsiTheme="minorHAnsi" w:cs="Arial"/>
                <w:bCs/>
                <w:sz w:val="22"/>
                <w:szCs w:val="22"/>
              </w:rPr>
            </w:pPr>
          </w:p>
          <w:p w:rsidR="00282EB7" w:rsidRPr="00F72F91" w:rsidRDefault="000D62C7" w:rsidP="00282EB7">
            <w:pPr>
              <w:pStyle w:val="ListParagraph"/>
              <w:spacing w:line="276" w:lineRule="auto"/>
              <w:jc w:val="both"/>
              <w:rPr>
                <w:rFonts w:asciiTheme="minorHAnsi" w:hAnsiTheme="minorHAnsi" w:cs="Arial"/>
                <w:bCs/>
                <w:sz w:val="22"/>
                <w:szCs w:val="22"/>
                <w:u w:val="single"/>
              </w:rPr>
            </w:pPr>
            <w:r w:rsidRPr="00F72F91">
              <w:rPr>
                <w:rFonts w:asciiTheme="minorHAnsi" w:hAnsiTheme="minorHAnsi" w:cs="Arial"/>
                <w:bCs/>
                <w:sz w:val="22"/>
                <w:szCs w:val="22"/>
                <w:u w:val="single"/>
              </w:rPr>
              <w:t>MRSA BSI</w:t>
            </w:r>
          </w:p>
          <w:p w:rsidR="000D62C7" w:rsidRPr="00F72F91" w:rsidRDefault="000D62C7" w:rsidP="00282EB7">
            <w:pPr>
              <w:pStyle w:val="ListParagraph"/>
              <w:spacing w:line="276" w:lineRule="auto"/>
              <w:jc w:val="both"/>
              <w:rPr>
                <w:rFonts w:asciiTheme="minorHAnsi" w:hAnsiTheme="minorHAnsi" w:cs="Arial"/>
                <w:bCs/>
                <w:sz w:val="22"/>
                <w:szCs w:val="22"/>
              </w:rPr>
            </w:pPr>
            <w:r w:rsidRPr="00F72F91">
              <w:rPr>
                <w:rFonts w:asciiTheme="minorHAnsi" w:hAnsiTheme="minorHAnsi" w:cs="Arial"/>
                <w:bCs/>
                <w:sz w:val="22"/>
                <w:szCs w:val="22"/>
              </w:rPr>
              <w:t>We had 2 cases of MRSA BSI in April 2015/16, this measure has a zero tolerance as the target and as such the 2015/16 target will not be achieved. Post Infection Reviews (PIR) were undertaken as per guidelines and results sent to NHS England.</w:t>
            </w:r>
            <w:r w:rsidR="009F5819">
              <w:rPr>
                <w:rFonts w:asciiTheme="minorHAnsi" w:hAnsiTheme="minorHAnsi" w:cs="Arial"/>
                <w:bCs/>
                <w:sz w:val="22"/>
                <w:szCs w:val="22"/>
              </w:rPr>
              <w:t xml:space="preserve"> </w:t>
            </w:r>
            <w:r w:rsidRPr="00F72F91">
              <w:rPr>
                <w:rFonts w:asciiTheme="minorHAnsi" w:hAnsiTheme="minorHAnsi" w:cs="Arial"/>
                <w:bCs/>
                <w:sz w:val="22"/>
                <w:szCs w:val="22"/>
              </w:rPr>
              <w:t>It was deemed that all pro</w:t>
            </w:r>
            <w:r w:rsidR="00282EB7" w:rsidRPr="00F72F91">
              <w:rPr>
                <w:rFonts w:asciiTheme="minorHAnsi" w:hAnsiTheme="minorHAnsi" w:cs="Arial"/>
                <w:bCs/>
                <w:sz w:val="22"/>
                <w:szCs w:val="22"/>
              </w:rPr>
              <w:t xml:space="preserve">cedures were handled correctly. </w:t>
            </w:r>
            <w:r w:rsidRPr="00F72F91">
              <w:rPr>
                <w:rFonts w:asciiTheme="minorHAnsi" w:hAnsiTheme="minorHAnsi" w:cs="Arial"/>
                <w:bCs/>
                <w:sz w:val="22"/>
                <w:szCs w:val="22"/>
              </w:rPr>
              <w:t xml:space="preserve"> Action plans are formulated for all cases and are monitored.</w:t>
            </w:r>
          </w:p>
          <w:p w:rsidR="000D62C7" w:rsidRPr="00F72F91" w:rsidRDefault="000D62C7" w:rsidP="000D62C7">
            <w:pPr>
              <w:spacing w:line="276" w:lineRule="auto"/>
              <w:jc w:val="both"/>
              <w:rPr>
                <w:rFonts w:asciiTheme="minorHAnsi" w:hAnsiTheme="minorHAnsi" w:cs="Arial"/>
                <w:bCs/>
                <w:sz w:val="22"/>
                <w:szCs w:val="22"/>
              </w:rPr>
            </w:pPr>
          </w:p>
          <w:p w:rsidR="000D62C7" w:rsidRPr="00F72F91" w:rsidRDefault="00282EB7" w:rsidP="00C31229">
            <w:pPr>
              <w:pStyle w:val="ListParagraph"/>
              <w:numPr>
                <w:ilvl w:val="0"/>
                <w:numId w:val="9"/>
              </w:numPr>
              <w:spacing w:line="276" w:lineRule="auto"/>
              <w:jc w:val="both"/>
              <w:rPr>
                <w:rFonts w:asciiTheme="minorHAnsi" w:eastAsia="Calibri" w:hAnsiTheme="minorHAnsi" w:cs="Arial"/>
                <w:b/>
                <w:bCs/>
                <w:sz w:val="22"/>
                <w:szCs w:val="22"/>
                <w:lang w:eastAsia="en-US"/>
              </w:rPr>
            </w:pPr>
            <w:r w:rsidRPr="00F72F91">
              <w:rPr>
                <w:rFonts w:asciiTheme="minorHAnsi" w:eastAsia="Calibri" w:hAnsiTheme="minorHAnsi" w:cs="Arial"/>
                <w:b/>
                <w:bCs/>
                <w:sz w:val="22"/>
                <w:szCs w:val="22"/>
                <w:lang w:eastAsia="en-US"/>
              </w:rPr>
              <w:t>Incident Reporting</w:t>
            </w:r>
          </w:p>
          <w:p w:rsidR="00376E43" w:rsidRPr="00F72F91" w:rsidRDefault="00054514" w:rsidP="00054514">
            <w:pPr>
              <w:pStyle w:val="ListParagraph"/>
              <w:autoSpaceDE w:val="0"/>
              <w:autoSpaceDN w:val="0"/>
              <w:spacing w:line="276" w:lineRule="auto"/>
              <w:jc w:val="both"/>
              <w:rPr>
                <w:rFonts w:asciiTheme="minorHAnsi" w:eastAsia="Calibri" w:hAnsiTheme="minorHAnsi" w:cs="Arial"/>
                <w:color w:val="000000"/>
                <w:sz w:val="22"/>
                <w:szCs w:val="22"/>
              </w:rPr>
            </w:pPr>
            <w:r w:rsidRPr="00F72F91">
              <w:rPr>
                <w:rFonts w:asciiTheme="minorHAnsi" w:eastAsia="Calibri" w:hAnsiTheme="minorHAnsi" w:cs="Arial"/>
                <w:noProof/>
                <w:color w:val="000000"/>
                <w:sz w:val="22"/>
                <w:szCs w:val="22"/>
              </w:rPr>
              <w:drawing>
                <wp:anchor distT="0" distB="0" distL="114300" distR="114300" simplePos="0" relativeHeight="251678208" behindDoc="0" locked="0" layoutInCell="1" allowOverlap="1" wp14:anchorId="6C925948" wp14:editId="45781804">
                  <wp:simplePos x="0" y="0"/>
                  <wp:positionH relativeFrom="column">
                    <wp:posOffset>2006837</wp:posOffset>
                  </wp:positionH>
                  <wp:positionV relativeFrom="paragraph">
                    <wp:posOffset>1193800</wp:posOffset>
                  </wp:positionV>
                  <wp:extent cx="1019175" cy="1009650"/>
                  <wp:effectExtent l="0" t="0" r="0" b="0"/>
                  <wp:wrapNone/>
                  <wp:docPr id="3" name="Picture 3"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1009650"/>
                          </a:xfrm>
                          <a:prstGeom prst="rect">
                            <a:avLst/>
                          </a:prstGeom>
                          <a:noFill/>
                        </pic:spPr>
                      </pic:pic>
                    </a:graphicData>
                  </a:graphic>
                  <wp14:sizeRelH relativeFrom="margin">
                    <wp14:pctWidth>0</wp14:pctWidth>
                  </wp14:sizeRelH>
                  <wp14:sizeRelV relativeFrom="page">
                    <wp14:pctHeight>0</wp14:pctHeight>
                  </wp14:sizeRelV>
                </wp:anchor>
              </w:drawing>
            </w:r>
            <w:r w:rsidR="000D62C7" w:rsidRPr="00F72F91">
              <w:rPr>
                <w:rFonts w:asciiTheme="minorHAnsi" w:eastAsia="Calibri" w:hAnsiTheme="minorHAnsi" w:cs="Arial"/>
                <w:color w:val="000000"/>
                <w:sz w:val="22"/>
                <w:szCs w:val="22"/>
              </w:rPr>
              <w:t xml:space="preserve">The CCG has introduced a new Incident reporting process through an App </w:t>
            </w:r>
            <w:r w:rsidR="00243672" w:rsidRPr="00F72F91">
              <w:rPr>
                <w:rFonts w:asciiTheme="minorHAnsi" w:eastAsia="Calibri" w:hAnsiTheme="minorHAnsi" w:cs="Arial"/>
                <w:color w:val="000000"/>
                <w:sz w:val="22"/>
                <w:szCs w:val="22"/>
              </w:rPr>
              <w:t>(replacing Datix)</w:t>
            </w:r>
            <w:r w:rsidR="00243672">
              <w:rPr>
                <w:rFonts w:asciiTheme="minorHAnsi" w:eastAsia="Calibri" w:hAnsiTheme="minorHAnsi" w:cs="Arial"/>
                <w:color w:val="000000"/>
                <w:sz w:val="22"/>
                <w:szCs w:val="22"/>
              </w:rPr>
              <w:t xml:space="preserve"> </w:t>
            </w:r>
            <w:r w:rsidR="000D62C7" w:rsidRPr="00F72F91">
              <w:rPr>
                <w:rFonts w:asciiTheme="minorHAnsi" w:eastAsia="Calibri" w:hAnsiTheme="minorHAnsi" w:cs="Arial"/>
                <w:color w:val="000000"/>
                <w:sz w:val="22"/>
                <w:szCs w:val="22"/>
              </w:rPr>
              <w:t>accessible through the CCG network.</w:t>
            </w:r>
            <w:r w:rsidR="005A0236" w:rsidRPr="00F72F91">
              <w:rPr>
                <w:rFonts w:asciiTheme="minorHAnsi" w:eastAsia="Calibri" w:hAnsiTheme="minorHAnsi" w:cs="Arial"/>
                <w:color w:val="000000"/>
                <w:sz w:val="22"/>
                <w:szCs w:val="22"/>
              </w:rPr>
              <w:t xml:space="preserve"> </w:t>
            </w:r>
            <w:r w:rsidR="000D62C7" w:rsidRPr="00F72F91">
              <w:rPr>
                <w:rFonts w:asciiTheme="minorHAnsi" w:eastAsia="Calibri" w:hAnsiTheme="minorHAnsi" w:cs="Arial"/>
                <w:color w:val="000000"/>
                <w:sz w:val="22"/>
                <w:szCs w:val="22"/>
              </w:rPr>
              <w:t xml:space="preserve"> This App will be used by the CCG and by Primary Care staff and </w:t>
            </w:r>
            <w:r w:rsidR="00243672">
              <w:rPr>
                <w:rFonts w:asciiTheme="minorHAnsi" w:eastAsia="Calibri" w:hAnsiTheme="minorHAnsi" w:cs="Arial"/>
                <w:color w:val="000000"/>
                <w:sz w:val="22"/>
                <w:szCs w:val="22"/>
              </w:rPr>
              <w:t xml:space="preserve">during 2016 </w:t>
            </w:r>
            <w:r w:rsidR="000D62C7" w:rsidRPr="00F72F91">
              <w:rPr>
                <w:rFonts w:asciiTheme="minorHAnsi" w:eastAsia="Calibri" w:hAnsiTheme="minorHAnsi" w:cs="Arial"/>
                <w:color w:val="000000"/>
                <w:sz w:val="22"/>
                <w:szCs w:val="22"/>
              </w:rPr>
              <w:t>we will be working with care homes to improve their incident reporting</w:t>
            </w:r>
            <w:r w:rsidR="00243672">
              <w:rPr>
                <w:rFonts w:asciiTheme="minorHAnsi" w:eastAsia="Calibri" w:hAnsiTheme="minorHAnsi" w:cs="Arial"/>
                <w:color w:val="000000"/>
                <w:sz w:val="22"/>
                <w:szCs w:val="22"/>
              </w:rPr>
              <w:t>, hopefully</w:t>
            </w:r>
            <w:r w:rsidR="000D62C7" w:rsidRPr="00F72F91">
              <w:rPr>
                <w:rFonts w:asciiTheme="minorHAnsi" w:eastAsia="Calibri" w:hAnsiTheme="minorHAnsi" w:cs="Arial"/>
                <w:color w:val="000000"/>
                <w:sz w:val="22"/>
                <w:szCs w:val="22"/>
              </w:rPr>
              <w:t xml:space="preserve"> also through this App.</w:t>
            </w:r>
            <w:r w:rsidRPr="00F72F91">
              <w:rPr>
                <w:rFonts w:asciiTheme="minorHAnsi" w:eastAsia="Calibri" w:hAnsiTheme="minorHAnsi" w:cs="Arial"/>
                <w:color w:val="000000"/>
                <w:sz w:val="22"/>
                <w:szCs w:val="22"/>
              </w:rPr>
              <w:t xml:space="preserve"> </w:t>
            </w:r>
            <w:r w:rsidR="00376E43" w:rsidRPr="00F72F91">
              <w:rPr>
                <w:rFonts w:asciiTheme="minorHAnsi" w:eastAsia="Calibri" w:hAnsiTheme="minorHAnsi" w:cs="Arial"/>
                <w:color w:val="000000"/>
                <w:sz w:val="22"/>
                <w:szCs w:val="22"/>
              </w:rPr>
              <w:t xml:space="preserve">The Patient Safety Lead provided </w:t>
            </w:r>
            <w:r w:rsidR="00243672">
              <w:rPr>
                <w:rFonts w:asciiTheme="minorHAnsi" w:eastAsia="Calibri" w:hAnsiTheme="minorHAnsi" w:cs="Arial"/>
                <w:color w:val="000000"/>
                <w:sz w:val="22"/>
                <w:szCs w:val="22"/>
              </w:rPr>
              <w:t>CoM with a presentation on the n</w:t>
            </w:r>
            <w:r w:rsidR="00376E43" w:rsidRPr="00F72F91">
              <w:rPr>
                <w:rFonts w:asciiTheme="minorHAnsi" w:eastAsia="Calibri" w:hAnsiTheme="minorHAnsi" w:cs="Arial"/>
                <w:color w:val="000000"/>
                <w:sz w:val="22"/>
                <w:szCs w:val="22"/>
              </w:rPr>
              <w:t xml:space="preserve">ew </w:t>
            </w:r>
            <w:r w:rsidR="00243672">
              <w:rPr>
                <w:rFonts w:asciiTheme="minorHAnsi" w:eastAsia="Calibri" w:hAnsiTheme="minorHAnsi" w:cs="Arial"/>
                <w:color w:val="000000"/>
                <w:sz w:val="22"/>
                <w:szCs w:val="22"/>
              </w:rPr>
              <w:t>A</w:t>
            </w:r>
            <w:r w:rsidR="00376E43" w:rsidRPr="00F72F91">
              <w:rPr>
                <w:rFonts w:asciiTheme="minorHAnsi" w:eastAsia="Calibri" w:hAnsiTheme="minorHAnsi" w:cs="Arial"/>
                <w:color w:val="000000"/>
                <w:sz w:val="22"/>
                <w:szCs w:val="22"/>
              </w:rPr>
              <w:t>pp at the February 2016 meeting which was well received</w:t>
            </w:r>
            <w:r w:rsidR="00243672">
              <w:rPr>
                <w:rFonts w:asciiTheme="minorHAnsi" w:eastAsia="Calibri" w:hAnsiTheme="minorHAnsi" w:cs="Arial"/>
                <w:color w:val="000000"/>
                <w:sz w:val="22"/>
                <w:szCs w:val="22"/>
              </w:rPr>
              <w:t xml:space="preserve">. </w:t>
            </w:r>
            <w:r w:rsidR="00B23C91" w:rsidRPr="00F72F91">
              <w:rPr>
                <w:rFonts w:asciiTheme="minorHAnsi" w:eastAsia="Calibri" w:hAnsiTheme="minorHAnsi" w:cs="Arial"/>
                <w:color w:val="000000"/>
                <w:sz w:val="22"/>
                <w:szCs w:val="22"/>
              </w:rPr>
              <w:t xml:space="preserve">All but 2 general practices have now been trained </w:t>
            </w:r>
            <w:r w:rsidR="00243672">
              <w:rPr>
                <w:rFonts w:asciiTheme="minorHAnsi" w:eastAsia="Calibri" w:hAnsiTheme="minorHAnsi" w:cs="Arial"/>
                <w:color w:val="000000"/>
                <w:sz w:val="22"/>
                <w:szCs w:val="22"/>
              </w:rPr>
              <w:t>to use</w:t>
            </w:r>
            <w:r w:rsidR="00B23C91" w:rsidRPr="00F72F91">
              <w:rPr>
                <w:rFonts w:asciiTheme="minorHAnsi" w:eastAsia="Calibri" w:hAnsiTheme="minorHAnsi" w:cs="Arial"/>
                <w:color w:val="000000"/>
                <w:sz w:val="22"/>
                <w:szCs w:val="22"/>
              </w:rPr>
              <w:t xml:space="preserve"> the App.  The App will be accessible </w:t>
            </w:r>
            <w:r w:rsidR="00376E43" w:rsidRPr="00F72F91">
              <w:rPr>
                <w:rFonts w:asciiTheme="minorHAnsi" w:eastAsia="Calibri" w:hAnsiTheme="minorHAnsi" w:cs="Arial"/>
                <w:color w:val="000000"/>
                <w:sz w:val="22"/>
                <w:szCs w:val="22"/>
              </w:rPr>
              <w:t xml:space="preserve">on all </w:t>
            </w:r>
            <w:r w:rsidR="00243672">
              <w:rPr>
                <w:rFonts w:asciiTheme="minorHAnsi" w:eastAsia="Calibri" w:hAnsiTheme="minorHAnsi" w:cs="Arial"/>
                <w:color w:val="000000"/>
                <w:sz w:val="22"/>
                <w:szCs w:val="22"/>
              </w:rPr>
              <w:t xml:space="preserve">CCG and practice staff, </w:t>
            </w:r>
            <w:r w:rsidR="00376E43" w:rsidRPr="00F72F91">
              <w:rPr>
                <w:rFonts w:asciiTheme="minorHAnsi" w:eastAsia="Calibri" w:hAnsiTheme="minorHAnsi" w:cs="Arial"/>
                <w:color w:val="000000"/>
                <w:sz w:val="22"/>
                <w:szCs w:val="22"/>
              </w:rPr>
              <w:t>including GPs</w:t>
            </w:r>
            <w:r w:rsidR="00243672">
              <w:rPr>
                <w:rFonts w:asciiTheme="minorHAnsi" w:eastAsia="Calibri" w:hAnsiTheme="minorHAnsi" w:cs="Arial"/>
                <w:color w:val="000000"/>
                <w:sz w:val="22"/>
                <w:szCs w:val="22"/>
              </w:rPr>
              <w:t>,</w:t>
            </w:r>
            <w:r w:rsidR="00376E43" w:rsidRPr="00F72F91">
              <w:rPr>
                <w:rFonts w:asciiTheme="minorHAnsi" w:eastAsia="Calibri" w:hAnsiTheme="minorHAnsi" w:cs="Arial"/>
                <w:color w:val="000000"/>
                <w:sz w:val="22"/>
                <w:szCs w:val="22"/>
              </w:rPr>
              <w:t> </w:t>
            </w:r>
            <w:r w:rsidR="00243672" w:rsidRPr="00F72F91">
              <w:rPr>
                <w:rFonts w:asciiTheme="minorHAnsi" w:eastAsia="Calibri" w:hAnsiTheme="minorHAnsi" w:cs="Arial"/>
                <w:color w:val="000000"/>
                <w:sz w:val="22"/>
                <w:szCs w:val="22"/>
              </w:rPr>
              <w:t xml:space="preserve">desktops </w:t>
            </w:r>
            <w:r w:rsidR="00B23C91" w:rsidRPr="00F72F91">
              <w:rPr>
                <w:rFonts w:asciiTheme="minorHAnsi" w:eastAsia="Calibri" w:hAnsiTheme="minorHAnsi" w:cs="Arial"/>
                <w:color w:val="000000"/>
                <w:sz w:val="22"/>
                <w:szCs w:val="22"/>
              </w:rPr>
              <w:t>from 31</w:t>
            </w:r>
            <w:r w:rsidR="00B23C91" w:rsidRPr="00F72F91">
              <w:rPr>
                <w:rFonts w:asciiTheme="minorHAnsi" w:eastAsia="Calibri" w:hAnsiTheme="minorHAnsi" w:cs="Arial"/>
                <w:color w:val="000000"/>
                <w:sz w:val="22"/>
                <w:szCs w:val="22"/>
                <w:vertAlign w:val="superscript"/>
              </w:rPr>
              <w:t>st</w:t>
            </w:r>
            <w:r w:rsidR="00B23C91" w:rsidRPr="00F72F91">
              <w:rPr>
                <w:rFonts w:asciiTheme="minorHAnsi" w:eastAsia="Calibri" w:hAnsiTheme="minorHAnsi" w:cs="Arial"/>
                <w:color w:val="000000"/>
                <w:sz w:val="22"/>
                <w:szCs w:val="22"/>
              </w:rPr>
              <w:t xml:space="preserve"> March and looks like this: </w:t>
            </w:r>
            <w:r w:rsidR="00376E43" w:rsidRPr="00F72F91">
              <w:rPr>
                <w:rFonts w:asciiTheme="minorHAnsi" w:eastAsia="Calibri" w:hAnsiTheme="minorHAnsi" w:cs="Arial"/>
                <w:color w:val="000000"/>
                <w:sz w:val="22"/>
                <w:szCs w:val="22"/>
              </w:rPr>
              <w:t xml:space="preserve"> </w:t>
            </w:r>
          </w:p>
          <w:p w:rsidR="00376E43" w:rsidRPr="00F72F91" w:rsidRDefault="00376E43" w:rsidP="00376E43">
            <w:pPr>
              <w:pStyle w:val="ListParagraph"/>
              <w:autoSpaceDE w:val="0"/>
              <w:autoSpaceDN w:val="0"/>
              <w:spacing w:line="276" w:lineRule="auto"/>
              <w:jc w:val="both"/>
              <w:rPr>
                <w:rFonts w:asciiTheme="minorHAnsi" w:eastAsia="Calibri" w:hAnsiTheme="minorHAnsi" w:cs="Arial"/>
                <w:color w:val="000000"/>
                <w:sz w:val="22"/>
                <w:szCs w:val="22"/>
              </w:rPr>
            </w:pPr>
          </w:p>
          <w:p w:rsidR="00376E43" w:rsidRPr="00F72F91" w:rsidRDefault="00376E43" w:rsidP="00376E43">
            <w:pPr>
              <w:pStyle w:val="ListParagraph"/>
              <w:autoSpaceDE w:val="0"/>
              <w:autoSpaceDN w:val="0"/>
              <w:spacing w:line="276" w:lineRule="auto"/>
              <w:jc w:val="both"/>
              <w:rPr>
                <w:rFonts w:asciiTheme="minorHAnsi" w:eastAsia="Calibri" w:hAnsiTheme="minorHAnsi" w:cs="Arial"/>
                <w:color w:val="000000"/>
                <w:sz w:val="22"/>
                <w:szCs w:val="22"/>
              </w:rPr>
            </w:pPr>
          </w:p>
          <w:p w:rsidR="00376E43" w:rsidRPr="00F72F91" w:rsidRDefault="00376E43" w:rsidP="00376E43">
            <w:pPr>
              <w:pStyle w:val="ListParagraph"/>
              <w:autoSpaceDE w:val="0"/>
              <w:autoSpaceDN w:val="0"/>
              <w:spacing w:line="276" w:lineRule="auto"/>
              <w:jc w:val="both"/>
              <w:rPr>
                <w:rFonts w:asciiTheme="minorHAnsi" w:eastAsia="Calibri" w:hAnsiTheme="minorHAnsi" w:cs="Arial"/>
                <w:color w:val="000000"/>
                <w:sz w:val="22"/>
                <w:szCs w:val="22"/>
              </w:rPr>
            </w:pPr>
          </w:p>
          <w:p w:rsidR="00376E43" w:rsidRPr="00F72F91" w:rsidRDefault="00376E43" w:rsidP="00376E43">
            <w:pPr>
              <w:pStyle w:val="ListParagraph"/>
              <w:autoSpaceDE w:val="0"/>
              <w:autoSpaceDN w:val="0"/>
              <w:spacing w:line="276" w:lineRule="auto"/>
              <w:jc w:val="both"/>
              <w:rPr>
                <w:rFonts w:asciiTheme="minorHAnsi" w:eastAsia="Calibri" w:hAnsiTheme="minorHAnsi" w:cs="Arial"/>
                <w:color w:val="000000"/>
                <w:sz w:val="22"/>
                <w:szCs w:val="22"/>
              </w:rPr>
            </w:pPr>
          </w:p>
          <w:p w:rsidR="00376E43" w:rsidRPr="00F72F91" w:rsidRDefault="00376E43" w:rsidP="00B23C91">
            <w:pPr>
              <w:autoSpaceDE w:val="0"/>
              <w:autoSpaceDN w:val="0"/>
              <w:spacing w:line="276" w:lineRule="auto"/>
              <w:jc w:val="both"/>
              <w:rPr>
                <w:rFonts w:asciiTheme="minorHAnsi" w:eastAsia="Calibri" w:hAnsiTheme="minorHAnsi" w:cs="Arial"/>
                <w:color w:val="000000"/>
                <w:sz w:val="22"/>
                <w:szCs w:val="22"/>
              </w:rPr>
            </w:pPr>
          </w:p>
          <w:p w:rsidR="00F667BC" w:rsidRDefault="00376E43" w:rsidP="00F667BC">
            <w:pPr>
              <w:pStyle w:val="ListParagraph"/>
              <w:numPr>
                <w:ilvl w:val="0"/>
                <w:numId w:val="16"/>
              </w:numPr>
              <w:autoSpaceDE w:val="0"/>
              <w:autoSpaceDN w:val="0"/>
              <w:spacing w:line="276" w:lineRule="auto"/>
              <w:jc w:val="both"/>
              <w:rPr>
                <w:rFonts w:asciiTheme="minorHAnsi" w:eastAsia="Calibri" w:hAnsiTheme="minorHAnsi" w:cs="Arial"/>
                <w:color w:val="000000"/>
                <w:sz w:val="22"/>
                <w:szCs w:val="22"/>
              </w:rPr>
            </w:pPr>
            <w:r w:rsidRPr="00243672">
              <w:rPr>
                <w:rFonts w:asciiTheme="minorHAnsi" w:eastAsia="Calibri" w:hAnsiTheme="minorHAnsi" w:cs="Arial"/>
                <w:color w:val="000000"/>
                <w:sz w:val="22"/>
                <w:szCs w:val="22"/>
              </w:rPr>
              <w:t>For the</w:t>
            </w:r>
            <w:r w:rsidR="00B23C91" w:rsidRPr="00243672">
              <w:rPr>
                <w:rFonts w:asciiTheme="minorHAnsi" w:eastAsia="Calibri" w:hAnsiTheme="minorHAnsi" w:cs="Arial"/>
                <w:color w:val="000000"/>
                <w:sz w:val="22"/>
                <w:szCs w:val="22"/>
              </w:rPr>
              <w:t xml:space="preserve"> reporting period April – Dec </w:t>
            </w:r>
            <w:r w:rsidR="00243672" w:rsidRPr="00243672">
              <w:rPr>
                <w:rFonts w:asciiTheme="minorHAnsi" w:eastAsia="Calibri" w:hAnsiTheme="minorHAnsi" w:cs="Arial"/>
                <w:color w:val="000000"/>
                <w:sz w:val="22"/>
                <w:szCs w:val="22"/>
              </w:rPr>
              <w:t>20</w:t>
            </w:r>
            <w:r w:rsidR="00B23C91" w:rsidRPr="00243672">
              <w:rPr>
                <w:rFonts w:asciiTheme="minorHAnsi" w:eastAsia="Calibri" w:hAnsiTheme="minorHAnsi" w:cs="Arial"/>
                <w:color w:val="000000"/>
                <w:sz w:val="22"/>
                <w:szCs w:val="22"/>
              </w:rPr>
              <w:t>15</w:t>
            </w:r>
            <w:r w:rsidRPr="00243672">
              <w:rPr>
                <w:rFonts w:asciiTheme="minorHAnsi" w:eastAsia="Calibri" w:hAnsiTheme="minorHAnsi" w:cs="Arial"/>
                <w:color w:val="000000"/>
                <w:sz w:val="22"/>
                <w:szCs w:val="22"/>
              </w:rPr>
              <w:t xml:space="preserve"> (Q1-Q3) we note that 10 out of 31 practices in NEL had not yet reported </w:t>
            </w:r>
            <w:r w:rsidR="00B23C91" w:rsidRPr="00243672">
              <w:rPr>
                <w:rFonts w:asciiTheme="minorHAnsi" w:eastAsia="Calibri" w:hAnsiTheme="minorHAnsi" w:cs="Arial"/>
                <w:color w:val="000000"/>
                <w:sz w:val="22"/>
                <w:szCs w:val="22"/>
              </w:rPr>
              <w:t>any patient safety incidents. </w:t>
            </w:r>
            <w:r w:rsidR="005F5C0F" w:rsidRPr="00243672">
              <w:rPr>
                <w:rFonts w:asciiTheme="minorHAnsi" w:eastAsia="Calibri" w:hAnsiTheme="minorHAnsi" w:cs="Arial"/>
                <w:color w:val="000000"/>
                <w:sz w:val="22"/>
                <w:szCs w:val="22"/>
              </w:rPr>
              <w:t>Although i</w:t>
            </w:r>
            <w:r w:rsidRPr="00243672">
              <w:rPr>
                <w:rFonts w:asciiTheme="minorHAnsi" w:eastAsia="Calibri" w:hAnsiTheme="minorHAnsi" w:cs="Arial"/>
                <w:color w:val="000000"/>
                <w:sz w:val="22"/>
                <w:szCs w:val="22"/>
              </w:rPr>
              <w:t xml:space="preserve">ncreased reporting has been seen after recent training sessions </w:t>
            </w:r>
            <w:r w:rsidR="005F5C0F" w:rsidRPr="00243672">
              <w:rPr>
                <w:rFonts w:asciiTheme="minorHAnsi" w:eastAsia="Calibri" w:hAnsiTheme="minorHAnsi" w:cs="Arial"/>
                <w:color w:val="000000"/>
                <w:sz w:val="22"/>
                <w:szCs w:val="22"/>
              </w:rPr>
              <w:t xml:space="preserve">with the App, this </w:t>
            </w:r>
            <w:r w:rsidR="00243672" w:rsidRPr="00243672">
              <w:rPr>
                <w:rFonts w:asciiTheme="minorHAnsi" w:eastAsia="Calibri" w:hAnsiTheme="minorHAnsi" w:cs="Arial"/>
                <w:color w:val="000000"/>
                <w:sz w:val="22"/>
                <w:szCs w:val="22"/>
              </w:rPr>
              <w:t xml:space="preserve">is </w:t>
            </w:r>
            <w:r w:rsidR="005F5C0F" w:rsidRPr="00243672">
              <w:rPr>
                <w:rFonts w:asciiTheme="minorHAnsi" w:eastAsia="Calibri" w:hAnsiTheme="minorHAnsi" w:cs="Arial"/>
                <w:color w:val="000000"/>
                <w:sz w:val="22"/>
                <w:szCs w:val="22"/>
              </w:rPr>
              <w:t xml:space="preserve">not across all practices and we will be analysing the data </w:t>
            </w:r>
            <w:r w:rsidRPr="00243672">
              <w:rPr>
                <w:rFonts w:asciiTheme="minorHAnsi" w:eastAsia="Calibri" w:hAnsiTheme="minorHAnsi" w:cs="Arial"/>
                <w:color w:val="000000"/>
                <w:sz w:val="22"/>
                <w:szCs w:val="22"/>
              </w:rPr>
              <w:t>following production of the Q4/year-end report</w:t>
            </w:r>
            <w:r w:rsidR="005F5C0F" w:rsidRPr="00243672">
              <w:rPr>
                <w:rFonts w:asciiTheme="minorHAnsi" w:eastAsia="Calibri" w:hAnsiTheme="minorHAnsi" w:cs="Arial"/>
                <w:color w:val="000000"/>
                <w:sz w:val="22"/>
                <w:szCs w:val="22"/>
              </w:rPr>
              <w:t xml:space="preserve"> to identify practices still not reporting, and agree a plan</w:t>
            </w:r>
            <w:r w:rsidR="00243672" w:rsidRPr="00243672">
              <w:rPr>
                <w:rFonts w:asciiTheme="minorHAnsi" w:eastAsia="Calibri" w:hAnsiTheme="minorHAnsi" w:cs="Arial"/>
                <w:color w:val="000000"/>
                <w:sz w:val="22"/>
                <w:szCs w:val="22"/>
              </w:rPr>
              <w:t xml:space="preserve"> within the Quality Committee </w:t>
            </w:r>
            <w:r w:rsidR="005F5C0F" w:rsidRPr="00243672">
              <w:rPr>
                <w:rFonts w:asciiTheme="minorHAnsi" w:eastAsia="Calibri" w:hAnsiTheme="minorHAnsi" w:cs="Arial"/>
                <w:color w:val="000000"/>
                <w:sz w:val="22"/>
                <w:szCs w:val="22"/>
              </w:rPr>
              <w:t xml:space="preserve">to approach practices about this. </w:t>
            </w:r>
          </w:p>
          <w:p w:rsidR="00243672" w:rsidRPr="00243672" w:rsidRDefault="00243672" w:rsidP="00243672">
            <w:pPr>
              <w:pStyle w:val="ListParagraph"/>
              <w:autoSpaceDE w:val="0"/>
              <w:autoSpaceDN w:val="0"/>
              <w:spacing w:line="276" w:lineRule="auto"/>
              <w:jc w:val="both"/>
              <w:rPr>
                <w:rFonts w:asciiTheme="minorHAnsi" w:eastAsia="Calibri" w:hAnsiTheme="minorHAnsi" w:cs="Arial"/>
                <w:color w:val="000000"/>
                <w:sz w:val="22"/>
                <w:szCs w:val="22"/>
              </w:rPr>
            </w:pPr>
          </w:p>
          <w:p w:rsidR="00F667BC" w:rsidRPr="00F72F91" w:rsidRDefault="00F667BC" w:rsidP="00F667BC">
            <w:pPr>
              <w:pStyle w:val="ListParagraph"/>
              <w:autoSpaceDE w:val="0"/>
              <w:autoSpaceDN w:val="0"/>
              <w:spacing w:line="276" w:lineRule="auto"/>
              <w:jc w:val="both"/>
              <w:rPr>
                <w:rFonts w:asciiTheme="minorHAnsi" w:eastAsia="Calibri" w:hAnsiTheme="minorHAnsi" w:cs="Arial"/>
                <w:color w:val="000000"/>
                <w:sz w:val="22"/>
                <w:szCs w:val="22"/>
              </w:rPr>
            </w:pPr>
            <w:r w:rsidRPr="00F72F91">
              <w:rPr>
                <w:rFonts w:asciiTheme="minorHAnsi" w:eastAsia="Calibri" w:hAnsiTheme="minorHAnsi" w:cs="Arial"/>
                <w:color w:val="000000"/>
                <w:sz w:val="22"/>
                <w:szCs w:val="22"/>
              </w:rPr>
              <w:t xml:space="preserve">Historically, </w:t>
            </w:r>
            <w:r w:rsidR="00243672">
              <w:rPr>
                <w:rFonts w:asciiTheme="minorHAnsi" w:eastAsia="Calibri" w:hAnsiTheme="minorHAnsi" w:cs="Arial"/>
                <w:color w:val="000000"/>
                <w:sz w:val="22"/>
                <w:szCs w:val="22"/>
              </w:rPr>
              <w:t>GP Practices were not sent the quarterly incident r</w:t>
            </w:r>
            <w:r w:rsidRPr="00F72F91">
              <w:rPr>
                <w:rFonts w:asciiTheme="minorHAnsi" w:eastAsia="Calibri" w:hAnsiTheme="minorHAnsi" w:cs="Arial"/>
                <w:color w:val="000000"/>
                <w:sz w:val="22"/>
                <w:szCs w:val="22"/>
              </w:rPr>
              <w:t xml:space="preserve">eports provided by the Quality Team.  However, the CCG has now agreed to send </w:t>
            </w:r>
            <w:r w:rsidR="00054514" w:rsidRPr="00F72F91">
              <w:rPr>
                <w:rFonts w:asciiTheme="minorHAnsi" w:eastAsia="Calibri" w:hAnsiTheme="minorHAnsi" w:cs="Arial"/>
                <w:color w:val="000000"/>
                <w:sz w:val="22"/>
                <w:szCs w:val="22"/>
              </w:rPr>
              <w:t xml:space="preserve">this out </w:t>
            </w:r>
            <w:r w:rsidRPr="00F72F91">
              <w:rPr>
                <w:rFonts w:asciiTheme="minorHAnsi" w:eastAsia="Calibri" w:hAnsiTheme="minorHAnsi" w:cs="Arial"/>
                <w:color w:val="000000"/>
                <w:sz w:val="22"/>
                <w:szCs w:val="22"/>
              </w:rPr>
              <w:t xml:space="preserve">and the Quality Team will be following up with </w:t>
            </w:r>
            <w:r w:rsidR="00054514" w:rsidRPr="00F72F91">
              <w:rPr>
                <w:rFonts w:asciiTheme="minorHAnsi" w:eastAsia="Calibri" w:hAnsiTheme="minorHAnsi" w:cs="Arial"/>
                <w:color w:val="000000"/>
                <w:sz w:val="22"/>
                <w:szCs w:val="22"/>
              </w:rPr>
              <w:t xml:space="preserve">those </w:t>
            </w:r>
            <w:r w:rsidRPr="00F72F91">
              <w:rPr>
                <w:rFonts w:asciiTheme="minorHAnsi" w:eastAsia="Calibri" w:hAnsiTheme="minorHAnsi" w:cs="Arial"/>
                <w:color w:val="000000"/>
                <w:sz w:val="22"/>
                <w:szCs w:val="22"/>
              </w:rPr>
              <w:t>practices not reporting</w:t>
            </w:r>
            <w:r w:rsidR="00054514" w:rsidRPr="00F72F91">
              <w:rPr>
                <w:rFonts w:asciiTheme="minorHAnsi" w:eastAsia="Calibri" w:hAnsiTheme="minorHAnsi" w:cs="Arial"/>
                <w:color w:val="000000"/>
                <w:sz w:val="22"/>
                <w:szCs w:val="22"/>
              </w:rPr>
              <w:t>,</w:t>
            </w:r>
            <w:r w:rsidRPr="00F72F91">
              <w:rPr>
                <w:rFonts w:asciiTheme="minorHAnsi" w:eastAsia="Calibri" w:hAnsiTheme="minorHAnsi" w:cs="Arial"/>
                <w:color w:val="000000"/>
                <w:sz w:val="22"/>
                <w:szCs w:val="22"/>
              </w:rPr>
              <w:t xml:space="preserve"> or </w:t>
            </w:r>
            <w:r w:rsidR="00054514" w:rsidRPr="00F72F91">
              <w:rPr>
                <w:rFonts w:asciiTheme="minorHAnsi" w:eastAsia="Calibri" w:hAnsiTheme="minorHAnsi" w:cs="Arial"/>
                <w:color w:val="000000"/>
                <w:sz w:val="22"/>
                <w:szCs w:val="22"/>
              </w:rPr>
              <w:t xml:space="preserve">in </w:t>
            </w:r>
            <w:r w:rsidRPr="00F72F91">
              <w:rPr>
                <w:rFonts w:asciiTheme="minorHAnsi" w:eastAsia="Calibri" w:hAnsiTheme="minorHAnsi" w:cs="Arial"/>
                <w:color w:val="000000"/>
                <w:sz w:val="22"/>
                <w:szCs w:val="22"/>
              </w:rPr>
              <w:t>relati</w:t>
            </w:r>
            <w:r w:rsidR="00054514" w:rsidRPr="00F72F91">
              <w:rPr>
                <w:rFonts w:asciiTheme="minorHAnsi" w:eastAsia="Calibri" w:hAnsiTheme="minorHAnsi" w:cs="Arial"/>
                <w:color w:val="000000"/>
                <w:sz w:val="22"/>
                <w:szCs w:val="22"/>
              </w:rPr>
              <w:t>on</w:t>
            </w:r>
            <w:r w:rsidRPr="00F72F91">
              <w:rPr>
                <w:rFonts w:asciiTheme="minorHAnsi" w:eastAsia="Calibri" w:hAnsiTheme="minorHAnsi" w:cs="Arial"/>
                <w:color w:val="000000"/>
                <w:sz w:val="22"/>
                <w:szCs w:val="22"/>
              </w:rPr>
              <w:t xml:space="preserve"> to key themes</w:t>
            </w:r>
            <w:r w:rsidR="00054514" w:rsidRPr="00F72F91">
              <w:rPr>
                <w:rFonts w:asciiTheme="minorHAnsi" w:eastAsia="Calibri" w:hAnsiTheme="minorHAnsi" w:cs="Arial"/>
                <w:color w:val="000000"/>
                <w:sz w:val="22"/>
                <w:szCs w:val="22"/>
              </w:rPr>
              <w:t>,</w:t>
            </w:r>
            <w:r w:rsidRPr="00F72F91">
              <w:rPr>
                <w:rFonts w:asciiTheme="minorHAnsi" w:eastAsia="Calibri" w:hAnsiTheme="minorHAnsi" w:cs="Arial"/>
                <w:color w:val="000000"/>
                <w:sz w:val="22"/>
                <w:szCs w:val="22"/>
              </w:rPr>
              <w:t xml:space="preserve"> and will be working during 2016 to encourage the </w:t>
            </w:r>
            <w:r w:rsidR="00054514" w:rsidRPr="00F72F91">
              <w:rPr>
                <w:rFonts w:asciiTheme="minorHAnsi" w:eastAsia="Calibri" w:hAnsiTheme="minorHAnsi" w:cs="Arial"/>
                <w:color w:val="000000"/>
                <w:sz w:val="22"/>
                <w:szCs w:val="22"/>
              </w:rPr>
              <w:t xml:space="preserve">use </w:t>
            </w:r>
            <w:r w:rsidRPr="00F72F91">
              <w:rPr>
                <w:rFonts w:asciiTheme="minorHAnsi" w:eastAsia="Calibri" w:hAnsiTheme="minorHAnsi" w:cs="Arial"/>
                <w:color w:val="000000"/>
                <w:sz w:val="22"/>
                <w:szCs w:val="22"/>
              </w:rPr>
              <w:t>of Risk Registers in all practices. The Patient Safety Lead is attending the Practice Managers meeting on the 8th March 2016 to showcase the incident reports</w:t>
            </w:r>
            <w:r w:rsidR="00243672">
              <w:rPr>
                <w:rFonts w:asciiTheme="minorHAnsi" w:eastAsia="Calibri" w:hAnsiTheme="minorHAnsi" w:cs="Arial"/>
                <w:color w:val="000000"/>
                <w:sz w:val="22"/>
                <w:szCs w:val="22"/>
              </w:rPr>
              <w:t>, explain</w:t>
            </w:r>
            <w:r w:rsidRPr="00F72F91">
              <w:rPr>
                <w:rFonts w:asciiTheme="minorHAnsi" w:eastAsia="Calibri" w:hAnsiTheme="minorHAnsi" w:cs="Arial"/>
                <w:color w:val="000000"/>
                <w:sz w:val="22"/>
                <w:szCs w:val="22"/>
              </w:rPr>
              <w:t xml:space="preserve"> their meaning and</w:t>
            </w:r>
            <w:r w:rsidR="00243672">
              <w:rPr>
                <w:rFonts w:asciiTheme="minorHAnsi" w:eastAsia="Calibri" w:hAnsiTheme="minorHAnsi" w:cs="Arial"/>
                <w:color w:val="000000"/>
                <w:sz w:val="22"/>
                <w:szCs w:val="22"/>
              </w:rPr>
              <w:t xml:space="preserve"> assist with interpretation, </w:t>
            </w:r>
            <w:r w:rsidRPr="00F72F91">
              <w:rPr>
                <w:rFonts w:asciiTheme="minorHAnsi" w:eastAsia="Calibri" w:hAnsiTheme="minorHAnsi" w:cs="Arial"/>
                <w:color w:val="000000"/>
                <w:sz w:val="22"/>
                <w:szCs w:val="22"/>
              </w:rPr>
              <w:t>specifically the</w:t>
            </w:r>
            <w:r w:rsidR="00243672">
              <w:rPr>
                <w:rFonts w:asciiTheme="minorHAnsi" w:eastAsia="Calibri" w:hAnsiTheme="minorHAnsi" w:cs="Arial"/>
                <w:color w:val="000000"/>
                <w:sz w:val="22"/>
                <w:szCs w:val="22"/>
              </w:rPr>
              <w:t xml:space="preserve"> new</w:t>
            </w:r>
            <w:r w:rsidRPr="00F72F91">
              <w:rPr>
                <w:rFonts w:asciiTheme="minorHAnsi" w:eastAsia="Calibri" w:hAnsiTheme="minorHAnsi" w:cs="Arial"/>
                <w:color w:val="000000"/>
                <w:sz w:val="22"/>
                <w:szCs w:val="22"/>
              </w:rPr>
              <w:t xml:space="preserve"> section of “So What, What’s changed” (i.e. the learning for all).</w:t>
            </w:r>
          </w:p>
          <w:p w:rsidR="00376E43" w:rsidRPr="00F72F91" w:rsidRDefault="00376E43" w:rsidP="005F5C0F">
            <w:pPr>
              <w:autoSpaceDE w:val="0"/>
              <w:autoSpaceDN w:val="0"/>
              <w:spacing w:line="276" w:lineRule="auto"/>
              <w:jc w:val="both"/>
              <w:rPr>
                <w:rFonts w:asciiTheme="minorHAnsi" w:eastAsia="Calibri" w:hAnsiTheme="minorHAnsi" w:cs="Arial"/>
                <w:color w:val="000000"/>
                <w:sz w:val="22"/>
                <w:szCs w:val="22"/>
              </w:rPr>
            </w:pPr>
          </w:p>
          <w:p w:rsidR="00376E43" w:rsidRPr="00243672" w:rsidRDefault="005F5C0F" w:rsidP="00243672">
            <w:pPr>
              <w:pStyle w:val="ListParagraph"/>
              <w:autoSpaceDE w:val="0"/>
              <w:autoSpaceDN w:val="0"/>
              <w:spacing w:line="276" w:lineRule="auto"/>
              <w:jc w:val="both"/>
              <w:rPr>
                <w:rFonts w:asciiTheme="minorHAnsi" w:eastAsia="Calibri" w:hAnsiTheme="minorHAnsi" w:cs="Arial"/>
                <w:color w:val="000000"/>
                <w:sz w:val="22"/>
                <w:szCs w:val="22"/>
              </w:rPr>
            </w:pPr>
            <w:r w:rsidRPr="00F72F91">
              <w:rPr>
                <w:rFonts w:asciiTheme="minorHAnsi" w:eastAsia="Calibri" w:hAnsiTheme="minorHAnsi" w:cs="Arial"/>
                <w:color w:val="000000"/>
                <w:sz w:val="22"/>
                <w:szCs w:val="22"/>
              </w:rPr>
              <w:t>In relation to incidents reported, please see b</w:t>
            </w:r>
            <w:r w:rsidR="00F24DA5" w:rsidRPr="00F72F91">
              <w:rPr>
                <w:rFonts w:asciiTheme="minorHAnsi" w:eastAsia="Calibri" w:hAnsiTheme="minorHAnsi" w:cs="Arial"/>
                <w:color w:val="000000"/>
                <w:sz w:val="22"/>
                <w:szCs w:val="22"/>
              </w:rPr>
              <w:t>elow 4 a</w:t>
            </w:r>
            <w:r w:rsidRPr="00F72F91">
              <w:rPr>
                <w:rFonts w:asciiTheme="minorHAnsi" w:eastAsia="Calibri" w:hAnsiTheme="minorHAnsi" w:cs="Arial"/>
                <w:color w:val="000000"/>
                <w:sz w:val="22"/>
                <w:szCs w:val="22"/>
              </w:rPr>
              <w:t>reas</w:t>
            </w:r>
            <w:r w:rsidR="00F24DA5" w:rsidRPr="00F72F91">
              <w:rPr>
                <w:rFonts w:asciiTheme="minorHAnsi" w:eastAsia="Calibri" w:hAnsiTheme="minorHAnsi" w:cs="Arial"/>
                <w:color w:val="000000"/>
                <w:sz w:val="22"/>
                <w:szCs w:val="22"/>
              </w:rPr>
              <w:t xml:space="preserve"> highlighted as key themes for April 2015-December 2016:</w:t>
            </w:r>
          </w:p>
          <w:p w:rsidR="00376E43" w:rsidRPr="00F72F91" w:rsidRDefault="00376E43" w:rsidP="00376E43">
            <w:pPr>
              <w:pStyle w:val="ListParagraph"/>
              <w:numPr>
                <w:ilvl w:val="0"/>
                <w:numId w:val="18"/>
              </w:numPr>
              <w:autoSpaceDE w:val="0"/>
              <w:autoSpaceDN w:val="0"/>
              <w:spacing w:line="276" w:lineRule="auto"/>
              <w:rPr>
                <w:rFonts w:asciiTheme="minorHAnsi" w:eastAsia="Calibri" w:hAnsiTheme="minorHAnsi" w:cs="Arial"/>
                <w:b/>
                <w:bCs/>
                <w:color w:val="000000"/>
                <w:sz w:val="22"/>
                <w:szCs w:val="22"/>
              </w:rPr>
            </w:pPr>
            <w:r w:rsidRPr="00F72F91">
              <w:rPr>
                <w:rFonts w:asciiTheme="minorHAnsi" w:eastAsia="Calibri" w:hAnsiTheme="minorHAnsi" w:cs="Arial"/>
                <w:b/>
                <w:bCs/>
                <w:color w:val="000000"/>
                <w:sz w:val="22"/>
                <w:szCs w:val="22"/>
              </w:rPr>
              <w:t>Discharge Letter Issues</w:t>
            </w:r>
          </w:p>
          <w:p w:rsidR="00376E43" w:rsidRPr="00F72F91" w:rsidRDefault="00376E43" w:rsidP="00376E43">
            <w:pPr>
              <w:pStyle w:val="ListParagraph"/>
              <w:autoSpaceDE w:val="0"/>
              <w:autoSpaceDN w:val="0"/>
              <w:spacing w:line="276" w:lineRule="auto"/>
              <w:rPr>
                <w:rFonts w:asciiTheme="minorHAnsi" w:eastAsia="Calibri" w:hAnsiTheme="minorHAnsi" w:cs="Arial"/>
                <w:color w:val="000000"/>
                <w:sz w:val="22"/>
                <w:szCs w:val="22"/>
              </w:rPr>
            </w:pPr>
            <w:r w:rsidRPr="00F72F91">
              <w:rPr>
                <w:rFonts w:asciiTheme="minorHAnsi" w:eastAsia="Calibri" w:hAnsiTheme="minorHAnsi" w:cs="Arial"/>
                <w:color w:val="000000"/>
                <w:sz w:val="22"/>
                <w:szCs w:val="22"/>
              </w:rPr>
              <w:t xml:space="preserve">All incidents </w:t>
            </w:r>
            <w:r w:rsidR="00F24DA5" w:rsidRPr="00F72F91">
              <w:rPr>
                <w:rFonts w:asciiTheme="minorHAnsi" w:eastAsia="Calibri" w:hAnsiTheme="minorHAnsi" w:cs="Arial"/>
                <w:color w:val="000000"/>
                <w:sz w:val="22"/>
                <w:szCs w:val="22"/>
              </w:rPr>
              <w:t>reported on DATIX re discharge l</w:t>
            </w:r>
            <w:r w:rsidRPr="00F72F91">
              <w:rPr>
                <w:rFonts w:asciiTheme="minorHAnsi" w:eastAsia="Calibri" w:hAnsiTheme="minorHAnsi" w:cs="Arial"/>
                <w:color w:val="000000"/>
                <w:sz w:val="22"/>
                <w:szCs w:val="22"/>
              </w:rPr>
              <w:t>etters from services provided by NLAG are now being collated and reviewed with CCG and NLAG senior reps</w:t>
            </w:r>
            <w:r w:rsidR="00F24DA5" w:rsidRPr="00F72F91">
              <w:rPr>
                <w:rFonts w:asciiTheme="minorHAnsi" w:eastAsia="Calibri" w:hAnsiTheme="minorHAnsi" w:cs="Arial"/>
                <w:color w:val="000000"/>
                <w:sz w:val="22"/>
                <w:szCs w:val="22"/>
              </w:rPr>
              <w:t xml:space="preserve"> at QCR. </w:t>
            </w:r>
            <w:r w:rsidRPr="00F72F91">
              <w:rPr>
                <w:rFonts w:asciiTheme="minorHAnsi" w:eastAsia="Calibri" w:hAnsiTheme="minorHAnsi" w:cs="Arial"/>
                <w:color w:val="000000"/>
                <w:sz w:val="22"/>
                <w:szCs w:val="22"/>
              </w:rPr>
              <w:t xml:space="preserve"> GP Practices are being encouraged to continue to report </w:t>
            </w:r>
            <w:r w:rsidR="00F24DA5" w:rsidRPr="00F72F91">
              <w:rPr>
                <w:rFonts w:asciiTheme="minorHAnsi" w:eastAsia="Calibri" w:hAnsiTheme="minorHAnsi" w:cs="Arial"/>
                <w:color w:val="000000"/>
                <w:sz w:val="22"/>
                <w:szCs w:val="22"/>
              </w:rPr>
              <w:t xml:space="preserve">issues </w:t>
            </w:r>
            <w:r w:rsidRPr="00F72F91">
              <w:rPr>
                <w:rFonts w:asciiTheme="minorHAnsi" w:eastAsia="Calibri" w:hAnsiTheme="minorHAnsi" w:cs="Arial"/>
                <w:color w:val="000000"/>
                <w:sz w:val="22"/>
                <w:szCs w:val="22"/>
              </w:rPr>
              <w:t>on DATIX to enable us to understand if this service is improving</w:t>
            </w:r>
            <w:r w:rsidR="00F24DA5" w:rsidRPr="00F72F91">
              <w:rPr>
                <w:rFonts w:asciiTheme="minorHAnsi" w:eastAsia="Calibri" w:hAnsiTheme="minorHAnsi" w:cs="Arial"/>
                <w:color w:val="000000"/>
                <w:sz w:val="22"/>
                <w:szCs w:val="22"/>
              </w:rPr>
              <w:t xml:space="preserve">, and also </w:t>
            </w:r>
            <w:r w:rsidR="00500C51">
              <w:rPr>
                <w:rFonts w:asciiTheme="minorHAnsi" w:eastAsia="Calibri" w:hAnsiTheme="minorHAnsi" w:cs="Arial"/>
                <w:color w:val="000000"/>
                <w:sz w:val="22"/>
                <w:szCs w:val="22"/>
              </w:rPr>
              <w:t>to feedback to NLG through a recently added</w:t>
            </w:r>
            <w:r w:rsidR="00F24DA5" w:rsidRPr="00F72F91">
              <w:rPr>
                <w:rFonts w:asciiTheme="minorHAnsi" w:eastAsia="Calibri" w:hAnsiTheme="minorHAnsi" w:cs="Arial"/>
                <w:color w:val="000000"/>
                <w:sz w:val="22"/>
                <w:szCs w:val="22"/>
              </w:rPr>
              <w:t xml:space="preserve"> “feedback” button at the end of the discharge letter. </w:t>
            </w:r>
            <w:r w:rsidR="00500C51">
              <w:rPr>
                <w:rFonts w:asciiTheme="minorHAnsi" w:eastAsia="Calibri" w:hAnsiTheme="minorHAnsi" w:cs="Arial"/>
                <w:color w:val="000000"/>
                <w:sz w:val="22"/>
                <w:szCs w:val="22"/>
              </w:rPr>
              <w:t>This helps NLG to learn from the feedback Primary Care provides.</w:t>
            </w:r>
          </w:p>
          <w:p w:rsidR="00376E43" w:rsidRPr="00F72F91" w:rsidRDefault="00376E43" w:rsidP="00376E43">
            <w:pPr>
              <w:pStyle w:val="ListParagraph"/>
              <w:autoSpaceDE w:val="0"/>
              <w:autoSpaceDN w:val="0"/>
              <w:spacing w:line="276" w:lineRule="auto"/>
              <w:rPr>
                <w:rFonts w:asciiTheme="minorHAnsi" w:eastAsia="Calibri" w:hAnsiTheme="minorHAnsi" w:cs="Arial"/>
                <w:color w:val="000000"/>
                <w:sz w:val="22"/>
                <w:szCs w:val="22"/>
              </w:rPr>
            </w:pPr>
          </w:p>
          <w:p w:rsidR="00376E43" w:rsidRPr="00F72F91" w:rsidRDefault="00376E43" w:rsidP="00376E43">
            <w:pPr>
              <w:pStyle w:val="ListParagraph"/>
              <w:numPr>
                <w:ilvl w:val="0"/>
                <w:numId w:val="18"/>
              </w:numPr>
              <w:autoSpaceDE w:val="0"/>
              <w:autoSpaceDN w:val="0"/>
              <w:spacing w:line="276" w:lineRule="auto"/>
              <w:rPr>
                <w:rFonts w:asciiTheme="minorHAnsi" w:eastAsia="Calibri" w:hAnsiTheme="minorHAnsi" w:cs="Arial"/>
                <w:b/>
                <w:bCs/>
                <w:color w:val="000000"/>
                <w:sz w:val="22"/>
                <w:szCs w:val="22"/>
              </w:rPr>
            </w:pPr>
            <w:r w:rsidRPr="00F72F91">
              <w:rPr>
                <w:rFonts w:asciiTheme="minorHAnsi" w:eastAsia="Calibri" w:hAnsiTheme="minorHAnsi" w:cs="Arial"/>
                <w:b/>
                <w:bCs/>
                <w:color w:val="000000"/>
                <w:sz w:val="22"/>
                <w:szCs w:val="22"/>
              </w:rPr>
              <w:t>Cytology Incidents</w:t>
            </w:r>
          </w:p>
          <w:p w:rsidR="00376E43" w:rsidRPr="00F72F91" w:rsidRDefault="00376E43" w:rsidP="00376E43">
            <w:pPr>
              <w:pStyle w:val="ListParagraph"/>
              <w:autoSpaceDE w:val="0"/>
              <w:autoSpaceDN w:val="0"/>
              <w:spacing w:line="276" w:lineRule="auto"/>
              <w:rPr>
                <w:rFonts w:asciiTheme="minorHAnsi" w:eastAsia="Calibri" w:hAnsiTheme="minorHAnsi" w:cs="Arial"/>
                <w:color w:val="000000"/>
                <w:sz w:val="22"/>
                <w:szCs w:val="22"/>
              </w:rPr>
            </w:pPr>
            <w:r w:rsidRPr="00F72F91">
              <w:rPr>
                <w:rFonts w:asciiTheme="minorHAnsi" w:eastAsia="Calibri" w:hAnsiTheme="minorHAnsi" w:cs="Arial"/>
                <w:color w:val="000000"/>
                <w:sz w:val="22"/>
                <w:szCs w:val="22"/>
              </w:rPr>
              <w:t>Pathlinks have submitted a total of 9 incidents during the last quarter with reference to cytology samples being either incorrectly or unlabelled.  All have been sent to respective GP Practices for investigation with the main theme being human error and the patient will be recalled in 3 months.  The CCG are awaiting further feedback from the Immunisation and Screening Team (NHS England) as to next steps.</w:t>
            </w:r>
          </w:p>
          <w:p w:rsidR="00376E43" w:rsidRPr="00F72F91" w:rsidRDefault="00376E43" w:rsidP="00F24DA5">
            <w:pPr>
              <w:autoSpaceDE w:val="0"/>
              <w:autoSpaceDN w:val="0"/>
              <w:spacing w:line="276" w:lineRule="auto"/>
              <w:jc w:val="both"/>
              <w:rPr>
                <w:rFonts w:asciiTheme="minorHAnsi" w:eastAsia="Calibri" w:hAnsiTheme="minorHAnsi" w:cs="Arial"/>
                <w:color w:val="000000"/>
                <w:sz w:val="22"/>
                <w:szCs w:val="22"/>
              </w:rPr>
            </w:pPr>
          </w:p>
          <w:p w:rsidR="00376E43" w:rsidRPr="00F72F91" w:rsidRDefault="00376E43" w:rsidP="00376E43">
            <w:pPr>
              <w:pStyle w:val="ListParagraph"/>
              <w:numPr>
                <w:ilvl w:val="0"/>
                <w:numId w:val="18"/>
              </w:numPr>
              <w:autoSpaceDE w:val="0"/>
              <w:autoSpaceDN w:val="0"/>
              <w:spacing w:line="276" w:lineRule="auto"/>
              <w:jc w:val="both"/>
              <w:rPr>
                <w:rFonts w:asciiTheme="minorHAnsi" w:eastAsia="Calibri" w:hAnsiTheme="minorHAnsi" w:cs="Arial"/>
                <w:b/>
                <w:bCs/>
                <w:color w:val="000000"/>
                <w:sz w:val="22"/>
                <w:szCs w:val="22"/>
              </w:rPr>
            </w:pPr>
            <w:r w:rsidRPr="00F72F91">
              <w:rPr>
                <w:rFonts w:asciiTheme="minorHAnsi" w:eastAsia="Calibri" w:hAnsiTheme="minorHAnsi" w:cs="Arial"/>
                <w:b/>
                <w:bCs/>
                <w:color w:val="000000"/>
                <w:sz w:val="22"/>
                <w:szCs w:val="22"/>
              </w:rPr>
              <w:t>Medication Incidents</w:t>
            </w:r>
          </w:p>
          <w:p w:rsidR="00376E43" w:rsidRPr="00F72F91" w:rsidRDefault="00376E43" w:rsidP="00376E43">
            <w:pPr>
              <w:pStyle w:val="ListParagraph"/>
              <w:autoSpaceDE w:val="0"/>
              <w:autoSpaceDN w:val="0"/>
              <w:spacing w:line="276" w:lineRule="auto"/>
              <w:jc w:val="both"/>
              <w:rPr>
                <w:rFonts w:asciiTheme="minorHAnsi" w:eastAsia="Calibri" w:hAnsiTheme="minorHAnsi" w:cs="Arial"/>
                <w:color w:val="000000"/>
                <w:sz w:val="22"/>
                <w:szCs w:val="22"/>
              </w:rPr>
            </w:pPr>
            <w:r w:rsidRPr="00F72F91">
              <w:rPr>
                <w:rFonts w:asciiTheme="minorHAnsi" w:eastAsia="Calibri" w:hAnsiTheme="minorHAnsi" w:cs="Arial"/>
                <w:color w:val="000000"/>
                <w:sz w:val="22"/>
                <w:szCs w:val="22"/>
              </w:rPr>
              <w:t xml:space="preserve">Across Q1-Q3 we received 65 incidents </w:t>
            </w:r>
            <w:r w:rsidR="00F24DA5" w:rsidRPr="00F72F91">
              <w:rPr>
                <w:rFonts w:asciiTheme="minorHAnsi" w:eastAsia="Calibri" w:hAnsiTheme="minorHAnsi" w:cs="Arial"/>
                <w:color w:val="000000"/>
                <w:sz w:val="22"/>
                <w:szCs w:val="22"/>
              </w:rPr>
              <w:t xml:space="preserve">related to </w:t>
            </w:r>
            <w:r w:rsidRPr="00F72F91">
              <w:rPr>
                <w:rFonts w:asciiTheme="minorHAnsi" w:eastAsia="Calibri" w:hAnsiTheme="minorHAnsi" w:cs="Arial"/>
                <w:color w:val="000000"/>
                <w:sz w:val="22"/>
                <w:szCs w:val="22"/>
              </w:rPr>
              <w:t>medication specific issues/errors</w:t>
            </w:r>
            <w:r w:rsidR="00F24DA5" w:rsidRPr="00F72F91">
              <w:rPr>
                <w:rFonts w:asciiTheme="minorHAnsi" w:eastAsia="Calibri" w:hAnsiTheme="minorHAnsi" w:cs="Arial"/>
                <w:color w:val="000000"/>
                <w:sz w:val="22"/>
                <w:szCs w:val="22"/>
              </w:rPr>
              <w:t xml:space="preserve">. This is the </w:t>
            </w:r>
            <w:r w:rsidRPr="00F72F91">
              <w:rPr>
                <w:rFonts w:asciiTheme="minorHAnsi" w:eastAsia="Calibri" w:hAnsiTheme="minorHAnsi" w:cs="Arial"/>
                <w:color w:val="000000"/>
                <w:sz w:val="22"/>
                <w:szCs w:val="22"/>
              </w:rPr>
              <w:t>highest</w:t>
            </w:r>
            <w:r w:rsidR="00F24DA5" w:rsidRPr="00F72F91">
              <w:rPr>
                <w:rFonts w:asciiTheme="minorHAnsi" w:eastAsia="Calibri" w:hAnsiTheme="minorHAnsi" w:cs="Arial"/>
                <w:color w:val="000000"/>
                <w:sz w:val="22"/>
                <w:szCs w:val="22"/>
              </w:rPr>
              <w:t xml:space="preserve"> reported category</w:t>
            </w:r>
            <w:r w:rsidRPr="00F72F91">
              <w:rPr>
                <w:rFonts w:asciiTheme="minorHAnsi" w:eastAsia="Calibri" w:hAnsiTheme="minorHAnsi" w:cs="Arial"/>
                <w:color w:val="000000"/>
                <w:sz w:val="22"/>
                <w:szCs w:val="22"/>
              </w:rPr>
              <w:t xml:space="preserve"> of errors.  Out of those 65 incident</w:t>
            </w:r>
            <w:r w:rsidR="0052687C" w:rsidRPr="00F72F91">
              <w:rPr>
                <w:rFonts w:asciiTheme="minorHAnsi" w:eastAsia="Calibri" w:hAnsiTheme="minorHAnsi" w:cs="Arial"/>
                <w:color w:val="000000"/>
                <w:sz w:val="22"/>
                <w:szCs w:val="22"/>
              </w:rPr>
              <w:t>s,</w:t>
            </w:r>
            <w:r w:rsidRPr="00F72F91">
              <w:rPr>
                <w:rFonts w:asciiTheme="minorHAnsi" w:eastAsia="Calibri" w:hAnsiTheme="minorHAnsi" w:cs="Arial"/>
                <w:color w:val="000000"/>
                <w:sz w:val="22"/>
                <w:szCs w:val="22"/>
              </w:rPr>
              <w:t xml:space="preserve"> a total of 29 specifically related to pharmacy errors</w:t>
            </w:r>
            <w:r w:rsidR="0052687C" w:rsidRPr="00F72F91">
              <w:rPr>
                <w:rFonts w:asciiTheme="minorHAnsi" w:eastAsia="Calibri" w:hAnsiTheme="minorHAnsi" w:cs="Arial"/>
                <w:color w:val="000000"/>
                <w:sz w:val="22"/>
                <w:szCs w:val="22"/>
              </w:rPr>
              <w:t xml:space="preserve"> and are sent to NHSE to investigate</w:t>
            </w:r>
            <w:r w:rsidRPr="00F72F91">
              <w:rPr>
                <w:rFonts w:asciiTheme="minorHAnsi" w:eastAsia="Calibri" w:hAnsiTheme="minorHAnsi" w:cs="Arial"/>
                <w:color w:val="000000"/>
                <w:sz w:val="22"/>
                <w:szCs w:val="22"/>
              </w:rPr>
              <w:t>.</w:t>
            </w:r>
            <w:r w:rsidR="0052687C" w:rsidRPr="00F72F91">
              <w:rPr>
                <w:rFonts w:asciiTheme="minorHAnsi" w:eastAsia="Calibri" w:hAnsiTheme="minorHAnsi" w:cs="Arial"/>
                <w:color w:val="000000"/>
                <w:sz w:val="22"/>
                <w:szCs w:val="22"/>
              </w:rPr>
              <w:t xml:space="preserve"> We are working with NHSE to improve the mechanism in place for them to feedback to us on pharmacy related issues.  </w:t>
            </w:r>
          </w:p>
          <w:p w:rsidR="00282EB7" w:rsidRPr="00F72F91" w:rsidRDefault="00282EB7" w:rsidP="00282EB7">
            <w:pPr>
              <w:pStyle w:val="Default"/>
              <w:spacing w:line="276" w:lineRule="auto"/>
              <w:jc w:val="both"/>
              <w:rPr>
                <w:rFonts w:asciiTheme="minorHAnsi" w:hAnsiTheme="minorHAnsi"/>
                <w:b/>
                <w:color w:val="auto"/>
                <w:sz w:val="22"/>
                <w:szCs w:val="22"/>
              </w:rPr>
            </w:pPr>
          </w:p>
          <w:p w:rsidR="00282EB7" w:rsidRPr="00F72F91" w:rsidRDefault="00282EB7" w:rsidP="00C31229">
            <w:pPr>
              <w:pStyle w:val="Default"/>
              <w:numPr>
                <w:ilvl w:val="0"/>
                <w:numId w:val="9"/>
              </w:numPr>
              <w:spacing w:line="276" w:lineRule="auto"/>
              <w:jc w:val="both"/>
              <w:rPr>
                <w:rFonts w:asciiTheme="minorHAnsi" w:hAnsiTheme="minorHAnsi"/>
                <w:b/>
                <w:color w:val="auto"/>
                <w:sz w:val="22"/>
                <w:szCs w:val="22"/>
              </w:rPr>
            </w:pPr>
            <w:r w:rsidRPr="00F72F91">
              <w:rPr>
                <w:rFonts w:asciiTheme="minorHAnsi" w:hAnsiTheme="minorHAnsi"/>
                <w:b/>
                <w:color w:val="auto"/>
                <w:sz w:val="22"/>
                <w:szCs w:val="22"/>
              </w:rPr>
              <w:t xml:space="preserve">Key Risks within </w:t>
            </w:r>
            <w:r w:rsidR="00712365" w:rsidRPr="00F72F91">
              <w:rPr>
                <w:rFonts w:asciiTheme="minorHAnsi" w:hAnsiTheme="minorHAnsi"/>
                <w:b/>
                <w:color w:val="auto"/>
                <w:sz w:val="22"/>
                <w:szCs w:val="22"/>
              </w:rPr>
              <w:t>M</w:t>
            </w:r>
            <w:r w:rsidRPr="00F72F91">
              <w:rPr>
                <w:rFonts w:asciiTheme="minorHAnsi" w:hAnsiTheme="minorHAnsi"/>
                <w:b/>
                <w:color w:val="auto"/>
                <w:sz w:val="22"/>
                <w:szCs w:val="22"/>
              </w:rPr>
              <w:t xml:space="preserve">ain </w:t>
            </w:r>
            <w:r w:rsidR="00712365" w:rsidRPr="00F72F91">
              <w:rPr>
                <w:rFonts w:asciiTheme="minorHAnsi" w:hAnsiTheme="minorHAnsi"/>
                <w:b/>
                <w:color w:val="auto"/>
                <w:sz w:val="22"/>
                <w:szCs w:val="22"/>
              </w:rPr>
              <w:t>P</w:t>
            </w:r>
            <w:r w:rsidRPr="00F72F91">
              <w:rPr>
                <w:rFonts w:asciiTheme="minorHAnsi" w:hAnsiTheme="minorHAnsi"/>
                <w:b/>
                <w:color w:val="auto"/>
                <w:sz w:val="22"/>
                <w:szCs w:val="22"/>
              </w:rPr>
              <w:t>roviders</w:t>
            </w:r>
          </w:p>
          <w:p w:rsidR="00282EB7" w:rsidRPr="00F72F91" w:rsidRDefault="00282EB7" w:rsidP="00282EB7">
            <w:pPr>
              <w:rPr>
                <w:rFonts w:asciiTheme="minorHAnsi" w:eastAsiaTheme="minorHAnsi" w:hAnsiTheme="minorHAnsi" w:cs="Arial"/>
                <w:b/>
                <w:bCs/>
                <w:sz w:val="22"/>
                <w:szCs w:val="22"/>
                <w:u w:val="single"/>
                <w:lang w:eastAsia="en-US"/>
              </w:rPr>
            </w:pPr>
          </w:p>
          <w:p w:rsidR="00282EB7" w:rsidRPr="00F72F91" w:rsidRDefault="00282EB7" w:rsidP="00712365">
            <w:pPr>
              <w:pStyle w:val="ListParagraph"/>
              <w:rPr>
                <w:rFonts w:asciiTheme="minorHAnsi" w:eastAsiaTheme="minorHAnsi" w:hAnsiTheme="minorHAnsi" w:cs="Arial"/>
                <w:b/>
                <w:bCs/>
                <w:sz w:val="22"/>
                <w:szCs w:val="22"/>
                <w:u w:val="single"/>
                <w:lang w:eastAsia="en-US"/>
              </w:rPr>
            </w:pPr>
            <w:r w:rsidRPr="00F72F91">
              <w:rPr>
                <w:rFonts w:asciiTheme="minorHAnsi" w:eastAsiaTheme="minorHAnsi" w:hAnsiTheme="minorHAnsi" w:cs="Arial"/>
                <w:b/>
                <w:bCs/>
                <w:sz w:val="22"/>
                <w:szCs w:val="22"/>
                <w:u w:val="single"/>
                <w:lang w:eastAsia="en-US"/>
              </w:rPr>
              <w:t xml:space="preserve">Key risks - </w:t>
            </w:r>
            <w:r w:rsidRPr="00F72F91">
              <w:rPr>
                <w:rFonts w:asciiTheme="minorHAnsi" w:eastAsiaTheme="minorHAnsi" w:hAnsiTheme="minorHAnsi" w:cs="Arial"/>
                <w:color w:val="000000"/>
                <w:sz w:val="22"/>
                <w:szCs w:val="22"/>
                <w:u w:val="single"/>
                <w:lang w:eastAsia="en-US"/>
              </w:rPr>
              <w:t>Northern Lincolnshire &amp; Goole NHS Foundation Trust</w:t>
            </w:r>
          </w:p>
          <w:p w:rsidR="00282EB7" w:rsidRPr="00F72F91" w:rsidRDefault="00712365" w:rsidP="00712365">
            <w:pPr>
              <w:pStyle w:val="ListParagraph"/>
              <w:spacing w:after="200" w:line="276" w:lineRule="auto"/>
              <w:rPr>
                <w:rFonts w:asciiTheme="minorHAnsi" w:eastAsiaTheme="minorHAnsi" w:hAnsiTheme="minorHAnsi" w:cs="Arial"/>
                <w:i/>
                <w:sz w:val="22"/>
                <w:szCs w:val="22"/>
                <w:lang w:eastAsia="en-US"/>
              </w:rPr>
            </w:pPr>
            <w:r w:rsidRPr="00F72F91">
              <w:rPr>
                <w:rFonts w:asciiTheme="minorHAnsi" w:eastAsiaTheme="minorHAnsi" w:hAnsiTheme="minorHAnsi" w:cs="Arial"/>
                <w:i/>
                <w:sz w:val="22"/>
                <w:szCs w:val="22"/>
                <w:lang w:eastAsia="en-US"/>
              </w:rPr>
              <w:t>Ophthalmology Service I</w:t>
            </w:r>
            <w:r w:rsidR="00282EB7" w:rsidRPr="00F72F91">
              <w:rPr>
                <w:rFonts w:asciiTheme="minorHAnsi" w:eastAsiaTheme="minorHAnsi" w:hAnsiTheme="minorHAnsi" w:cs="Arial"/>
                <w:i/>
                <w:sz w:val="22"/>
                <w:szCs w:val="22"/>
                <w:lang w:eastAsia="en-US"/>
              </w:rPr>
              <w:t>ssues:</w:t>
            </w:r>
          </w:p>
          <w:p w:rsidR="00282EB7" w:rsidRPr="00F72F91" w:rsidRDefault="00282EB7" w:rsidP="00712365">
            <w:pPr>
              <w:pStyle w:val="ListParagraph"/>
              <w:spacing w:after="200" w:line="276" w:lineRule="auto"/>
              <w:rPr>
                <w:rFonts w:asciiTheme="minorHAnsi" w:eastAsiaTheme="minorHAnsi" w:hAnsiTheme="minorHAnsi" w:cs="Arial"/>
                <w:sz w:val="22"/>
                <w:szCs w:val="22"/>
                <w:lang w:eastAsia="en-US"/>
              </w:rPr>
            </w:pPr>
            <w:r w:rsidRPr="00F72F91">
              <w:rPr>
                <w:rFonts w:asciiTheme="minorHAnsi" w:eastAsiaTheme="minorHAnsi" w:hAnsiTheme="minorHAnsi" w:cs="Arial"/>
                <w:sz w:val="22"/>
                <w:szCs w:val="22"/>
                <w:lang w:eastAsia="en-US"/>
              </w:rPr>
              <w:t>The Trust has confirmed, via the NL&amp;G Executive Contract Board, that all of the Ophthalmology patients identified from the earlier validation process, whose appointments were showing on the system as overdue</w:t>
            </w:r>
            <w:r w:rsidR="00712365" w:rsidRPr="00F72F91">
              <w:rPr>
                <w:rFonts w:asciiTheme="minorHAnsi" w:eastAsiaTheme="minorHAnsi" w:hAnsiTheme="minorHAnsi" w:cs="Arial"/>
                <w:sz w:val="22"/>
                <w:szCs w:val="22"/>
                <w:lang w:eastAsia="en-US"/>
              </w:rPr>
              <w:t>, have all now been seen.</w:t>
            </w:r>
          </w:p>
          <w:p w:rsidR="00712365" w:rsidRPr="00F72F91" w:rsidRDefault="00712365" w:rsidP="00712365">
            <w:pPr>
              <w:pStyle w:val="ListParagraph"/>
              <w:spacing w:after="200" w:line="276" w:lineRule="auto"/>
              <w:rPr>
                <w:rFonts w:asciiTheme="minorHAnsi" w:eastAsiaTheme="minorHAnsi" w:hAnsiTheme="minorHAnsi" w:cs="Arial"/>
                <w:sz w:val="22"/>
                <w:szCs w:val="22"/>
                <w:lang w:eastAsia="en-US"/>
              </w:rPr>
            </w:pPr>
          </w:p>
          <w:p w:rsidR="00712365" w:rsidRPr="00F72F91" w:rsidRDefault="00282EB7" w:rsidP="00712365">
            <w:pPr>
              <w:pStyle w:val="ListParagraph"/>
              <w:spacing w:after="200" w:line="276" w:lineRule="auto"/>
              <w:rPr>
                <w:rFonts w:asciiTheme="minorHAnsi" w:eastAsiaTheme="minorHAnsi" w:hAnsiTheme="minorHAnsi" w:cs="Arial"/>
                <w:sz w:val="22"/>
                <w:szCs w:val="22"/>
                <w:lang w:eastAsia="en-US"/>
              </w:rPr>
            </w:pPr>
            <w:r w:rsidRPr="00F72F91">
              <w:rPr>
                <w:rFonts w:asciiTheme="minorHAnsi" w:eastAsiaTheme="minorHAnsi" w:hAnsiTheme="minorHAnsi" w:cs="Arial"/>
                <w:sz w:val="22"/>
                <w:szCs w:val="22"/>
                <w:lang w:eastAsia="en-US"/>
              </w:rPr>
              <w:t>The NLCCG and NELCCG Patient Safety Team have confirmed that no additional SIs or incidents that relate to this issue have been reported following completion of the valida</w:t>
            </w:r>
            <w:r w:rsidR="00712365" w:rsidRPr="00F72F91">
              <w:rPr>
                <w:rFonts w:asciiTheme="minorHAnsi" w:eastAsiaTheme="minorHAnsi" w:hAnsiTheme="minorHAnsi" w:cs="Arial"/>
                <w:sz w:val="22"/>
                <w:szCs w:val="22"/>
                <w:lang w:eastAsia="en-US"/>
              </w:rPr>
              <w:t>tion exercise at the end of December 2015.</w:t>
            </w:r>
          </w:p>
          <w:p w:rsidR="00282EB7" w:rsidRPr="006B060C" w:rsidRDefault="00282EB7" w:rsidP="006B060C">
            <w:pPr>
              <w:pStyle w:val="ListParagraph"/>
              <w:spacing w:after="200" w:line="276" w:lineRule="auto"/>
              <w:rPr>
                <w:rFonts w:asciiTheme="minorHAnsi" w:eastAsiaTheme="minorHAnsi" w:hAnsiTheme="minorHAnsi" w:cs="Arial"/>
                <w:sz w:val="22"/>
                <w:szCs w:val="22"/>
                <w:lang w:eastAsia="en-US"/>
              </w:rPr>
            </w:pPr>
            <w:r w:rsidRPr="00F72F91">
              <w:rPr>
                <w:rFonts w:asciiTheme="minorHAnsi" w:eastAsiaTheme="minorHAnsi" w:hAnsiTheme="minorHAnsi" w:cs="Arial"/>
                <w:sz w:val="22"/>
                <w:szCs w:val="22"/>
                <w:lang w:eastAsia="en-US"/>
              </w:rPr>
              <w:t>This remains an area of concern until the SI action plan is complete; the action plan is not due to be complet</w:t>
            </w:r>
            <w:r w:rsidR="00712365" w:rsidRPr="00F72F91">
              <w:rPr>
                <w:rFonts w:asciiTheme="minorHAnsi" w:eastAsiaTheme="minorHAnsi" w:hAnsiTheme="minorHAnsi" w:cs="Arial"/>
                <w:sz w:val="22"/>
                <w:szCs w:val="22"/>
                <w:lang w:eastAsia="en-US"/>
              </w:rPr>
              <w:t>ed by the Trust until 01/12/16.</w:t>
            </w:r>
            <w:r w:rsidR="006B060C">
              <w:rPr>
                <w:rFonts w:asciiTheme="minorHAnsi" w:eastAsiaTheme="minorHAnsi" w:hAnsiTheme="minorHAnsi" w:cs="Arial"/>
                <w:sz w:val="22"/>
                <w:szCs w:val="22"/>
                <w:lang w:eastAsia="en-US"/>
              </w:rPr>
              <w:t xml:space="preserve"> </w:t>
            </w:r>
            <w:r w:rsidRPr="006B060C">
              <w:rPr>
                <w:rFonts w:asciiTheme="minorHAnsi" w:eastAsiaTheme="minorHAnsi" w:hAnsiTheme="minorHAnsi" w:cs="Arial"/>
                <w:sz w:val="22"/>
                <w:szCs w:val="22"/>
                <w:lang w:eastAsia="en-US"/>
              </w:rPr>
              <w:t>Commissioners are also aware that there could be additional incidents/serious incidents that arise as part of the implementation of the new Specialist Administration Teams structure</w:t>
            </w:r>
            <w:r w:rsidR="00712365" w:rsidRPr="006B060C">
              <w:rPr>
                <w:rFonts w:asciiTheme="minorHAnsi" w:eastAsiaTheme="minorHAnsi" w:hAnsiTheme="minorHAnsi" w:cs="Arial"/>
                <w:sz w:val="22"/>
                <w:szCs w:val="22"/>
                <w:lang w:eastAsia="en-US"/>
              </w:rPr>
              <w:t>.</w:t>
            </w:r>
          </w:p>
          <w:p w:rsidR="00712365" w:rsidRPr="00F72F91" w:rsidRDefault="00712365" w:rsidP="00712365">
            <w:pPr>
              <w:pStyle w:val="ListParagraph"/>
              <w:spacing w:after="200" w:line="276" w:lineRule="auto"/>
              <w:rPr>
                <w:rFonts w:asciiTheme="minorHAnsi" w:eastAsiaTheme="minorHAnsi" w:hAnsiTheme="minorHAnsi" w:cs="Arial"/>
                <w:sz w:val="22"/>
                <w:szCs w:val="22"/>
                <w:lang w:eastAsia="en-US"/>
              </w:rPr>
            </w:pPr>
          </w:p>
          <w:p w:rsidR="00180438" w:rsidRPr="00F72F91" w:rsidRDefault="00712365" w:rsidP="00180438">
            <w:pPr>
              <w:pStyle w:val="ListParagraph"/>
              <w:spacing w:after="200" w:line="276" w:lineRule="auto"/>
              <w:rPr>
                <w:rFonts w:asciiTheme="minorHAnsi" w:eastAsiaTheme="minorHAnsi" w:hAnsiTheme="minorHAnsi" w:cs="Arial"/>
                <w:i/>
                <w:sz w:val="22"/>
                <w:szCs w:val="22"/>
                <w:lang w:eastAsia="en-US"/>
              </w:rPr>
            </w:pPr>
            <w:r w:rsidRPr="00F72F91">
              <w:rPr>
                <w:rFonts w:asciiTheme="minorHAnsi" w:eastAsiaTheme="minorHAnsi" w:hAnsiTheme="minorHAnsi" w:cs="Arial"/>
                <w:i/>
                <w:sz w:val="22"/>
                <w:szCs w:val="22"/>
                <w:lang w:eastAsia="en-US"/>
              </w:rPr>
              <w:t>Mixed Sex Accommodation B</w:t>
            </w:r>
            <w:r w:rsidR="00282EB7" w:rsidRPr="00F72F91">
              <w:rPr>
                <w:rFonts w:asciiTheme="minorHAnsi" w:eastAsiaTheme="minorHAnsi" w:hAnsiTheme="minorHAnsi" w:cs="Arial"/>
                <w:i/>
                <w:sz w:val="22"/>
                <w:szCs w:val="22"/>
                <w:lang w:eastAsia="en-US"/>
              </w:rPr>
              <w:t>reaches in December 2015</w:t>
            </w:r>
          </w:p>
          <w:p w:rsidR="00282EB7" w:rsidRPr="00F72F91" w:rsidRDefault="00282EB7" w:rsidP="00DC358F">
            <w:pPr>
              <w:pStyle w:val="ListParagraph"/>
              <w:spacing w:after="200" w:line="276" w:lineRule="auto"/>
              <w:rPr>
                <w:rFonts w:asciiTheme="minorHAnsi" w:eastAsiaTheme="minorHAnsi" w:hAnsiTheme="minorHAnsi" w:cs="Arial"/>
                <w:i/>
                <w:sz w:val="22"/>
                <w:szCs w:val="22"/>
                <w:lang w:eastAsia="en-US"/>
              </w:rPr>
            </w:pPr>
            <w:r w:rsidRPr="00F72F91">
              <w:rPr>
                <w:rFonts w:asciiTheme="minorHAnsi" w:hAnsiTheme="minorHAnsi"/>
                <w:sz w:val="22"/>
                <w:szCs w:val="22"/>
              </w:rPr>
              <w:t>A mixed sex occurrence is defined as a patient in a clinical setting (specifically defined) that is occupied by a patient of the opposite sex or the patient has to pass through an area designated for the opposite sex, unless this can be justified for clinical reasons.</w:t>
            </w:r>
            <w:r w:rsidR="00054514" w:rsidRPr="00F72F91">
              <w:rPr>
                <w:rFonts w:asciiTheme="minorHAnsi" w:hAnsiTheme="minorHAnsi"/>
                <w:sz w:val="22"/>
                <w:szCs w:val="22"/>
              </w:rPr>
              <w:t xml:space="preserve"> </w:t>
            </w:r>
            <w:r w:rsidRPr="00F72F91">
              <w:rPr>
                <w:rFonts w:asciiTheme="minorHAnsi" w:hAnsiTheme="minorHAnsi"/>
                <w:sz w:val="22"/>
                <w:szCs w:val="22"/>
              </w:rPr>
              <w:t>NL</w:t>
            </w:r>
            <w:r w:rsidR="00712365" w:rsidRPr="00F72F91">
              <w:rPr>
                <w:rFonts w:asciiTheme="minorHAnsi" w:hAnsiTheme="minorHAnsi"/>
                <w:sz w:val="22"/>
                <w:szCs w:val="22"/>
              </w:rPr>
              <w:t>&amp;</w:t>
            </w:r>
            <w:r w:rsidRPr="00F72F91">
              <w:rPr>
                <w:rFonts w:asciiTheme="minorHAnsi" w:hAnsiTheme="minorHAnsi"/>
                <w:sz w:val="22"/>
                <w:szCs w:val="22"/>
              </w:rPr>
              <w:t xml:space="preserve">G is required to report any breaches to the mixed sex accommodation (MSA) policy. In December </w:t>
            </w:r>
            <w:r w:rsidR="00712365" w:rsidRPr="00F72F91">
              <w:rPr>
                <w:rFonts w:asciiTheme="minorHAnsi" w:hAnsiTheme="minorHAnsi"/>
                <w:sz w:val="22"/>
                <w:szCs w:val="22"/>
              </w:rPr>
              <w:t>2015 they reported 28 breaches.</w:t>
            </w:r>
            <w:r w:rsidR="00DC358F" w:rsidRPr="00F72F91">
              <w:rPr>
                <w:rFonts w:asciiTheme="minorHAnsi" w:hAnsiTheme="minorHAnsi"/>
                <w:sz w:val="22"/>
                <w:szCs w:val="22"/>
              </w:rPr>
              <w:t xml:space="preserve"> These occur mostly in HOBS beds (High Observation beds) due to the environmental layout of the bay.</w:t>
            </w:r>
          </w:p>
          <w:p w:rsidR="00282EB7" w:rsidRPr="00F72F91" w:rsidRDefault="00282EB7" w:rsidP="00282EB7">
            <w:pPr>
              <w:pStyle w:val="Default"/>
              <w:spacing w:line="276" w:lineRule="auto"/>
              <w:jc w:val="both"/>
              <w:rPr>
                <w:rFonts w:asciiTheme="minorHAnsi" w:hAnsiTheme="minorHAnsi"/>
                <w:b/>
                <w:color w:val="auto"/>
                <w:sz w:val="22"/>
                <w:szCs w:val="22"/>
              </w:rPr>
            </w:pPr>
          </w:p>
          <w:p w:rsidR="00282EB7" w:rsidRPr="00F72F91" w:rsidRDefault="00282EB7" w:rsidP="00DC358F">
            <w:pPr>
              <w:pStyle w:val="Default"/>
              <w:spacing w:line="276" w:lineRule="auto"/>
              <w:ind w:left="720"/>
              <w:jc w:val="both"/>
              <w:rPr>
                <w:rFonts w:asciiTheme="minorHAnsi" w:hAnsiTheme="minorHAnsi"/>
                <w:color w:val="auto"/>
                <w:sz w:val="22"/>
                <w:szCs w:val="22"/>
              </w:rPr>
            </w:pPr>
            <w:r w:rsidRPr="00F72F91">
              <w:rPr>
                <w:rFonts w:asciiTheme="minorHAnsi" w:hAnsiTheme="minorHAnsi"/>
                <w:color w:val="auto"/>
                <w:sz w:val="22"/>
                <w:szCs w:val="22"/>
              </w:rPr>
              <w:t>In December</w:t>
            </w:r>
            <w:r w:rsidR="00712365" w:rsidRPr="00F72F91">
              <w:rPr>
                <w:rFonts w:asciiTheme="minorHAnsi" w:hAnsiTheme="minorHAnsi"/>
                <w:color w:val="auto"/>
                <w:sz w:val="22"/>
                <w:szCs w:val="22"/>
              </w:rPr>
              <w:t>,</w:t>
            </w:r>
            <w:r w:rsidRPr="00F72F91">
              <w:rPr>
                <w:rFonts w:asciiTheme="minorHAnsi" w:hAnsiTheme="minorHAnsi"/>
                <w:color w:val="auto"/>
                <w:sz w:val="22"/>
                <w:szCs w:val="22"/>
              </w:rPr>
              <w:t xml:space="preserve"> 5 separate incidents of mixing were not justifiable as they were in response to bed capacity issues and A&amp;E pressures.</w:t>
            </w:r>
            <w:r w:rsidR="00712365" w:rsidRPr="00F72F91">
              <w:rPr>
                <w:rFonts w:asciiTheme="minorHAnsi" w:hAnsiTheme="minorHAnsi"/>
                <w:color w:val="auto"/>
                <w:sz w:val="22"/>
                <w:szCs w:val="22"/>
              </w:rPr>
              <w:t xml:space="preserve"> </w:t>
            </w:r>
            <w:r w:rsidRPr="00F72F91">
              <w:rPr>
                <w:rFonts w:asciiTheme="minorHAnsi" w:hAnsiTheme="minorHAnsi"/>
                <w:color w:val="auto"/>
                <w:sz w:val="22"/>
                <w:szCs w:val="22"/>
              </w:rPr>
              <w:t xml:space="preserve"> There were 28 patients affected by these breaches in total, 25 of which were in NEL are</w:t>
            </w:r>
            <w:r w:rsidR="00712365" w:rsidRPr="00F72F91">
              <w:rPr>
                <w:rFonts w:asciiTheme="minorHAnsi" w:hAnsiTheme="minorHAnsi"/>
                <w:color w:val="auto"/>
                <w:sz w:val="22"/>
                <w:szCs w:val="22"/>
              </w:rPr>
              <w:t>a, the other 3 from Lincs East.</w:t>
            </w:r>
            <w:r w:rsidR="00DC358F" w:rsidRPr="00F72F91">
              <w:rPr>
                <w:rFonts w:asciiTheme="minorHAnsi" w:hAnsiTheme="minorHAnsi"/>
                <w:color w:val="auto"/>
                <w:sz w:val="22"/>
                <w:szCs w:val="22"/>
              </w:rPr>
              <w:t xml:space="preserve"> </w:t>
            </w:r>
            <w:r w:rsidR="006B060C">
              <w:rPr>
                <w:rFonts w:asciiTheme="minorHAnsi" w:hAnsiTheme="minorHAnsi"/>
                <w:color w:val="auto"/>
                <w:sz w:val="22"/>
                <w:szCs w:val="22"/>
              </w:rPr>
              <w:t>NLG report that f</w:t>
            </w:r>
            <w:r w:rsidRPr="00F72F91">
              <w:rPr>
                <w:rFonts w:asciiTheme="minorHAnsi" w:hAnsiTheme="minorHAnsi"/>
                <w:color w:val="auto"/>
                <w:sz w:val="22"/>
                <w:szCs w:val="22"/>
              </w:rPr>
              <w:t>rom a patient experience point of view NL</w:t>
            </w:r>
            <w:r w:rsidR="00712365" w:rsidRPr="00F72F91">
              <w:rPr>
                <w:rFonts w:asciiTheme="minorHAnsi" w:hAnsiTheme="minorHAnsi"/>
                <w:color w:val="auto"/>
                <w:sz w:val="22"/>
                <w:szCs w:val="22"/>
              </w:rPr>
              <w:t>&amp;</w:t>
            </w:r>
            <w:r w:rsidRPr="00F72F91">
              <w:rPr>
                <w:rFonts w:asciiTheme="minorHAnsi" w:hAnsiTheme="minorHAnsi"/>
                <w:color w:val="auto"/>
                <w:sz w:val="22"/>
                <w:szCs w:val="22"/>
              </w:rPr>
              <w:t>G have had no related complaints and staff tried their very best to maintain privacy and dignity within these MSA breaches.</w:t>
            </w:r>
          </w:p>
          <w:p w:rsidR="00180438" w:rsidRPr="00F72F91" w:rsidRDefault="00180438" w:rsidP="00712365">
            <w:pPr>
              <w:pStyle w:val="Default"/>
              <w:spacing w:line="276" w:lineRule="auto"/>
              <w:ind w:left="720"/>
              <w:jc w:val="both"/>
              <w:rPr>
                <w:rFonts w:asciiTheme="minorHAnsi" w:hAnsiTheme="minorHAnsi"/>
                <w:color w:val="auto"/>
                <w:sz w:val="22"/>
                <w:szCs w:val="22"/>
              </w:rPr>
            </w:pPr>
          </w:p>
          <w:p w:rsidR="00282EB7" w:rsidRPr="00F72F91" w:rsidRDefault="00282EB7" w:rsidP="00DC358F">
            <w:pPr>
              <w:pStyle w:val="Default"/>
              <w:spacing w:line="276" w:lineRule="auto"/>
              <w:ind w:left="720"/>
              <w:jc w:val="both"/>
              <w:rPr>
                <w:rFonts w:asciiTheme="minorHAnsi" w:hAnsiTheme="minorHAnsi"/>
                <w:color w:val="auto"/>
                <w:sz w:val="22"/>
                <w:szCs w:val="22"/>
              </w:rPr>
            </w:pPr>
            <w:r w:rsidRPr="00F72F91">
              <w:rPr>
                <w:rFonts w:asciiTheme="minorHAnsi" w:hAnsiTheme="minorHAnsi"/>
                <w:color w:val="auto"/>
                <w:sz w:val="22"/>
                <w:szCs w:val="22"/>
              </w:rPr>
              <w:t xml:space="preserve">Root Cause Analysis was undertaken to identify key issues and action plans developed. </w:t>
            </w:r>
            <w:r w:rsidR="00180438" w:rsidRPr="00F72F91">
              <w:rPr>
                <w:rFonts w:asciiTheme="minorHAnsi" w:hAnsiTheme="minorHAnsi"/>
                <w:color w:val="auto"/>
                <w:sz w:val="22"/>
                <w:szCs w:val="22"/>
              </w:rPr>
              <w:t xml:space="preserve"> </w:t>
            </w:r>
            <w:r w:rsidR="006B060C">
              <w:rPr>
                <w:rFonts w:asciiTheme="minorHAnsi" w:hAnsiTheme="minorHAnsi"/>
                <w:color w:val="auto"/>
                <w:sz w:val="22"/>
                <w:szCs w:val="22"/>
              </w:rPr>
              <w:t>The CQC noted the</w:t>
            </w:r>
            <w:r w:rsidRPr="00F72F91">
              <w:rPr>
                <w:rFonts w:asciiTheme="minorHAnsi" w:hAnsiTheme="minorHAnsi"/>
                <w:color w:val="auto"/>
                <w:sz w:val="22"/>
                <w:szCs w:val="22"/>
              </w:rPr>
              <w:t xml:space="preserve"> breaches at their una</w:t>
            </w:r>
            <w:r w:rsidR="00180438" w:rsidRPr="00F72F91">
              <w:rPr>
                <w:rFonts w:asciiTheme="minorHAnsi" w:hAnsiTheme="minorHAnsi"/>
                <w:color w:val="auto"/>
                <w:sz w:val="22"/>
                <w:szCs w:val="22"/>
              </w:rPr>
              <w:t>nnounced inspection in January.</w:t>
            </w:r>
            <w:r w:rsidR="00DC358F" w:rsidRPr="00F72F91">
              <w:rPr>
                <w:rFonts w:asciiTheme="minorHAnsi" w:hAnsiTheme="minorHAnsi"/>
                <w:color w:val="auto"/>
                <w:sz w:val="22"/>
                <w:szCs w:val="22"/>
              </w:rPr>
              <w:t xml:space="preserve"> </w:t>
            </w:r>
            <w:r w:rsidRPr="00F72F91">
              <w:rPr>
                <w:rFonts w:asciiTheme="minorHAnsi" w:hAnsiTheme="minorHAnsi"/>
                <w:color w:val="auto"/>
                <w:sz w:val="22"/>
                <w:szCs w:val="22"/>
              </w:rPr>
              <w:t>Since January NL</w:t>
            </w:r>
            <w:r w:rsidR="00180438" w:rsidRPr="00F72F91">
              <w:rPr>
                <w:rFonts w:asciiTheme="minorHAnsi" w:hAnsiTheme="minorHAnsi"/>
                <w:color w:val="auto"/>
                <w:sz w:val="22"/>
                <w:szCs w:val="22"/>
              </w:rPr>
              <w:t>&amp;</w:t>
            </w:r>
            <w:r w:rsidRPr="00F72F91">
              <w:rPr>
                <w:rFonts w:asciiTheme="minorHAnsi" w:hAnsiTheme="minorHAnsi"/>
                <w:color w:val="auto"/>
                <w:sz w:val="22"/>
                <w:szCs w:val="22"/>
              </w:rPr>
              <w:t>G have undertaken the following actions:</w:t>
            </w:r>
          </w:p>
          <w:p w:rsidR="00282EB7" w:rsidRPr="00F72F91" w:rsidRDefault="00282EB7" w:rsidP="00C31229">
            <w:pPr>
              <w:pStyle w:val="Default"/>
              <w:numPr>
                <w:ilvl w:val="0"/>
                <w:numId w:val="10"/>
              </w:numPr>
              <w:spacing w:line="276" w:lineRule="auto"/>
              <w:jc w:val="both"/>
              <w:rPr>
                <w:rFonts w:asciiTheme="minorHAnsi" w:hAnsiTheme="minorHAnsi"/>
                <w:color w:val="auto"/>
                <w:sz w:val="22"/>
                <w:szCs w:val="22"/>
              </w:rPr>
            </w:pPr>
            <w:r w:rsidRPr="00F72F91">
              <w:rPr>
                <w:rFonts w:asciiTheme="minorHAnsi" w:hAnsiTheme="minorHAnsi"/>
                <w:color w:val="auto"/>
                <w:sz w:val="22"/>
                <w:szCs w:val="22"/>
              </w:rPr>
              <w:t xml:space="preserve">A review of the MSA policy. </w:t>
            </w:r>
            <w:r w:rsidR="005A0236" w:rsidRPr="00F72F91">
              <w:rPr>
                <w:rFonts w:asciiTheme="minorHAnsi" w:hAnsiTheme="minorHAnsi"/>
                <w:color w:val="auto"/>
                <w:sz w:val="22"/>
                <w:szCs w:val="22"/>
              </w:rPr>
              <w:t xml:space="preserve"> </w:t>
            </w:r>
            <w:r w:rsidRPr="00F72F91">
              <w:rPr>
                <w:rFonts w:asciiTheme="minorHAnsi" w:hAnsiTheme="minorHAnsi"/>
                <w:color w:val="auto"/>
                <w:sz w:val="22"/>
                <w:szCs w:val="22"/>
              </w:rPr>
              <w:t xml:space="preserve">This will be agreed by the both CCG’s before final sign-off at NLG to ensure there is clarity about the policy and </w:t>
            </w:r>
            <w:r w:rsidR="006B060C">
              <w:rPr>
                <w:rFonts w:asciiTheme="minorHAnsi" w:hAnsiTheme="minorHAnsi"/>
                <w:color w:val="auto"/>
                <w:sz w:val="22"/>
                <w:szCs w:val="22"/>
              </w:rPr>
              <w:t xml:space="preserve">about the </w:t>
            </w:r>
            <w:r w:rsidRPr="00F72F91">
              <w:rPr>
                <w:rFonts w:asciiTheme="minorHAnsi" w:hAnsiTheme="minorHAnsi"/>
                <w:color w:val="auto"/>
                <w:sz w:val="22"/>
                <w:szCs w:val="22"/>
              </w:rPr>
              <w:t>approach NL</w:t>
            </w:r>
            <w:r w:rsidR="00180438" w:rsidRPr="00F72F91">
              <w:rPr>
                <w:rFonts w:asciiTheme="minorHAnsi" w:hAnsiTheme="minorHAnsi"/>
                <w:color w:val="auto"/>
                <w:sz w:val="22"/>
                <w:szCs w:val="22"/>
              </w:rPr>
              <w:t>&amp;</w:t>
            </w:r>
            <w:r w:rsidRPr="00F72F91">
              <w:rPr>
                <w:rFonts w:asciiTheme="minorHAnsi" w:hAnsiTheme="minorHAnsi"/>
                <w:color w:val="auto"/>
                <w:sz w:val="22"/>
                <w:szCs w:val="22"/>
              </w:rPr>
              <w:t>G adopt.</w:t>
            </w:r>
          </w:p>
          <w:p w:rsidR="00282EB7" w:rsidRPr="00F72F91" w:rsidRDefault="00282EB7" w:rsidP="00C31229">
            <w:pPr>
              <w:pStyle w:val="Default"/>
              <w:numPr>
                <w:ilvl w:val="0"/>
                <w:numId w:val="10"/>
              </w:numPr>
              <w:spacing w:line="276" w:lineRule="auto"/>
              <w:jc w:val="both"/>
              <w:rPr>
                <w:rFonts w:asciiTheme="minorHAnsi" w:hAnsiTheme="minorHAnsi"/>
                <w:color w:val="auto"/>
                <w:sz w:val="22"/>
                <w:szCs w:val="22"/>
              </w:rPr>
            </w:pPr>
            <w:r w:rsidRPr="00F72F91">
              <w:rPr>
                <w:rFonts w:asciiTheme="minorHAnsi" w:hAnsiTheme="minorHAnsi"/>
                <w:color w:val="auto"/>
                <w:sz w:val="22"/>
                <w:szCs w:val="22"/>
              </w:rPr>
              <w:t>A new alert process has been put in place that alerts senior managers before the breach occurs to see if senior staff can make decisions that can avoid a breach.</w:t>
            </w:r>
          </w:p>
          <w:p w:rsidR="00282EB7" w:rsidRPr="00F72F91" w:rsidRDefault="00282EB7" w:rsidP="00C31229">
            <w:pPr>
              <w:pStyle w:val="Default"/>
              <w:numPr>
                <w:ilvl w:val="0"/>
                <w:numId w:val="10"/>
              </w:numPr>
              <w:spacing w:line="276" w:lineRule="auto"/>
              <w:jc w:val="both"/>
              <w:rPr>
                <w:rFonts w:asciiTheme="minorHAnsi" w:hAnsiTheme="minorHAnsi"/>
                <w:color w:val="auto"/>
                <w:sz w:val="22"/>
                <w:szCs w:val="22"/>
              </w:rPr>
            </w:pPr>
            <w:r w:rsidRPr="00F72F91">
              <w:rPr>
                <w:rFonts w:asciiTheme="minorHAnsi" w:hAnsiTheme="minorHAnsi"/>
                <w:color w:val="auto"/>
                <w:sz w:val="22"/>
                <w:szCs w:val="22"/>
              </w:rPr>
              <w:t>The Web-V IT system now visually identifies all male and female patients and therefore empty beds in male/female bays.</w:t>
            </w:r>
            <w:r w:rsidR="005A0236" w:rsidRPr="00F72F91">
              <w:rPr>
                <w:rFonts w:asciiTheme="minorHAnsi" w:hAnsiTheme="minorHAnsi"/>
                <w:color w:val="auto"/>
                <w:sz w:val="22"/>
                <w:szCs w:val="22"/>
              </w:rPr>
              <w:t xml:space="preserve"> </w:t>
            </w:r>
            <w:r w:rsidRPr="00F72F91">
              <w:rPr>
                <w:rFonts w:asciiTheme="minorHAnsi" w:hAnsiTheme="minorHAnsi"/>
                <w:color w:val="auto"/>
                <w:sz w:val="22"/>
                <w:szCs w:val="22"/>
              </w:rPr>
              <w:t xml:space="preserve"> It also shows all patients that are “ward ready” and therefore can be mo</w:t>
            </w:r>
            <w:r w:rsidR="006B060C">
              <w:rPr>
                <w:rFonts w:asciiTheme="minorHAnsi" w:hAnsiTheme="minorHAnsi"/>
                <w:color w:val="auto"/>
                <w:sz w:val="22"/>
                <w:szCs w:val="22"/>
              </w:rPr>
              <w:t xml:space="preserve">ved out of HOBS beds.  This </w:t>
            </w:r>
            <w:r w:rsidRPr="00F72F91">
              <w:rPr>
                <w:rFonts w:asciiTheme="minorHAnsi" w:hAnsiTheme="minorHAnsi"/>
                <w:color w:val="auto"/>
                <w:sz w:val="22"/>
                <w:szCs w:val="22"/>
              </w:rPr>
              <w:t xml:space="preserve">helps </w:t>
            </w:r>
            <w:r w:rsidR="006B060C">
              <w:rPr>
                <w:rFonts w:asciiTheme="minorHAnsi" w:hAnsiTheme="minorHAnsi"/>
                <w:color w:val="auto"/>
                <w:sz w:val="22"/>
                <w:szCs w:val="22"/>
              </w:rPr>
              <w:t xml:space="preserve">to </w:t>
            </w:r>
            <w:r w:rsidRPr="00F72F91">
              <w:rPr>
                <w:rFonts w:asciiTheme="minorHAnsi" w:hAnsiTheme="minorHAnsi"/>
                <w:color w:val="auto"/>
                <w:sz w:val="22"/>
                <w:szCs w:val="22"/>
              </w:rPr>
              <w:t>manage and avoid MSA breaches.</w:t>
            </w:r>
          </w:p>
          <w:p w:rsidR="00282EB7" w:rsidRPr="00F72F91" w:rsidRDefault="00282EB7" w:rsidP="00C31229">
            <w:pPr>
              <w:pStyle w:val="Default"/>
              <w:numPr>
                <w:ilvl w:val="0"/>
                <w:numId w:val="10"/>
              </w:numPr>
              <w:spacing w:line="276" w:lineRule="auto"/>
              <w:jc w:val="both"/>
              <w:rPr>
                <w:rFonts w:asciiTheme="minorHAnsi" w:hAnsiTheme="minorHAnsi"/>
                <w:color w:val="auto"/>
                <w:sz w:val="22"/>
                <w:szCs w:val="22"/>
              </w:rPr>
            </w:pPr>
            <w:r w:rsidRPr="00F72F91">
              <w:rPr>
                <w:rFonts w:asciiTheme="minorHAnsi" w:hAnsiTheme="minorHAnsi"/>
                <w:color w:val="auto"/>
                <w:sz w:val="22"/>
                <w:szCs w:val="22"/>
              </w:rPr>
              <w:t>Weekly challenge by the CEO regarding breaches and “near misses”.</w:t>
            </w:r>
          </w:p>
          <w:p w:rsidR="00282EB7" w:rsidRPr="00F72F91" w:rsidRDefault="00282EB7" w:rsidP="00282EB7">
            <w:pPr>
              <w:pStyle w:val="Default"/>
              <w:spacing w:line="276" w:lineRule="auto"/>
              <w:ind w:left="720"/>
              <w:jc w:val="both"/>
              <w:rPr>
                <w:rFonts w:asciiTheme="minorHAnsi" w:hAnsiTheme="minorHAnsi"/>
                <w:color w:val="auto"/>
                <w:sz w:val="22"/>
                <w:szCs w:val="22"/>
              </w:rPr>
            </w:pPr>
          </w:p>
          <w:p w:rsidR="006B060C" w:rsidRDefault="00282EB7" w:rsidP="006B060C">
            <w:pPr>
              <w:pStyle w:val="ListParagraph"/>
              <w:spacing w:after="200" w:line="276" w:lineRule="auto"/>
              <w:jc w:val="both"/>
              <w:rPr>
                <w:rFonts w:asciiTheme="minorHAnsi" w:eastAsiaTheme="minorHAnsi" w:hAnsiTheme="minorHAnsi" w:cs="Arial"/>
                <w:i/>
                <w:sz w:val="22"/>
                <w:szCs w:val="22"/>
                <w:lang w:eastAsia="en-US"/>
              </w:rPr>
            </w:pPr>
            <w:r w:rsidRPr="00F72F91">
              <w:rPr>
                <w:rFonts w:asciiTheme="minorHAnsi" w:eastAsiaTheme="minorHAnsi" w:hAnsiTheme="minorHAnsi" w:cs="Arial"/>
                <w:i/>
                <w:sz w:val="22"/>
                <w:szCs w:val="22"/>
                <w:lang w:eastAsia="en-US"/>
              </w:rPr>
              <w:t xml:space="preserve">Clinical Admin Review </w:t>
            </w:r>
            <w:r w:rsidR="006B060C">
              <w:rPr>
                <w:rFonts w:asciiTheme="minorHAnsi" w:eastAsiaTheme="minorHAnsi" w:hAnsiTheme="minorHAnsi" w:cs="Arial"/>
                <w:i/>
                <w:sz w:val="22"/>
                <w:szCs w:val="22"/>
                <w:lang w:eastAsia="en-US"/>
              </w:rPr>
              <w:t>– CAR.</w:t>
            </w:r>
          </w:p>
          <w:p w:rsidR="006B060C" w:rsidRPr="006B060C" w:rsidRDefault="006B060C" w:rsidP="006B060C">
            <w:pPr>
              <w:pStyle w:val="ListParagraph"/>
              <w:spacing w:after="200" w:line="276" w:lineRule="auto"/>
              <w:jc w:val="both"/>
              <w:rPr>
                <w:rFonts w:asciiTheme="minorHAnsi" w:eastAsiaTheme="minorHAnsi" w:hAnsiTheme="minorHAnsi" w:cs="Arial"/>
                <w:i/>
                <w:sz w:val="22"/>
                <w:szCs w:val="22"/>
                <w:lang w:eastAsia="en-US"/>
              </w:rPr>
            </w:pPr>
            <w:r w:rsidRPr="006B060C">
              <w:rPr>
                <w:rFonts w:asciiTheme="minorHAnsi" w:eastAsiaTheme="minorHAnsi" w:hAnsiTheme="minorHAnsi" w:cs="Arial"/>
                <w:sz w:val="22"/>
                <w:szCs w:val="22"/>
                <w:lang w:eastAsia="en-US"/>
              </w:rPr>
              <w:t xml:space="preserve">Following the SI’s related to Ophthalmology, NLG implemented a Clinical Admin Review – the CAR. The CAR creates new admin and typing teams that NLG consider will streamline the admin function, making it more efficient and a more personal service to patients, giving patients a named person to contact for any queries. </w:t>
            </w:r>
            <w:r w:rsidRPr="00F72F91">
              <w:rPr>
                <w:rFonts w:asciiTheme="minorHAnsi" w:eastAsiaTheme="minorHAnsi" w:hAnsiTheme="minorHAnsi" w:cs="Arial"/>
                <w:sz w:val="22"/>
                <w:szCs w:val="22"/>
                <w:lang w:eastAsia="en-US"/>
              </w:rPr>
              <w:t xml:space="preserve">The Trust has advised that the Clinical Admin Review (CAR) is now complete. However, an element of risk remains whilst the Specialist Administration Teams are being established. </w:t>
            </w:r>
          </w:p>
          <w:p w:rsidR="006B060C" w:rsidRPr="006B060C" w:rsidRDefault="006B060C" w:rsidP="006B060C">
            <w:pPr>
              <w:pStyle w:val="ListParagraph"/>
              <w:spacing w:after="200" w:line="276" w:lineRule="auto"/>
              <w:jc w:val="both"/>
              <w:rPr>
                <w:rFonts w:asciiTheme="minorHAnsi" w:eastAsiaTheme="minorHAnsi" w:hAnsiTheme="minorHAnsi" w:cs="Arial"/>
                <w:sz w:val="22"/>
                <w:szCs w:val="22"/>
                <w:lang w:eastAsia="en-US"/>
              </w:rPr>
            </w:pPr>
            <w:r w:rsidRPr="006B060C">
              <w:rPr>
                <w:rFonts w:asciiTheme="minorHAnsi" w:eastAsiaTheme="minorHAnsi" w:hAnsiTheme="minorHAnsi" w:cs="Arial"/>
                <w:sz w:val="22"/>
                <w:szCs w:val="22"/>
                <w:lang w:eastAsia="en-US"/>
              </w:rPr>
              <w:t xml:space="preserve">A number of incidents reported are connected directly or indirectly to the CAR; we are also aware of concerns raised by NLG admin staff (through anonymous letters) regarding the process of the CAR. NLG have put robust monitoring of the CAR review into place, led by the CEO and reported to the CQC, and also shared with commissioners through Executive Contract Board meetings, and meetings between the NLG Director of Risk and CCG Director of Quality &amp; Nursing. </w:t>
            </w:r>
          </w:p>
          <w:p w:rsidR="006B060C" w:rsidRDefault="006B060C" w:rsidP="006B060C">
            <w:pPr>
              <w:pStyle w:val="ListParagraph"/>
              <w:spacing w:after="200" w:line="276" w:lineRule="auto"/>
              <w:jc w:val="both"/>
              <w:rPr>
                <w:rFonts w:asciiTheme="minorHAnsi" w:eastAsiaTheme="minorHAnsi" w:hAnsiTheme="minorHAnsi" w:cs="Arial"/>
                <w:sz w:val="22"/>
                <w:szCs w:val="22"/>
                <w:lang w:eastAsia="en-US"/>
              </w:rPr>
            </w:pPr>
            <w:r w:rsidRPr="006B060C">
              <w:rPr>
                <w:rFonts w:asciiTheme="minorHAnsi" w:eastAsiaTheme="minorHAnsi" w:hAnsiTheme="minorHAnsi" w:cs="Arial"/>
                <w:sz w:val="22"/>
                <w:szCs w:val="22"/>
                <w:lang w:eastAsia="en-US"/>
              </w:rPr>
              <w:t>The Quality Team are currently reviewing all incident data and intelligence available and we are closely monitoring investigation responses by NLG to all related incidents. The Quality Team are producing a timeline of issues and will clarify our specific concerns in respect of the CAR which will then be taken to the Quality Committee to agree a way forward.</w:t>
            </w:r>
          </w:p>
          <w:p w:rsidR="006B060C" w:rsidRDefault="006B060C" w:rsidP="00054514">
            <w:pPr>
              <w:pStyle w:val="ListParagraph"/>
              <w:spacing w:after="200" w:line="276" w:lineRule="auto"/>
              <w:jc w:val="both"/>
              <w:rPr>
                <w:rFonts w:asciiTheme="minorHAnsi" w:eastAsiaTheme="minorHAnsi" w:hAnsiTheme="minorHAnsi" w:cs="Arial"/>
                <w:sz w:val="22"/>
                <w:szCs w:val="22"/>
                <w:lang w:eastAsia="en-US"/>
              </w:rPr>
            </w:pPr>
          </w:p>
          <w:p w:rsidR="00282EB7" w:rsidRPr="00F72F91" w:rsidRDefault="00282EB7" w:rsidP="007F216E">
            <w:pPr>
              <w:pStyle w:val="ListParagraph"/>
              <w:spacing w:after="200" w:line="276" w:lineRule="auto"/>
              <w:jc w:val="both"/>
              <w:rPr>
                <w:rFonts w:asciiTheme="minorHAnsi" w:eastAsiaTheme="minorHAnsi" w:hAnsiTheme="minorHAnsi" w:cs="Arial"/>
                <w:i/>
                <w:sz w:val="22"/>
                <w:szCs w:val="22"/>
                <w:lang w:eastAsia="en-US"/>
              </w:rPr>
            </w:pPr>
            <w:r w:rsidRPr="00F72F91">
              <w:rPr>
                <w:rFonts w:asciiTheme="minorHAnsi" w:eastAsiaTheme="minorHAnsi" w:hAnsiTheme="minorHAnsi" w:cs="Arial"/>
                <w:i/>
                <w:sz w:val="22"/>
                <w:szCs w:val="22"/>
                <w:lang w:eastAsia="en-US"/>
              </w:rPr>
              <w:t xml:space="preserve">CQC inspection </w:t>
            </w:r>
          </w:p>
          <w:p w:rsidR="00282EB7" w:rsidRPr="006B060C" w:rsidRDefault="00282EB7" w:rsidP="006B060C">
            <w:pPr>
              <w:pStyle w:val="ListParagraph"/>
              <w:spacing w:after="200" w:line="276" w:lineRule="auto"/>
              <w:jc w:val="both"/>
              <w:rPr>
                <w:rFonts w:asciiTheme="minorHAnsi" w:eastAsiaTheme="minorHAnsi" w:hAnsiTheme="minorHAnsi" w:cs="Arial"/>
                <w:sz w:val="22"/>
                <w:szCs w:val="22"/>
                <w:lang w:eastAsia="en-US"/>
              </w:rPr>
            </w:pPr>
            <w:r w:rsidRPr="00F72F91">
              <w:rPr>
                <w:rFonts w:asciiTheme="minorHAnsi" w:eastAsiaTheme="minorHAnsi" w:hAnsiTheme="minorHAnsi" w:cs="Arial"/>
                <w:sz w:val="22"/>
                <w:szCs w:val="22"/>
                <w:lang w:eastAsia="en-US"/>
              </w:rPr>
              <w:t>The Trust has formally responded back to the CQC following the recent inspection, the draft outcome report is expec</w:t>
            </w:r>
            <w:r w:rsidR="00180438" w:rsidRPr="00F72F91">
              <w:rPr>
                <w:rFonts w:asciiTheme="minorHAnsi" w:eastAsiaTheme="minorHAnsi" w:hAnsiTheme="minorHAnsi" w:cs="Arial"/>
                <w:sz w:val="22"/>
                <w:szCs w:val="22"/>
                <w:lang w:eastAsia="en-US"/>
              </w:rPr>
              <w:t>ted to be published imminently.</w:t>
            </w:r>
            <w:r w:rsidR="006B060C">
              <w:rPr>
                <w:rFonts w:asciiTheme="minorHAnsi" w:eastAsiaTheme="minorHAnsi" w:hAnsiTheme="minorHAnsi" w:cs="Arial"/>
                <w:sz w:val="22"/>
                <w:szCs w:val="22"/>
                <w:lang w:eastAsia="en-US"/>
              </w:rPr>
              <w:t xml:space="preserve"> </w:t>
            </w:r>
            <w:r w:rsidRPr="006B060C">
              <w:rPr>
                <w:rFonts w:asciiTheme="minorHAnsi" w:eastAsiaTheme="minorHAnsi" w:hAnsiTheme="minorHAnsi" w:cs="Arial"/>
                <w:sz w:val="22"/>
                <w:szCs w:val="22"/>
                <w:lang w:eastAsia="en-US"/>
              </w:rPr>
              <w:t>The Trust has advised Commissioners (via the NL&amp;G Executive Contract Board) that, following the 2015 CQC visit, the CQC had asked for some additional information and assurance from the Trust – the two main areas being in respect of Out Patient Department (OPD) follow-up appointments and how the Trust is managin</w:t>
            </w:r>
            <w:r w:rsidR="00180438" w:rsidRPr="006B060C">
              <w:rPr>
                <w:rFonts w:asciiTheme="minorHAnsi" w:eastAsiaTheme="minorHAnsi" w:hAnsiTheme="minorHAnsi" w:cs="Arial"/>
                <w:sz w:val="22"/>
                <w:szCs w:val="22"/>
                <w:lang w:eastAsia="en-US"/>
              </w:rPr>
              <w:t>g ligature risks in A&amp;E at SGH.</w:t>
            </w:r>
          </w:p>
          <w:p w:rsidR="00180438" w:rsidRPr="00F72F91" w:rsidRDefault="00180438" w:rsidP="007F216E">
            <w:pPr>
              <w:pStyle w:val="ListParagraph"/>
              <w:spacing w:after="200" w:line="276" w:lineRule="auto"/>
              <w:jc w:val="both"/>
              <w:rPr>
                <w:rFonts w:asciiTheme="minorHAnsi" w:eastAsiaTheme="minorHAnsi" w:hAnsiTheme="minorHAnsi" w:cs="Arial"/>
                <w:sz w:val="22"/>
                <w:szCs w:val="22"/>
                <w:lang w:eastAsia="en-US"/>
              </w:rPr>
            </w:pPr>
          </w:p>
          <w:p w:rsidR="00180438" w:rsidRPr="00F72F91" w:rsidRDefault="00282EB7" w:rsidP="007F216E">
            <w:pPr>
              <w:pStyle w:val="ListParagraph"/>
              <w:spacing w:after="200" w:line="276" w:lineRule="auto"/>
              <w:jc w:val="both"/>
              <w:rPr>
                <w:rFonts w:asciiTheme="minorHAnsi" w:eastAsiaTheme="minorHAnsi" w:hAnsiTheme="minorHAnsi" w:cs="Arial"/>
                <w:sz w:val="22"/>
                <w:szCs w:val="22"/>
                <w:lang w:eastAsia="en-US"/>
              </w:rPr>
            </w:pPr>
            <w:r w:rsidRPr="00F72F91">
              <w:rPr>
                <w:rFonts w:asciiTheme="minorHAnsi" w:eastAsiaTheme="minorHAnsi" w:hAnsiTheme="minorHAnsi" w:cs="Arial"/>
                <w:sz w:val="22"/>
                <w:szCs w:val="22"/>
                <w:lang w:eastAsia="en-US"/>
              </w:rPr>
              <w:t>The Trust has circulated the latest version of its CQC action plan to Commissioners.</w:t>
            </w:r>
            <w:r w:rsidR="005A0236" w:rsidRPr="00F72F91">
              <w:rPr>
                <w:rFonts w:asciiTheme="minorHAnsi" w:eastAsiaTheme="minorHAnsi" w:hAnsiTheme="minorHAnsi" w:cs="Arial"/>
                <w:sz w:val="22"/>
                <w:szCs w:val="22"/>
                <w:lang w:eastAsia="en-US"/>
              </w:rPr>
              <w:t xml:space="preserve"> </w:t>
            </w:r>
            <w:r w:rsidRPr="00F72F91">
              <w:rPr>
                <w:rFonts w:asciiTheme="minorHAnsi" w:eastAsiaTheme="minorHAnsi" w:hAnsiTheme="minorHAnsi" w:cs="Arial"/>
                <w:sz w:val="22"/>
                <w:szCs w:val="22"/>
                <w:lang w:eastAsia="en-US"/>
              </w:rPr>
              <w:t xml:space="preserve"> The action plan is shared weekly with the CQC and is submitted to the NL&amp;G Executive Contract Board on a monthly basis.</w:t>
            </w:r>
          </w:p>
          <w:p w:rsidR="00282EB7" w:rsidRPr="00F72F91" w:rsidRDefault="00282EB7" w:rsidP="00C31229">
            <w:pPr>
              <w:pStyle w:val="ListParagraph"/>
              <w:numPr>
                <w:ilvl w:val="0"/>
                <w:numId w:val="11"/>
              </w:numPr>
              <w:spacing w:after="200" w:line="276" w:lineRule="auto"/>
              <w:jc w:val="both"/>
              <w:rPr>
                <w:rFonts w:asciiTheme="minorHAnsi" w:eastAsiaTheme="minorHAnsi" w:hAnsiTheme="minorHAnsi" w:cs="Arial"/>
                <w:sz w:val="22"/>
                <w:szCs w:val="22"/>
                <w:lang w:eastAsia="en-US"/>
              </w:rPr>
            </w:pPr>
            <w:r w:rsidRPr="00F72F91">
              <w:rPr>
                <w:rFonts w:asciiTheme="minorHAnsi" w:eastAsiaTheme="minorHAnsi" w:hAnsiTheme="minorHAnsi" w:cs="Arial"/>
                <w:sz w:val="22"/>
                <w:szCs w:val="22"/>
                <w:lang w:eastAsia="en-US"/>
              </w:rPr>
              <w:t>OPD Follow-up</w:t>
            </w:r>
          </w:p>
          <w:p w:rsidR="00282EB7" w:rsidRPr="00F72F91" w:rsidRDefault="00282EB7" w:rsidP="007F216E">
            <w:pPr>
              <w:pStyle w:val="ListParagraph"/>
              <w:spacing w:after="200" w:line="276" w:lineRule="auto"/>
              <w:ind w:left="1440"/>
              <w:jc w:val="both"/>
              <w:rPr>
                <w:rFonts w:asciiTheme="minorHAnsi" w:eastAsiaTheme="minorHAnsi" w:hAnsiTheme="minorHAnsi" w:cs="Arial"/>
                <w:sz w:val="22"/>
                <w:szCs w:val="22"/>
                <w:lang w:eastAsia="en-US"/>
              </w:rPr>
            </w:pPr>
            <w:r w:rsidRPr="00F72F91">
              <w:rPr>
                <w:rFonts w:asciiTheme="minorHAnsi" w:eastAsiaTheme="minorHAnsi" w:hAnsiTheme="minorHAnsi" w:cs="Arial"/>
                <w:sz w:val="22"/>
                <w:szCs w:val="22"/>
                <w:lang w:eastAsia="en-US"/>
              </w:rPr>
              <w:t xml:space="preserve">In respect of OPD follow-up, the validation of the 19,127 patients on the priority waiting list (i.e. patients identified on the system as being overdue their follow-up appointment) is now complete. </w:t>
            </w:r>
            <w:r w:rsidR="005A0236" w:rsidRPr="00F72F91">
              <w:rPr>
                <w:rFonts w:asciiTheme="minorHAnsi" w:eastAsiaTheme="minorHAnsi" w:hAnsiTheme="minorHAnsi" w:cs="Arial"/>
                <w:sz w:val="22"/>
                <w:szCs w:val="22"/>
                <w:lang w:eastAsia="en-US"/>
              </w:rPr>
              <w:t xml:space="preserve"> </w:t>
            </w:r>
            <w:r w:rsidRPr="00F72F91">
              <w:rPr>
                <w:rFonts w:asciiTheme="minorHAnsi" w:eastAsiaTheme="minorHAnsi" w:hAnsiTheme="minorHAnsi" w:cs="Arial"/>
                <w:sz w:val="22"/>
                <w:szCs w:val="22"/>
                <w:lang w:eastAsia="en-US"/>
              </w:rPr>
              <w:t xml:space="preserve">Revised booking rules have also been introduced, to minimise the number of repeat appointment cancellations.  The Trust continues to report on-going capacity issues in general surgery and ophthalmology, the Trust has agreed to share the recovery plans for these services with Commissioners via the established contractual mechanisms. </w:t>
            </w:r>
            <w:r w:rsidR="005A0236" w:rsidRPr="00F72F91">
              <w:rPr>
                <w:rFonts w:asciiTheme="minorHAnsi" w:eastAsiaTheme="minorHAnsi" w:hAnsiTheme="minorHAnsi" w:cs="Arial"/>
                <w:sz w:val="22"/>
                <w:szCs w:val="22"/>
                <w:lang w:eastAsia="en-US"/>
              </w:rPr>
              <w:t xml:space="preserve"> </w:t>
            </w:r>
            <w:r w:rsidRPr="00F72F91">
              <w:rPr>
                <w:rFonts w:asciiTheme="minorHAnsi" w:eastAsiaTheme="minorHAnsi" w:hAnsiTheme="minorHAnsi" w:cs="Arial"/>
                <w:sz w:val="22"/>
                <w:szCs w:val="22"/>
                <w:lang w:eastAsia="en-US"/>
              </w:rPr>
              <w:t>No incidents of harm have been identified from the above validation exercise.</w:t>
            </w:r>
          </w:p>
          <w:p w:rsidR="00282EB7" w:rsidRPr="00F72F91" w:rsidRDefault="00282EB7" w:rsidP="00C31229">
            <w:pPr>
              <w:pStyle w:val="ListParagraph"/>
              <w:numPr>
                <w:ilvl w:val="0"/>
                <w:numId w:val="11"/>
              </w:numPr>
              <w:spacing w:after="200" w:line="276" w:lineRule="auto"/>
              <w:jc w:val="both"/>
              <w:rPr>
                <w:rFonts w:asciiTheme="minorHAnsi" w:eastAsiaTheme="minorHAnsi" w:hAnsiTheme="minorHAnsi" w:cs="Arial"/>
                <w:sz w:val="22"/>
                <w:szCs w:val="22"/>
                <w:lang w:eastAsia="en-US"/>
              </w:rPr>
            </w:pPr>
            <w:r w:rsidRPr="00F72F91">
              <w:rPr>
                <w:rFonts w:asciiTheme="minorHAnsi" w:eastAsiaTheme="minorHAnsi" w:hAnsiTheme="minorHAnsi" w:cs="Arial"/>
                <w:sz w:val="22"/>
                <w:szCs w:val="22"/>
                <w:lang w:eastAsia="en-US"/>
              </w:rPr>
              <w:t>Ligature risks at SGH</w:t>
            </w:r>
          </w:p>
          <w:p w:rsidR="00282EB7" w:rsidRPr="00F72F91" w:rsidRDefault="00282EB7" w:rsidP="007F216E">
            <w:pPr>
              <w:pStyle w:val="ListParagraph"/>
              <w:spacing w:after="200" w:line="276" w:lineRule="auto"/>
              <w:ind w:left="1440"/>
              <w:jc w:val="both"/>
              <w:rPr>
                <w:rFonts w:asciiTheme="minorHAnsi" w:eastAsiaTheme="minorHAnsi" w:hAnsiTheme="minorHAnsi" w:cs="Arial"/>
                <w:sz w:val="22"/>
                <w:szCs w:val="22"/>
                <w:lang w:eastAsia="en-US"/>
              </w:rPr>
            </w:pPr>
            <w:r w:rsidRPr="00F72F91">
              <w:rPr>
                <w:rFonts w:asciiTheme="minorHAnsi" w:eastAsiaTheme="minorHAnsi" w:hAnsiTheme="minorHAnsi" w:cs="Arial"/>
                <w:sz w:val="22"/>
                <w:szCs w:val="22"/>
                <w:lang w:eastAsia="en-US"/>
              </w:rPr>
              <w:t xml:space="preserve">All actions related to ligature risks within the CQC action plan are </w:t>
            </w:r>
            <w:r w:rsidR="00180438" w:rsidRPr="00F72F91">
              <w:rPr>
                <w:rFonts w:asciiTheme="minorHAnsi" w:eastAsiaTheme="minorHAnsi" w:hAnsiTheme="minorHAnsi" w:cs="Arial"/>
                <w:sz w:val="22"/>
                <w:szCs w:val="22"/>
                <w:lang w:eastAsia="en-US"/>
              </w:rPr>
              <w:t>either complete or are on track.</w:t>
            </w:r>
          </w:p>
          <w:p w:rsidR="00DD7564" w:rsidRPr="00F72F91" w:rsidRDefault="00282EB7" w:rsidP="007F216E">
            <w:pPr>
              <w:spacing w:after="200" w:line="276" w:lineRule="auto"/>
              <w:ind w:left="709"/>
              <w:jc w:val="both"/>
              <w:rPr>
                <w:rFonts w:asciiTheme="minorHAnsi" w:eastAsiaTheme="minorHAnsi" w:hAnsiTheme="minorHAnsi" w:cs="Arial"/>
                <w:sz w:val="22"/>
                <w:szCs w:val="22"/>
                <w:lang w:eastAsia="en-US"/>
              </w:rPr>
            </w:pPr>
            <w:r w:rsidRPr="00F72F91">
              <w:rPr>
                <w:rFonts w:asciiTheme="minorHAnsi" w:eastAsiaTheme="minorHAnsi" w:hAnsiTheme="minorHAnsi" w:cs="Arial"/>
                <w:sz w:val="22"/>
                <w:szCs w:val="22"/>
                <w:lang w:eastAsia="en-US"/>
              </w:rPr>
              <w:t xml:space="preserve">The CQC also requested additional information in relation to Mixed Sex </w:t>
            </w:r>
            <w:r w:rsidR="00180438" w:rsidRPr="00F72F91">
              <w:rPr>
                <w:rFonts w:asciiTheme="minorHAnsi" w:eastAsiaTheme="minorHAnsi" w:hAnsiTheme="minorHAnsi" w:cs="Arial"/>
                <w:sz w:val="22"/>
                <w:szCs w:val="22"/>
                <w:lang w:eastAsia="en-US"/>
              </w:rPr>
              <w:t>Accommodation;</w:t>
            </w:r>
            <w:r w:rsidRPr="00F72F91">
              <w:rPr>
                <w:rFonts w:asciiTheme="minorHAnsi" w:eastAsiaTheme="minorHAnsi" w:hAnsiTheme="minorHAnsi" w:cs="Arial"/>
                <w:sz w:val="22"/>
                <w:szCs w:val="22"/>
                <w:lang w:eastAsia="en-US"/>
              </w:rPr>
              <w:t xml:space="preserve"> this i</w:t>
            </w:r>
            <w:r w:rsidR="00712365" w:rsidRPr="00F72F91">
              <w:rPr>
                <w:rFonts w:asciiTheme="minorHAnsi" w:eastAsiaTheme="minorHAnsi" w:hAnsiTheme="minorHAnsi" w:cs="Arial"/>
                <w:sz w:val="22"/>
                <w:szCs w:val="22"/>
                <w:lang w:eastAsia="en-US"/>
              </w:rPr>
              <w:t>s covered in more detail above.</w:t>
            </w:r>
          </w:p>
          <w:p w:rsidR="00180438" w:rsidRPr="00F72F91" w:rsidRDefault="00180438" w:rsidP="007F216E">
            <w:pPr>
              <w:pStyle w:val="ListParagraph"/>
              <w:autoSpaceDE w:val="0"/>
              <w:autoSpaceDN w:val="0"/>
              <w:adjustRightInd w:val="0"/>
              <w:rPr>
                <w:rFonts w:asciiTheme="minorHAnsi" w:eastAsiaTheme="minorHAnsi" w:hAnsiTheme="minorHAnsi" w:cs="Arial"/>
                <w:color w:val="000000"/>
                <w:sz w:val="22"/>
                <w:szCs w:val="22"/>
                <w:u w:val="single"/>
                <w:lang w:eastAsia="en-US"/>
              </w:rPr>
            </w:pPr>
            <w:r w:rsidRPr="00F72F91">
              <w:rPr>
                <w:rFonts w:asciiTheme="minorHAnsi" w:eastAsiaTheme="minorHAnsi" w:hAnsiTheme="minorHAnsi" w:cs="Arial"/>
                <w:b/>
                <w:color w:val="000000"/>
                <w:sz w:val="22"/>
                <w:szCs w:val="22"/>
                <w:u w:val="single"/>
                <w:lang w:eastAsia="en-US"/>
              </w:rPr>
              <w:t>Key Risks</w:t>
            </w:r>
            <w:r w:rsidRPr="00F72F91">
              <w:rPr>
                <w:rFonts w:asciiTheme="minorHAnsi" w:eastAsiaTheme="minorHAnsi" w:hAnsiTheme="minorHAnsi" w:cs="Arial"/>
                <w:color w:val="000000"/>
                <w:sz w:val="22"/>
                <w:szCs w:val="22"/>
                <w:u w:val="single"/>
                <w:lang w:eastAsia="en-US"/>
              </w:rPr>
              <w:t xml:space="preserve"> - Hull &amp; East Yorkshire Hospitals Trust</w:t>
            </w:r>
          </w:p>
          <w:p w:rsidR="00180438" w:rsidRPr="00F72F91" w:rsidRDefault="00180438" w:rsidP="00C31229">
            <w:pPr>
              <w:pStyle w:val="ListParagraph"/>
              <w:numPr>
                <w:ilvl w:val="0"/>
                <w:numId w:val="12"/>
              </w:numPr>
              <w:autoSpaceDE w:val="0"/>
              <w:autoSpaceDN w:val="0"/>
              <w:adjustRightInd w:val="0"/>
              <w:spacing w:after="200" w:line="276" w:lineRule="auto"/>
              <w:jc w:val="both"/>
              <w:rPr>
                <w:rFonts w:asciiTheme="minorHAnsi" w:eastAsiaTheme="minorHAnsi" w:hAnsiTheme="minorHAnsi" w:cs="Arial"/>
                <w:color w:val="000000"/>
                <w:sz w:val="22"/>
                <w:szCs w:val="22"/>
                <w:lang w:eastAsia="en-US"/>
              </w:rPr>
            </w:pPr>
            <w:r w:rsidRPr="00F72F91">
              <w:rPr>
                <w:rFonts w:asciiTheme="minorHAnsi" w:eastAsiaTheme="minorHAnsi" w:hAnsiTheme="minorHAnsi" w:cs="Arial"/>
                <w:color w:val="000000"/>
                <w:sz w:val="22"/>
                <w:szCs w:val="22"/>
                <w:lang w:eastAsia="en-US"/>
              </w:rPr>
              <w:t>Single item QSG took place in January 2016 to discus</w:t>
            </w:r>
            <w:r w:rsidR="007F26FE">
              <w:rPr>
                <w:rFonts w:asciiTheme="minorHAnsi" w:eastAsiaTheme="minorHAnsi" w:hAnsiTheme="minorHAnsi" w:cs="Arial"/>
                <w:color w:val="000000"/>
                <w:sz w:val="22"/>
                <w:szCs w:val="22"/>
                <w:lang w:eastAsia="en-US"/>
              </w:rPr>
              <w:t>s on-going Commissioner concern</w:t>
            </w:r>
            <w:r w:rsidRPr="00F72F91">
              <w:rPr>
                <w:rFonts w:asciiTheme="minorHAnsi" w:eastAsiaTheme="minorHAnsi" w:hAnsiTheme="minorHAnsi" w:cs="Arial"/>
                <w:color w:val="000000"/>
                <w:sz w:val="22"/>
                <w:szCs w:val="22"/>
                <w:lang w:eastAsia="en-US"/>
              </w:rPr>
              <w:t xml:space="preserve"> regarding patient safety and quality of care, </w:t>
            </w:r>
            <w:r w:rsidR="006B060C">
              <w:rPr>
                <w:rFonts w:asciiTheme="minorHAnsi" w:eastAsiaTheme="minorHAnsi" w:hAnsiTheme="minorHAnsi" w:cs="Arial"/>
                <w:color w:val="000000"/>
                <w:sz w:val="22"/>
                <w:szCs w:val="22"/>
                <w:lang w:eastAsia="en-US"/>
              </w:rPr>
              <w:t xml:space="preserve">and </w:t>
            </w:r>
            <w:r w:rsidRPr="00F72F91">
              <w:rPr>
                <w:rFonts w:asciiTheme="minorHAnsi" w:eastAsiaTheme="minorHAnsi" w:hAnsiTheme="minorHAnsi" w:cs="Arial"/>
                <w:color w:val="000000"/>
                <w:sz w:val="22"/>
                <w:szCs w:val="22"/>
                <w:lang w:eastAsia="en-US"/>
              </w:rPr>
              <w:t>on-going work streams have been established t</w:t>
            </w:r>
            <w:r w:rsidR="007F26FE">
              <w:rPr>
                <w:rFonts w:asciiTheme="minorHAnsi" w:eastAsiaTheme="minorHAnsi" w:hAnsiTheme="minorHAnsi" w:cs="Arial"/>
                <w:color w:val="000000"/>
                <w:sz w:val="22"/>
                <w:szCs w:val="22"/>
                <w:lang w:eastAsia="en-US"/>
              </w:rPr>
              <w:t>o work through these concerns.</w:t>
            </w:r>
          </w:p>
          <w:p w:rsidR="00180438" w:rsidRPr="00F72F91" w:rsidRDefault="00180438" w:rsidP="00C31229">
            <w:pPr>
              <w:pStyle w:val="ListParagraph"/>
              <w:numPr>
                <w:ilvl w:val="0"/>
                <w:numId w:val="12"/>
              </w:numPr>
              <w:autoSpaceDE w:val="0"/>
              <w:autoSpaceDN w:val="0"/>
              <w:adjustRightInd w:val="0"/>
              <w:spacing w:after="200" w:line="276" w:lineRule="auto"/>
              <w:jc w:val="both"/>
              <w:rPr>
                <w:rFonts w:asciiTheme="minorHAnsi" w:eastAsiaTheme="minorHAnsi" w:hAnsiTheme="minorHAnsi" w:cs="Arial"/>
                <w:color w:val="000000"/>
                <w:sz w:val="22"/>
                <w:szCs w:val="22"/>
                <w:lang w:eastAsia="en-US"/>
              </w:rPr>
            </w:pPr>
            <w:r w:rsidRPr="00F72F91">
              <w:rPr>
                <w:rFonts w:asciiTheme="minorHAnsi" w:eastAsiaTheme="minorHAnsi" w:hAnsiTheme="minorHAnsi" w:cs="Arial"/>
                <w:color w:val="000000"/>
                <w:sz w:val="22"/>
                <w:szCs w:val="22"/>
                <w:lang w:eastAsia="en-US"/>
              </w:rPr>
              <w:t>The Trust continues to report decline in performance in the following areas:</w:t>
            </w:r>
          </w:p>
          <w:p w:rsidR="00180438" w:rsidRPr="00F72F91" w:rsidRDefault="007F216E" w:rsidP="00C31229">
            <w:pPr>
              <w:pStyle w:val="ListParagraph"/>
              <w:numPr>
                <w:ilvl w:val="0"/>
                <w:numId w:val="13"/>
              </w:numPr>
              <w:autoSpaceDE w:val="0"/>
              <w:autoSpaceDN w:val="0"/>
              <w:adjustRightInd w:val="0"/>
              <w:jc w:val="both"/>
              <w:rPr>
                <w:rFonts w:asciiTheme="minorHAnsi" w:eastAsiaTheme="minorHAnsi" w:hAnsiTheme="minorHAnsi" w:cs="Arial"/>
                <w:color w:val="000000"/>
                <w:sz w:val="22"/>
                <w:szCs w:val="22"/>
                <w:lang w:eastAsia="en-US"/>
              </w:rPr>
            </w:pPr>
            <w:r w:rsidRPr="00F72F91">
              <w:rPr>
                <w:rFonts w:asciiTheme="minorHAnsi" w:eastAsiaTheme="minorHAnsi" w:hAnsiTheme="minorHAnsi" w:cs="Arial"/>
                <w:color w:val="000000"/>
                <w:sz w:val="22"/>
                <w:szCs w:val="22"/>
                <w:lang w:eastAsia="en-US"/>
              </w:rPr>
              <w:t>Cancer 62-days wait and 2-</w:t>
            </w:r>
            <w:r w:rsidR="00180438" w:rsidRPr="00F72F91">
              <w:rPr>
                <w:rFonts w:asciiTheme="minorHAnsi" w:eastAsiaTheme="minorHAnsi" w:hAnsiTheme="minorHAnsi" w:cs="Arial"/>
                <w:color w:val="000000"/>
                <w:sz w:val="22"/>
                <w:szCs w:val="22"/>
                <w:lang w:eastAsia="en-US"/>
              </w:rPr>
              <w:t>week wait targets</w:t>
            </w:r>
          </w:p>
          <w:p w:rsidR="00180438" w:rsidRPr="00F72F91" w:rsidRDefault="00180438" w:rsidP="00C31229">
            <w:pPr>
              <w:pStyle w:val="ListParagraph"/>
              <w:numPr>
                <w:ilvl w:val="0"/>
                <w:numId w:val="13"/>
              </w:numPr>
              <w:autoSpaceDE w:val="0"/>
              <w:autoSpaceDN w:val="0"/>
              <w:adjustRightInd w:val="0"/>
              <w:jc w:val="both"/>
              <w:rPr>
                <w:rFonts w:asciiTheme="minorHAnsi" w:eastAsiaTheme="minorHAnsi" w:hAnsiTheme="minorHAnsi" w:cs="Arial"/>
                <w:color w:val="000000"/>
                <w:sz w:val="22"/>
                <w:szCs w:val="22"/>
                <w:lang w:eastAsia="en-US"/>
              </w:rPr>
            </w:pPr>
            <w:r w:rsidRPr="00F72F91">
              <w:rPr>
                <w:rFonts w:asciiTheme="minorHAnsi" w:eastAsiaTheme="minorHAnsi" w:hAnsiTheme="minorHAnsi" w:cs="Arial"/>
                <w:color w:val="000000"/>
                <w:sz w:val="22"/>
                <w:szCs w:val="22"/>
                <w:lang w:eastAsia="en-US"/>
              </w:rPr>
              <w:t xml:space="preserve">RTT </w:t>
            </w:r>
          </w:p>
          <w:p w:rsidR="00180438" w:rsidRPr="00F72F91" w:rsidRDefault="00180438" w:rsidP="00C31229">
            <w:pPr>
              <w:pStyle w:val="ListParagraph"/>
              <w:numPr>
                <w:ilvl w:val="0"/>
                <w:numId w:val="13"/>
              </w:numPr>
              <w:autoSpaceDE w:val="0"/>
              <w:autoSpaceDN w:val="0"/>
              <w:adjustRightInd w:val="0"/>
              <w:jc w:val="both"/>
              <w:rPr>
                <w:rFonts w:asciiTheme="minorHAnsi" w:eastAsiaTheme="minorHAnsi" w:hAnsiTheme="minorHAnsi" w:cs="Arial"/>
                <w:color w:val="000000"/>
                <w:sz w:val="22"/>
                <w:szCs w:val="22"/>
                <w:lang w:eastAsia="en-US"/>
              </w:rPr>
            </w:pPr>
            <w:r w:rsidRPr="00F72F91">
              <w:rPr>
                <w:rFonts w:asciiTheme="minorHAnsi" w:eastAsiaTheme="minorHAnsi" w:hAnsiTheme="minorHAnsi" w:cs="Arial"/>
                <w:color w:val="000000"/>
                <w:sz w:val="22"/>
                <w:szCs w:val="22"/>
                <w:lang w:eastAsia="en-US"/>
              </w:rPr>
              <w:t>A&amp;E 4</w:t>
            </w:r>
            <w:r w:rsidR="005A0236" w:rsidRPr="00F72F91">
              <w:rPr>
                <w:rFonts w:asciiTheme="minorHAnsi" w:eastAsiaTheme="minorHAnsi" w:hAnsiTheme="minorHAnsi" w:cs="Arial"/>
                <w:color w:val="000000"/>
                <w:sz w:val="22"/>
                <w:szCs w:val="22"/>
                <w:lang w:eastAsia="en-US"/>
              </w:rPr>
              <w:t xml:space="preserve"> hour wait</w:t>
            </w:r>
          </w:p>
          <w:p w:rsidR="00180438" w:rsidRPr="00F72F91" w:rsidRDefault="007F216E" w:rsidP="00C31229">
            <w:pPr>
              <w:pStyle w:val="ListParagraph"/>
              <w:numPr>
                <w:ilvl w:val="0"/>
                <w:numId w:val="12"/>
              </w:numPr>
              <w:autoSpaceDE w:val="0"/>
              <w:autoSpaceDN w:val="0"/>
              <w:adjustRightInd w:val="0"/>
              <w:spacing w:after="200" w:line="276" w:lineRule="auto"/>
              <w:jc w:val="both"/>
              <w:rPr>
                <w:rFonts w:asciiTheme="minorHAnsi" w:eastAsiaTheme="minorHAnsi" w:hAnsiTheme="minorHAnsi" w:cs="Arial"/>
                <w:color w:val="000000"/>
                <w:sz w:val="22"/>
                <w:szCs w:val="22"/>
                <w:lang w:eastAsia="en-US"/>
              </w:rPr>
            </w:pPr>
            <w:r w:rsidRPr="00F72F91">
              <w:rPr>
                <w:rFonts w:asciiTheme="minorHAnsi" w:eastAsiaTheme="minorHAnsi" w:hAnsiTheme="minorHAnsi" w:cs="Arial"/>
                <w:color w:val="000000"/>
                <w:sz w:val="22"/>
                <w:szCs w:val="22"/>
                <w:lang w:eastAsia="en-US"/>
              </w:rPr>
              <w:t>Cancer 62-day waiting lists: t</w:t>
            </w:r>
            <w:r w:rsidR="00180438" w:rsidRPr="00F72F91">
              <w:rPr>
                <w:rFonts w:asciiTheme="minorHAnsi" w:eastAsiaTheme="minorHAnsi" w:hAnsiTheme="minorHAnsi" w:cs="Arial"/>
                <w:color w:val="000000"/>
                <w:sz w:val="22"/>
                <w:szCs w:val="22"/>
                <w:lang w:eastAsia="en-US"/>
              </w:rPr>
              <w:t>he Trust report they are conducting clinical reviews of all patients on their waiting lists.</w:t>
            </w:r>
            <w:r w:rsidRPr="00F72F91">
              <w:rPr>
                <w:rFonts w:asciiTheme="minorHAnsi" w:eastAsiaTheme="minorHAnsi" w:hAnsiTheme="minorHAnsi" w:cs="Arial"/>
                <w:color w:val="000000"/>
                <w:sz w:val="22"/>
                <w:szCs w:val="22"/>
                <w:lang w:eastAsia="en-US"/>
              </w:rPr>
              <w:t xml:space="preserve"> </w:t>
            </w:r>
            <w:r w:rsidR="00180438" w:rsidRPr="00F72F91">
              <w:rPr>
                <w:rFonts w:asciiTheme="minorHAnsi" w:eastAsiaTheme="minorHAnsi" w:hAnsiTheme="minorHAnsi" w:cs="Arial"/>
                <w:color w:val="000000"/>
                <w:sz w:val="22"/>
                <w:szCs w:val="22"/>
                <w:lang w:eastAsia="en-US"/>
              </w:rPr>
              <w:t xml:space="preserve"> To date, no harms have been identified but the robustness of these reviews is currently under review.  The Trust has advised that individual SI investigations will be conducted should any instances of patient safety / harm identified. To date 3 individual SI’s have been potentially linked to this issue</w:t>
            </w:r>
            <w:r w:rsidRPr="00F72F91">
              <w:rPr>
                <w:rFonts w:asciiTheme="minorHAnsi" w:eastAsiaTheme="minorHAnsi" w:hAnsiTheme="minorHAnsi" w:cs="Arial"/>
                <w:color w:val="000000"/>
                <w:sz w:val="22"/>
                <w:szCs w:val="22"/>
                <w:lang w:eastAsia="en-US"/>
              </w:rPr>
              <w:t>.</w:t>
            </w:r>
          </w:p>
          <w:p w:rsidR="00054514" w:rsidRPr="00F72F91" w:rsidRDefault="00054514" w:rsidP="00054514">
            <w:pPr>
              <w:pStyle w:val="ListParagraph"/>
              <w:spacing w:after="200" w:line="276" w:lineRule="auto"/>
              <w:ind w:left="1440"/>
              <w:jc w:val="both"/>
              <w:rPr>
                <w:rFonts w:asciiTheme="minorHAnsi" w:eastAsiaTheme="minorHAnsi" w:hAnsiTheme="minorHAnsi" w:cs="Arial"/>
                <w:sz w:val="22"/>
                <w:szCs w:val="22"/>
                <w:lang w:eastAsia="en-US"/>
              </w:rPr>
            </w:pPr>
          </w:p>
          <w:p w:rsidR="00180438" w:rsidRPr="00F72F91" w:rsidRDefault="00180438" w:rsidP="00054514">
            <w:pPr>
              <w:pStyle w:val="ListParagraph"/>
              <w:autoSpaceDE w:val="0"/>
              <w:autoSpaceDN w:val="0"/>
              <w:adjustRightInd w:val="0"/>
              <w:rPr>
                <w:rFonts w:asciiTheme="minorHAnsi" w:eastAsiaTheme="minorHAnsi" w:hAnsiTheme="minorHAnsi" w:cs="Arial"/>
                <w:color w:val="000000"/>
                <w:sz w:val="22"/>
                <w:szCs w:val="22"/>
                <w:u w:val="single"/>
                <w:lang w:eastAsia="en-US"/>
              </w:rPr>
            </w:pPr>
            <w:r w:rsidRPr="00F72F91">
              <w:rPr>
                <w:rFonts w:asciiTheme="minorHAnsi" w:eastAsiaTheme="minorHAnsi" w:hAnsiTheme="minorHAnsi" w:cs="Arial"/>
                <w:b/>
                <w:color w:val="000000"/>
                <w:sz w:val="22"/>
                <w:szCs w:val="22"/>
                <w:u w:val="single"/>
                <w:lang w:eastAsia="en-US"/>
              </w:rPr>
              <w:t>Key Risks</w:t>
            </w:r>
            <w:r w:rsidRPr="00F72F91">
              <w:rPr>
                <w:rFonts w:asciiTheme="minorHAnsi" w:eastAsiaTheme="minorHAnsi" w:hAnsiTheme="minorHAnsi" w:cs="Arial"/>
                <w:color w:val="000000"/>
                <w:sz w:val="22"/>
                <w:szCs w:val="22"/>
                <w:u w:val="single"/>
                <w:lang w:eastAsia="en-US"/>
              </w:rPr>
              <w:t xml:space="preserve"> - East Midlands Ambulance Service</w:t>
            </w:r>
          </w:p>
          <w:p w:rsidR="00F72F91" w:rsidRPr="00F72F91" w:rsidRDefault="00F72F91" w:rsidP="00F72F91">
            <w:pPr>
              <w:pStyle w:val="ListParagraph"/>
              <w:numPr>
                <w:ilvl w:val="0"/>
                <w:numId w:val="19"/>
              </w:numPr>
              <w:autoSpaceDE w:val="0"/>
              <w:autoSpaceDN w:val="0"/>
              <w:adjustRightInd w:val="0"/>
              <w:rPr>
                <w:rFonts w:asciiTheme="minorHAnsi" w:eastAsiaTheme="minorHAnsi" w:hAnsiTheme="minorHAnsi" w:cs="Arial"/>
                <w:color w:val="000000"/>
                <w:sz w:val="22"/>
                <w:szCs w:val="22"/>
                <w:lang w:eastAsia="en-US"/>
              </w:rPr>
            </w:pPr>
            <w:r w:rsidRPr="00F72F91">
              <w:rPr>
                <w:rFonts w:asciiTheme="minorHAnsi" w:eastAsiaTheme="minorHAnsi" w:hAnsiTheme="minorHAnsi" w:cs="Arial"/>
                <w:color w:val="000000"/>
                <w:sz w:val="22"/>
                <w:szCs w:val="22"/>
                <w:lang w:eastAsia="en-US"/>
              </w:rPr>
              <w:t>We have no information in relation to new risks within EMAS.</w:t>
            </w:r>
          </w:p>
          <w:p w:rsidR="00C31229" w:rsidRPr="00F72F91" w:rsidRDefault="00C31229" w:rsidP="007F216E">
            <w:pPr>
              <w:jc w:val="both"/>
              <w:rPr>
                <w:rFonts w:asciiTheme="minorHAnsi" w:eastAsiaTheme="minorHAnsi" w:hAnsiTheme="minorHAnsi" w:cs="Arial"/>
                <w:sz w:val="22"/>
                <w:szCs w:val="22"/>
                <w:lang w:eastAsia="en-US"/>
              </w:rPr>
            </w:pPr>
          </w:p>
          <w:p w:rsidR="007F216E" w:rsidRPr="00F72F91" w:rsidRDefault="007F216E" w:rsidP="007F216E">
            <w:pPr>
              <w:jc w:val="both"/>
              <w:rPr>
                <w:rFonts w:asciiTheme="minorHAnsi" w:hAnsiTheme="minorHAnsi" w:cs="Arial"/>
                <w:b/>
                <w:sz w:val="22"/>
                <w:szCs w:val="22"/>
              </w:rPr>
            </w:pPr>
            <w:r w:rsidRPr="00F72F91">
              <w:rPr>
                <w:rFonts w:asciiTheme="minorHAnsi" w:hAnsiTheme="minorHAnsi" w:cs="Arial"/>
                <w:b/>
                <w:sz w:val="22"/>
                <w:szCs w:val="22"/>
              </w:rPr>
              <w:t>SECTION 3. PATIENT AND CLIENT EXPERIENCE</w:t>
            </w:r>
          </w:p>
          <w:p w:rsidR="007F216E" w:rsidRPr="00F72F91" w:rsidRDefault="007F216E" w:rsidP="007F216E">
            <w:pPr>
              <w:jc w:val="both"/>
              <w:rPr>
                <w:rFonts w:asciiTheme="minorHAnsi" w:hAnsiTheme="minorHAnsi" w:cs="Arial"/>
                <w:b/>
                <w:sz w:val="22"/>
                <w:szCs w:val="22"/>
              </w:rPr>
            </w:pPr>
          </w:p>
          <w:p w:rsidR="00C31229" w:rsidRPr="00F72F91" w:rsidRDefault="007F216E" w:rsidP="00C31229">
            <w:pPr>
              <w:pStyle w:val="ListParagraph"/>
              <w:numPr>
                <w:ilvl w:val="0"/>
                <w:numId w:val="14"/>
              </w:numPr>
              <w:spacing w:after="200" w:line="276" w:lineRule="auto"/>
              <w:jc w:val="both"/>
              <w:rPr>
                <w:rFonts w:ascii="Arial" w:eastAsiaTheme="minorHAnsi" w:hAnsi="Arial" w:cs="Arial"/>
                <w:sz w:val="22"/>
                <w:szCs w:val="22"/>
                <w:lang w:eastAsia="en-US"/>
              </w:rPr>
            </w:pPr>
            <w:r w:rsidRPr="00F72F91">
              <w:rPr>
                <w:rFonts w:asciiTheme="minorHAnsi" w:eastAsiaTheme="minorHAnsi" w:hAnsiTheme="minorHAnsi" w:cs="Arial"/>
                <w:sz w:val="22"/>
                <w:szCs w:val="22"/>
                <w:lang w:eastAsia="en-US"/>
              </w:rPr>
              <w:t>We are working with the Community Forum to develop our thinking about how we measure quality as a CCG that embraces the service users’ view.  We will be collecting feedback from Community Forum members at their event on 31</w:t>
            </w:r>
            <w:r w:rsidRPr="00F72F91">
              <w:rPr>
                <w:rFonts w:asciiTheme="minorHAnsi" w:eastAsiaTheme="minorHAnsi" w:hAnsiTheme="minorHAnsi" w:cs="Arial"/>
                <w:sz w:val="22"/>
                <w:szCs w:val="22"/>
                <w:vertAlign w:val="superscript"/>
                <w:lang w:eastAsia="en-US"/>
              </w:rPr>
              <w:t>st</w:t>
            </w:r>
            <w:r w:rsidRPr="00F72F91">
              <w:rPr>
                <w:rFonts w:asciiTheme="minorHAnsi" w:eastAsiaTheme="minorHAnsi" w:hAnsiTheme="minorHAnsi" w:cs="Arial"/>
                <w:sz w:val="22"/>
                <w:szCs w:val="22"/>
                <w:lang w:eastAsia="en-US"/>
              </w:rPr>
              <w:t xml:space="preserve"> March.  This will inform the development of our Quality Strategy and will shape how and what data and feedback we request from providers and will sit alongside other reporting requirements in terms of quality deliverables</w:t>
            </w:r>
            <w:r w:rsidR="00C31229" w:rsidRPr="00F72F91">
              <w:rPr>
                <w:rFonts w:asciiTheme="minorHAnsi" w:eastAsiaTheme="minorHAnsi" w:hAnsiTheme="minorHAnsi" w:cs="Arial"/>
                <w:sz w:val="22"/>
                <w:szCs w:val="22"/>
                <w:lang w:eastAsia="en-US"/>
              </w:rPr>
              <w:t>.</w:t>
            </w:r>
          </w:p>
          <w:p w:rsidR="00C31229" w:rsidRPr="00F72F91" w:rsidRDefault="00C31229" w:rsidP="00C31229">
            <w:pPr>
              <w:pStyle w:val="ListParagraph"/>
              <w:spacing w:after="200" w:line="276" w:lineRule="auto"/>
              <w:jc w:val="both"/>
              <w:rPr>
                <w:rFonts w:ascii="Arial" w:eastAsiaTheme="minorHAnsi" w:hAnsi="Arial" w:cs="Arial"/>
                <w:sz w:val="22"/>
                <w:szCs w:val="22"/>
                <w:lang w:eastAsia="en-US"/>
              </w:rPr>
            </w:pPr>
          </w:p>
          <w:p w:rsidR="002A1F94" w:rsidRDefault="002A1F94" w:rsidP="00C31229">
            <w:pPr>
              <w:pStyle w:val="ListParagraph"/>
              <w:numPr>
                <w:ilvl w:val="0"/>
                <w:numId w:val="14"/>
              </w:numPr>
              <w:spacing w:after="200" w:line="276" w:lineRule="auto"/>
              <w:jc w:val="both"/>
              <w:rPr>
                <w:rFonts w:asciiTheme="minorHAnsi" w:eastAsiaTheme="minorHAnsi" w:hAnsiTheme="minorHAnsi" w:cs="Arial"/>
                <w:sz w:val="22"/>
                <w:szCs w:val="22"/>
                <w:lang w:eastAsia="en-US"/>
              </w:rPr>
            </w:pPr>
            <w:r w:rsidRPr="002A1F94">
              <w:rPr>
                <w:rFonts w:asciiTheme="minorHAnsi" w:eastAsiaTheme="minorHAnsi" w:hAnsiTheme="minorHAnsi" w:cs="Arial"/>
                <w:sz w:val="22"/>
                <w:szCs w:val="22"/>
                <w:lang w:eastAsia="en-US"/>
              </w:rPr>
              <w:t>During 2016, and through the development of the Quality Strategy, the Quality Team aim to improve not just the way we use FFT information but all patient experience and feedback information and from across a range of commissioned providers.</w:t>
            </w:r>
          </w:p>
          <w:p w:rsidR="002A1F94" w:rsidRPr="002A1F94" w:rsidRDefault="002A1F94" w:rsidP="002A1F94">
            <w:pPr>
              <w:pStyle w:val="ListParagraph"/>
              <w:rPr>
                <w:rFonts w:asciiTheme="minorHAnsi" w:eastAsiaTheme="minorHAnsi" w:hAnsiTheme="minorHAnsi" w:cs="Arial"/>
                <w:sz w:val="22"/>
                <w:szCs w:val="22"/>
                <w:lang w:eastAsia="en-US"/>
              </w:rPr>
            </w:pPr>
          </w:p>
          <w:p w:rsidR="007F216E" w:rsidRPr="00B10FD4" w:rsidRDefault="007F216E" w:rsidP="002A1F94">
            <w:pPr>
              <w:pStyle w:val="ListParagraph"/>
              <w:numPr>
                <w:ilvl w:val="0"/>
                <w:numId w:val="14"/>
              </w:numPr>
              <w:spacing w:after="200" w:line="276" w:lineRule="auto"/>
              <w:jc w:val="both"/>
              <w:rPr>
                <w:rFonts w:asciiTheme="minorHAnsi" w:eastAsiaTheme="minorHAnsi" w:hAnsiTheme="minorHAnsi" w:cs="Arial"/>
                <w:sz w:val="22"/>
                <w:szCs w:val="22"/>
                <w:lang w:eastAsia="en-US"/>
              </w:rPr>
            </w:pPr>
            <w:r w:rsidRPr="002A1F94">
              <w:rPr>
                <w:rFonts w:asciiTheme="minorHAnsi" w:eastAsiaTheme="minorHAnsi" w:hAnsiTheme="minorHAnsi" w:cs="Arial"/>
                <w:sz w:val="22"/>
                <w:szCs w:val="22"/>
                <w:lang w:eastAsia="en-US"/>
              </w:rPr>
              <w:t>Friends and Family Test (FFT)</w:t>
            </w:r>
            <w:r w:rsidR="00F72F91" w:rsidRPr="002A1F94">
              <w:rPr>
                <w:rFonts w:asciiTheme="minorHAnsi" w:eastAsiaTheme="minorHAnsi" w:hAnsiTheme="minorHAnsi" w:cs="Arial"/>
                <w:sz w:val="22"/>
                <w:szCs w:val="22"/>
                <w:lang w:eastAsia="en-US"/>
              </w:rPr>
              <w:t>. See below the most recent data showing uptake of FFT and those w</w:t>
            </w:r>
            <w:r w:rsidR="00B10FD4">
              <w:rPr>
                <w:rFonts w:asciiTheme="minorHAnsi" w:eastAsiaTheme="minorHAnsi" w:hAnsiTheme="minorHAnsi" w:cs="Arial"/>
                <w:sz w:val="22"/>
                <w:szCs w:val="22"/>
                <w:lang w:eastAsia="en-US"/>
              </w:rPr>
              <w:t>ho would recommend the service.</w:t>
            </w:r>
          </w:p>
          <w:tbl>
            <w:tblPr>
              <w:tblpPr w:leftFromText="180" w:rightFromText="180" w:vertAnchor="text" w:horzAnchor="margin" w:tblpXSpec="right" w:tblpY="12"/>
              <w:tblW w:w="5180" w:type="dxa"/>
              <w:tblLook w:val="04A0" w:firstRow="1" w:lastRow="0" w:firstColumn="1" w:lastColumn="0" w:noHBand="0" w:noVBand="1"/>
            </w:tblPr>
            <w:tblGrid>
              <w:gridCol w:w="2680"/>
              <w:gridCol w:w="854"/>
              <w:gridCol w:w="854"/>
              <w:gridCol w:w="792"/>
            </w:tblGrid>
            <w:tr w:rsidR="007F216E" w:rsidRPr="00F72F91" w:rsidTr="00332E64">
              <w:trPr>
                <w:trHeight w:val="219"/>
              </w:trPr>
              <w:tc>
                <w:tcPr>
                  <w:tcW w:w="2680" w:type="dxa"/>
                  <w:vMerge w:val="restart"/>
                  <w:tcBorders>
                    <w:top w:val="single" w:sz="8" w:space="0" w:color="787878"/>
                    <w:left w:val="single" w:sz="8" w:space="0" w:color="787878"/>
                    <w:bottom w:val="single" w:sz="8" w:space="0" w:color="78786E"/>
                    <w:right w:val="single" w:sz="8" w:space="0" w:color="787878"/>
                  </w:tcBorders>
                  <w:shd w:val="clear" w:color="000000" w:fill="DCDCDC"/>
                  <w:vAlign w:val="bottom"/>
                  <w:hideMark/>
                </w:tcPr>
                <w:p w:rsidR="007F216E" w:rsidRPr="00F72F91" w:rsidRDefault="007F216E" w:rsidP="00332E64">
                  <w:pPr>
                    <w:rPr>
                      <w:rFonts w:ascii="Verdana" w:hAnsi="Verdana" w:cs="Calibri"/>
                      <w:b/>
                      <w:bCs/>
                      <w:color w:val="000000"/>
                      <w:sz w:val="16"/>
                      <w:szCs w:val="16"/>
                    </w:rPr>
                  </w:pPr>
                </w:p>
                <w:p w:rsidR="007F216E" w:rsidRPr="00F72F91" w:rsidRDefault="007F216E" w:rsidP="00332E64">
                  <w:pPr>
                    <w:rPr>
                      <w:rFonts w:ascii="Verdana" w:hAnsi="Verdana" w:cs="Calibri"/>
                      <w:b/>
                      <w:bCs/>
                      <w:color w:val="000000"/>
                      <w:sz w:val="16"/>
                      <w:szCs w:val="16"/>
                    </w:rPr>
                  </w:pPr>
                </w:p>
              </w:tc>
              <w:tc>
                <w:tcPr>
                  <w:tcW w:w="2500" w:type="dxa"/>
                  <w:gridSpan w:val="3"/>
                  <w:tcBorders>
                    <w:top w:val="single" w:sz="8" w:space="0" w:color="787878"/>
                    <w:left w:val="nil"/>
                    <w:bottom w:val="single" w:sz="8" w:space="0" w:color="787878"/>
                    <w:right w:val="single" w:sz="8" w:space="0" w:color="787878"/>
                  </w:tcBorders>
                  <w:shd w:val="clear" w:color="000000" w:fill="DCDCDC"/>
                  <w:vAlign w:val="bottom"/>
                  <w:hideMark/>
                </w:tcPr>
                <w:p w:rsidR="007F216E" w:rsidRPr="00F72F91" w:rsidRDefault="007F216E" w:rsidP="00332E64">
                  <w:pPr>
                    <w:jc w:val="center"/>
                    <w:rPr>
                      <w:rFonts w:ascii="Verdana" w:hAnsi="Verdana" w:cs="Calibri"/>
                      <w:b/>
                      <w:bCs/>
                      <w:color w:val="000000"/>
                      <w:sz w:val="16"/>
                      <w:szCs w:val="16"/>
                    </w:rPr>
                  </w:pPr>
                  <w:r w:rsidRPr="00F72F91">
                    <w:rPr>
                      <w:rFonts w:ascii="Verdana" w:hAnsi="Verdana" w:cs="Calibri"/>
                      <w:b/>
                      <w:bCs/>
                      <w:color w:val="000000"/>
                      <w:sz w:val="16"/>
                      <w:szCs w:val="16"/>
                    </w:rPr>
                    <w:t>2015/16</w:t>
                  </w:r>
                </w:p>
              </w:tc>
            </w:tr>
            <w:tr w:rsidR="007F216E" w:rsidRPr="00F72F91" w:rsidTr="00332E64">
              <w:trPr>
                <w:trHeight w:val="219"/>
              </w:trPr>
              <w:tc>
                <w:tcPr>
                  <w:tcW w:w="2680" w:type="dxa"/>
                  <w:vMerge/>
                  <w:tcBorders>
                    <w:top w:val="single" w:sz="8" w:space="0" w:color="787878"/>
                    <w:left w:val="single" w:sz="8" w:space="0" w:color="787878"/>
                    <w:bottom w:val="single" w:sz="8" w:space="0" w:color="78786E"/>
                    <w:right w:val="single" w:sz="8" w:space="0" w:color="787878"/>
                  </w:tcBorders>
                  <w:vAlign w:val="center"/>
                  <w:hideMark/>
                </w:tcPr>
                <w:p w:rsidR="007F216E" w:rsidRPr="00F72F91" w:rsidRDefault="007F216E" w:rsidP="00332E64">
                  <w:pPr>
                    <w:rPr>
                      <w:rFonts w:ascii="Verdana" w:hAnsi="Verdana" w:cs="Calibri"/>
                      <w:b/>
                      <w:bCs/>
                      <w:color w:val="000000"/>
                      <w:sz w:val="16"/>
                      <w:szCs w:val="16"/>
                    </w:rPr>
                  </w:pPr>
                </w:p>
              </w:tc>
              <w:tc>
                <w:tcPr>
                  <w:tcW w:w="854" w:type="dxa"/>
                  <w:tcBorders>
                    <w:top w:val="nil"/>
                    <w:left w:val="nil"/>
                    <w:bottom w:val="single" w:sz="8" w:space="0" w:color="787878"/>
                    <w:right w:val="single" w:sz="8" w:space="0" w:color="787878"/>
                  </w:tcBorders>
                  <w:shd w:val="clear" w:color="000000" w:fill="DCDCDC"/>
                  <w:vAlign w:val="bottom"/>
                  <w:hideMark/>
                </w:tcPr>
                <w:p w:rsidR="007F216E" w:rsidRPr="00F72F91" w:rsidRDefault="007F216E" w:rsidP="00332E64">
                  <w:pPr>
                    <w:jc w:val="center"/>
                    <w:rPr>
                      <w:rFonts w:ascii="Verdana" w:hAnsi="Verdana" w:cs="Calibri"/>
                      <w:b/>
                      <w:bCs/>
                      <w:color w:val="000000"/>
                      <w:sz w:val="16"/>
                      <w:szCs w:val="16"/>
                    </w:rPr>
                  </w:pPr>
                  <w:r w:rsidRPr="00F72F91">
                    <w:rPr>
                      <w:rFonts w:ascii="Verdana" w:hAnsi="Verdana" w:cs="Calibri"/>
                      <w:b/>
                      <w:bCs/>
                      <w:color w:val="000000"/>
                      <w:sz w:val="16"/>
                      <w:szCs w:val="16"/>
                    </w:rPr>
                    <w:t>Target</w:t>
                  </w:r>
                </w:p>
              </w:tc>
              <w:tc>
                <w:tcPr>
                  <w:tcW w:w="854" w:type="dxa"/>
                  <w:tcBorders>
                    <w:top w:val="nil"/>
                    <w:left w:val="nil"/>
                    <w:bottom w:val="single" w:sz="8" w:space="0" w:color="787878"/>
                    <w:right w:val="single" w:sz="8" w:space="0" w:color="787878"/>
                  </w:tcBorders>
                  <w:shd w:val="clear" w:color="000000" w:fill="DCDCDC"/>
                  <w:vAlign w:val="bottom"/>
                  <w:hideMark/>
                </w:tcPr>
                <w:p w:rsidR="007F216E" w:rsidRPr="00F72F91" w:rsidRDefault="007F216E" w:rsidP="00332E64">
                  <w:pPr>
                    <w:jc w:val="center"/>
                    <w:rPr>
                      <w:rFonts w:ascii="Verdana" w:hAnsi="Verdana" w:cs="Calibri"/>
                      <w:b/>
                      <w:bCs/>
                      <w:color w:val="000000"/>
                      <w:sz w:val="16"/>
                      <w:szCs w:val="16"/>
                    </w:rPr>
                  </w:pPr>
                  <w:r w:rsidRPr="00F72F91">
                    <w:rPr>
                      <w:rFonts w:ascii="Verdana" w:hAnsi="Verdana" w:cs="Calibri"/>
                      <w:b/>
                      <w:bCs/>
                      <w:color w:val="000000"/>
                      <w:sz w:val="16"/>
                      <w:szCs w:val="16"/>
                    </w:rPr>
                    <w:t>Value</w:t>
                  </w:r>
                </w:p>
              </w:tc>
              <w:tc>
                <w:tcPr>
                  <w:tcW w:w="792" w:type="dxa"/>
                  <w:tcBorders>
                    <w:top w:val="nil"/>
                    <w:left w:val="nil"/>
                    <w:bottom w:val="single" w:sz="8" w:space="0" w:color="787878"/>
                    <w:right w:val="single" w:sz="8" w:space="0" w:color="787878"/>
                  </w:tcBorders>
                  <w:shd w:val="clear" w:color="000000" w:fill="DCDCDC"/>
                  <w:vAlign w:val="bottom"/>
                  <w:hideMark/>
                </w:tcPr>
                <w:p w:rsidR="007F216E" w:rsidRPr="00F72F91" w:rsidRDefault="007F216E" w:rsidP="00332E64">
                  <w:pPr>
                    <w:jc w:val="center"/>
                    <w:rPr>
                      <w:rFonts w:ascii="Verdana" w:hAnsi="Verdana" w:cs="Calibri"/>
                      <w:b/>
                      <w:bCs/>
                      <w:color w:val="000000"/>
                      <w:sz w:val="16"/>
                      <w:szCs w:val="16"/>
                    </w:rPr>
                  </w:pPr>
                  <w:r w:rsidRPr="00F72F91">
                    <w:rPr>
                      <w:rFonts w:ascii="Verdana" w:hAnsi="Verdana" w:cs="Calibri"/>
                      <w:b/>
                      <w:bCs/>
                      <w:color w:val="000000"/>
                      <w:sz w:val="16"/>
                      <w:szCs w:val="16"/>
                    </w:rPr>
                    <w:t>Status</w:t>
                  </w:r>
                </w:p>
              </w:tc>
            </w:tr>
            <w:tr w:rsidR="007F216E" w:rsidRPr="00F72F91" w:rsidTr="00332E64">
              <w:trPr>
                <w:trHeight w:val="416"/>
              </w:trPr>
              <w:tc>
                <w:tcPr>
                  <w:tcW w:w="2680" w:type="dxa"/>
                  <w:tcBorders>
                    <w:top w:val="nil"/>
                    <w:left w:val="single" w:sz="8" w:space="0" w:color="78786E"/>
                    <w:bottom w:val="single" w:sz="8" w:space="0" w:color="78786E"/>
                    <w:right w:val="single" w:sz="8" w:space="0" w:color="78786E"/>
                  </w:tcBorders>
                  <w:shd w:val="clear" w:color="000000" w:fill="FFFFFF"/>
                  <w:vAlign w:val="bottom"/>
                  <w:hideMark/>
                </w:tcPr>
                <w:p w:rsidR="007F216E" w:rsidRPr="00F72F91" w:rsidRDefault="007F216E" w:rsidP="00332E64">
                  <w:pPr>
                    <w:rPr>
                      <w:rFonts w:ascii="Verdana" w:hAnsi="Verdana" w:cs="Calibri"/>
                      <w:color w:val="000000"/>
                      <w:sz w:val="16"/>
                      <w:szCs w:val="16"/>
                    </w:rPr>
                  </w:pPr>
                  <w:r w:rsidRPr="00F72F91">
                    <w:rPr>
                      <w:rFonts w:ascii="Verdana" w:hAnsi="Verdana" w:cs="Calibri"/>
                      <w:color w:val="000000"/>
                      <w:sz w:val="16"/>
                      <w:szCs w:val="16"/>
                    </w:rPr>
                    <w:t>FFT - Ambulance - % Who would recommend 'PTS' service</w:t>
                  </w:r>
                </w:p>
              </w:tc>
              <w:tc>
                <w:tcPr>
                  <w:tcW w:w="854" w:type="dxa"/>
                  <w:tcBorders>
                    <w:top w:val="single" w:sz="8" w:space="0" w:color="78786E"/>
                    <w:left w:val="nil"/>
                    <w:bottom w:val="single" w:sz="8" w:space="0" w:color="78786E"/>
                    <w:right w:val="single" w:sz="8" w:space="0" w:color="78786E"/>
                  </w:tcBorders>
                  <w:shd w:val="clear" w:color="000000" w:fill="FFFFFF"/>
                  <w:vAlign w:val="bottom"/>
                  <w:hideMark/>
                </w:tcPr>
                <w:p w:rsidR="007F216E" w:rsidRPr="00F72F91" w:rsidRDefault="007F216E" w:rsidP="00332E64">
                  <w:pPr>
                    <w:jc w:val="center"/>
                    <w:rPr>
                      <w:rFonts w:ascii="Verdana" w:hAnsi="Verdana" w:cs="Calibri"/>
                      <w:color w:val="000000"/>
                      <w:sz w:val="16"/>
                      <w:szCs w:val="16"/>
                    </w:rPr>
                  </w:pPr>
                  <w:r w:rsidRPr="00F72F91">
                    <w:rPr>
                      <w:rFonts w:ascii="Verdana" w:hAnsi="Verdana" w:cs="Calibri"/>
                      <w:color w:val="000000"/>
                      <w:sz w:val="16"/>
                      <w:szCs w:val="16"/>
                    </w:rPr>
                    <w:t>90.42%</w:t>
                  </w:r>
                </w:p>
              </w:tc>
              <w:tc>
                <w:tcPr>
                  <w:tcW w:w="854" w:type="dxa"/>
                  <w:tcBorders>
                    <w:top w:val="single" w:sz="8" w:space="0" w:color="78786E"/>
                    <w:left w:val="nil"/>
                    <w:bottom w:val="single" w:sz="8" w:space="0" w:color="78786E"/>
                    <w:right w:val="single" w:sz="8" w:space="0" w:color="78786E"/>
                  </w:tcBorders>
                  <w:shd w:val="clear" w:color="000000" w:fill="FFFFFF"/>
                  <w:vAlign w:val="bottom"/>
                  <w:hideMark/>
                </w:tcPr>
                <w:p w:rsidR="007F216E" w:rsidRPr="00F72F91" w:rsidRDefault="007F216E" w:rsidP="00332E64">
                  <w:pPr>
                    <w:jc w:val="center"/>
                    <w:rPr>
                      <w:rFonts w:ascii="Verdana" w:hAnsi="Verdana" w:cs="Calibri"/>
                      <w:color w:val="000000"/>
                      <w:sz w:val="16"/>
                      <w:szCs w:val="16"/>
                    </w:rPr>
                  </w:pPr>
                  <w:r w:rsidRPr="00F72F91">
                    <w:rPr>
                      <w:rFonts w:ascii="Verdana" w:hAnsi="Verdana" w:cs="Calibri"/>
                      <w:color w:val="000000"/>
                      <w:sz w:val="16"/>
                      <w:szCs w:val="16"/>
                    </w:rPr>
                    <w:t>95.14%</w:t>
                  </w:r>
                </w:p>
              </w:tc>
              <w:tc>
                <w:tcPr>
                  <w:tcW w:w="792" w:type="dxa"/>
                  <w:tcBorders>
                    <w:top w:val="single" w:sz="8" w:space="0" w:color="78786E"/>
                    <w:left w:val="nil"/>
                    <w:bottom w:val="single" w:sz="8" w:space="0" w:color="78786E"/>
                    <w:right w:val="single" w:sz="8" w:space="0" w:color="78786E"/>
                  </w:tcBorders>
                  <w:shd w:val="clear" w:color="000000" w:fill="FFFFFF"/>
                  <w:vAlign w:val="bottom"/>
                  <w:hideMark/>
                </w:tcPr>
                <w:p w:rsidR="007F216E" w:rsidRPr="00F72F91" w:rsidRDefault="007F216E" w:rsidP="00332E64">
                  <w:pPr>
                    <w:jc w:val="center"/>
                    <w:rPr>
                      <w:rFonts w:ascii="Verdana" w:hAnsi="Verdana" w:cs="Calibri"/>
                      <w:color w:val="000000"/>
                      <w:sz w:val="16"/>
                      <w:szCs w:val="16"/>
                    </w:rPr>
                  </w:pPr>
                  <w:r w:rsidRPr="00F72F91">
                    <w:rPr>
                      <w:rFonts w:ascii="Verdana" w:hAnsi="Verdana" w:cs="Calibri"/>
                      <w:noProof/>
                      <w:color w:val="000000"/>
                      <w:sz w:val="16"/>
                      <w:szCs w:val="16"/>
                    </w:rPr>
                    <w:drawing>
                      <wp:anchor distT="0" distB="0" distL="114300" distR="114300" simplePos="0" relativeHeight="251659776" behindDoc="0" locked="0" layoutInCell="1" allowOverlap="1" wp14:anchorId="2B3E2AD8" wp14:editId="0AFE6EB3">
                        <wp:simplePos x="0" y="0"/>
                        <wp:positionH relativeFrom="column">
                          <wp:posOffset>0</wp:posOffset>
                        </wp:positionH>
                        <wp:positionV relativeFrom="paragraph">
                          <wp:posOffset>0</wp:posOffset>
                        </wp:positionV>
                        <wp:extent cx="233045" cy="189865"/>
                        <wp:effectExtent l="0" t="0" r="0" b="635"/>
                        <wp:wrapNone/>
                        <wp:docPr id="7" name="Picture 7" descr="https://www.covalentcpm.com/lowRes/big_green_circle.png"/>
                        <wp:cNvGraphicFramePr/>
                        <a:graphic xmlns:a="http://schemas.openxmlformats.org/drawingml/2006/main">
                          <a:graphicData uri="http://schemas.openxmlformats.org/drawingml/2006/picture">
                            <pic:pic xmlns:pic="http://schemas.openxmlformats.org/drawingml/2006/picture">
                              <pic:nvPicPr>
                                <pic:cNvPr id="25" name="Picture 8" descr="https://www.covalentcpm.com/lowRes/big_green_circle.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32913" cy="189781"/>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7F216E" w:rsidRPr="00F72F91" w:rsidTr="00332E64">
              <w:trPr>
                <w:trHeight w:val="416"/>
              </w:trPr>
              <w:tc>
                <w:tcPr>
                  <w:tcW w:w="2680" w:type="dxa"/>
                  <w:tcBorders>
                    <w:top w:val="nil"/>
                    <w:left w:val="single" w:sz="8" w:space="0" w:color="78786E"/>
                    <w:bottom w:val="single" w:sz="8" w:space="0" w:color="78786E"/>
                    <w:right w:val="single" w:sz="8" w:space="0" w:color="78786E"/>
                  </w:tcBorders>
                  <w:shd w:val="clear" w:color="000000" w:fill="FFFFFF"/>
                  <w:vAlign w:val="bottom"/>
                  <w:hideMark/>
                </w:tcPr>
                <w:p w:rsidR="007F216E" w:rsidRPr="00F72F91" w:rsidRDefault="007F216E" w:rsidP="00332E64">
                  <w:pPr>
                    <w:rPr>
                      <w:rFonts w:ascii="Verdana" w:hAnsi="Verdana" w:cs="Calibri"/>
                      <w:color w:val="000000"/>
                      <w:sz w:val="16"/>
                      <w:szCs w:val="16"/>
                    </w:rPr>
                  </w:pPr>
                  <w:r w:rsidRPr="00F72F91">
                    <w:rPr>
                      <w:rFonts w:ascii="Verdana" w:hAnsi="Verdana" w:cs="Calibri"/>
                      <w:color w:val="000000"/>
                      <w:sz w:val="16"/>
                      <w:szCs w:val="16"/>
                    </w:rPr>
                    <w:t>FFT - Ambulance - % Who would recommend 'SAT' service</w:t>
                  </w:r>
                </w:p>
              </w:tc>
              <w:tc>
                <w:tcPr>
                  <w:tcW w:w="854" w:type="dxa"/>
                  <w:tcBorders>
                    <w:top w:val="nil"/>
                    <w:left w:val="nil"/>
                    <w:bottom w:val="single" w:sz="8" w:space="0" w:color="78786E"/>
                    <w:right w:val="single" w:sz="8" w:space="0" w:color="78786E"/>
                  </w:tcBorders>
                  <w:shd w:val="clear" w:color="000000" w:fill="FFFFFF"/>
                  <w:vAlign w:val="bottom"/>
                  <w:hideMark/>
                </w:tcPr>
                <w:p w:rsidR="007F216E" w:rsidRPr="00F72F91" w:rsidRDefault="007F216E" w:rsidP="00332E64">
                  <w:pPr>
                    <w:jc w:val="center"/>
                    <w:rPr>
                      <w:rFonts w:ascii="Verdana" w:hAnsi="Verdana" w:cs="Calibri"/>
                      <w:color w:val="000000"/>
                      <w:sz w:val="16"/>
                      <w:szCs w:val="16"/>
                    </w:rPr>
                  </w:pPr>
                  <w:r w:rsidRPr="00F72F91">
                    <w:rPr>
                      <w:rFonts w:ascii="Verdana" w:hAnsi="Verdana" w:cs="Calibri"/>
                      <w:color w:val="000000"/>
                      <w:sz w:val="16"/>
                      <w:szCs w:val="16"/>
                    </w:rPr>
                    <w:t>94.27%</w:t>
                  </w:r>
                </w:p>
              </w:tc>
              <w:tc>
                <w:tcPr>
                  <w:tcW w:w="854" w:type="dxa"/>
                  <w:tcBorders>
                    <w:top w:val="nil"/>
                    <w:left w:val="nil"/>
                    <w:bottom w:val="single" w:sz="8" w:space="0" w:color="78786E"/>
                    <w:right w:val="single" w:sz="8" w:space="0" w:color="78786E"/>
                  </w:tcBorders>
                  <w:shd w:val="clear" w:color="000000" w:fill="FFFFFF"/>
                  <w:vAlign w:val="bottom"/>
                  <w:hideMark/>
                </w:tcPr>
                <w:p w:rsidR="007F216E" w:rsidRPr="00F72F91" w:rsidRDefault="007F216E" w:rsidP="00332E64">
                  <w:pPr>
                    <w:jc w:val="center"/>
                    <w:rPr>
                      <w:rFonts w:ascii="Verdana" w:hAnsi="Verdana" w:cs="Calibri"/>
                      <w:color w:val="000000"/>
                      <w:sz w:val="16"/>
                      <w:szCs w:val="16"/>
                    </w:rPr>
                  </w:pPr>
                  <w:r w:rsidRPr="00F72F91">
                    <w:rPr>
                      <w:rFonts w:ascii="Verdana" w:hAnsi="Verdana" w:cs="Calibri"/>
                      <w:color w:val="000000"/>
                      <w:sz w:val="16"/>
                      <w:szCs w:val="16"/>
                    </w:rPr>
                    <w:t>96.07%</w:t>
                  </w:r>
                </w:p>
              </w:tc>
              <w:tc>
                <w:tcPr>
                  <w:tcW w:w="792" w:type="dxa"/>
                  <w:tcBorders>
                    <w:top w:val="nil"/>
                    <w:left w:val="nil"/>
                    <w:bottom w:val="single" w:sz="8" w:space="0" w:color="78786E"/>
                    <w:right w:val="single" w:sz="8" w:space="0" w:color="78786E"/>
                  </w:tcBorders>
                  <w:shd w:val="clear" w:color="000000" w:fill="FFFFFF"/>
                  <w:vAlign w:val="bottom"/>
                  <w:hideMark/>
                </w:tcPr>
                <w:p w:rsidR="007F216E" w:rsidRPr="00F72F91" w:rsidRDefault="007F216E" w:rsidP="00332E64">
                  <w:pPr>
                    <w:jc w:val="center"/>
                    <w:rPr>
                      <w:rFonts w:ascii="Verdana" w:hAnsi="Verdana" w:cs="Calibri"/>
                      <w:color w:val="000000"/>
                      <w:sz w:val="16"/>
                      <w:szCs w:val="16"/>
                    </w:rPr>
                  </w:pPr>
                  <w:r w:rsidRPr="00F72F91">
                    <w:rPr>
                      <w:rFonts w:ascii="Verdana" w:hAnsi="Verdana" w:cs="Calibri"/>
                      <w:noProof/>
                      <w:color w:val="000000"/>
                      <w:sz w:val="16"/>
                      <w:szCs w:val="16"/>
                    </w:rPr>
                    <w:drawing>
                      <wp:anchor distT="0" distB="0" distL="114300" distR="114300" simplePos="0" relativeHeight="251660800" behindDoc="0" locked="0" layoutInCell="1" allowOverlap="1" wp14:anchorId="5DE96E6A" wp14:editId="5F3DCAD9">
                        <wp:simplePos x="0" y="0"/>
                        <wp:positionH relativeFrom="column">
                          <wp:posOffset>0</wp:posOffset>
                        </wp:positionH>
                        <wp:positionV relativeFrom="paragraph">
                          <wp:posOffset>0</wp:posOffset>
                        </wp:positionV>
                        <wp:extent cx="233045" cy="189865"/>
                        <wp:effectExtent l="0" t="0" r="0" b="635"/>
                        <wp:wrapNone/>
                        <wp:docPr id="8" name="Picture 8" descr="https://www.covalentcpm.com/lowRes/big_green_circle.png"/>
                        <wp:cNvGraphicFramePr/>
                        <a:graphic xmlns:a="http://schemas.openxmlformats.org/drawingml/2006/main">
                          <a:graphicData uri="http://schemas.openxmlformats.org/drawingml/2006/picture">
                            <pic:pic xmlns:pic="http://schemas.openxmlformats.org/drawingml/2006/picture">
                              <pic:nvPicPr>
                                <pic:cNvPr id="26" name="Picture 8" descr="https://www.covalentcpm.com/lowRes/big_green_circle.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32913" cy="189781"/>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7F216E" w:rsidRPr="00F72F91" w:rsidTr="00332E64">
              <w:trPr>
                <w:trHeight w:val="416"/>
              </w:trPr>
              <w:tc>
                <w:tcPr>
                  <w:tcW w:w="2680" w:type="dxa"/>
                  <w:tcBorders>
                    <w:top w:val="nil"/>
                    <w:left w:val="single" w:sz="8" w:space="0" w:color="78786E"/>
                    <w:bottom w:val="single" w:sz="8" w:space="0" w:color="78786E"/>
                    <w:right w:val="single" w:sz="8" w:space="0" w:color="78786E"/>
                  </w:tcBorders>
                  <w:shd w:val="clear" w:color="000000" w:fill="FFFFFF"/>
                  <w:vAlign w:val="bottom"/>
                  <w:hideMark/>
                </w:tcPr>
                <w:p w:rsidR="007F216E" w:rsidRPr="00F72F91" w:rsidRDefault="007F216E" w:rsidP="00332E64">
                  <w:pPr>
                    <w:rPr>
                      <w:rFonts w:ascii="Verdana" w:hAnsi="Verdana" w:cs="Calibri"/>
                      <w:color w:val="000000"/>
                      <w:sz w:val="16"/>
                      <w:szCs w:val="16"/>
                    </w:rPr>
                  </w:pPr>
                  <w:r w:rsidRPr="00F72F91">
                    <w:rPr>
                      <w:rFonts w:ascii="Verdana" w:hAnsi="Verdana" w:cs="Calibri"/>
                      <w:color w:val="000000"/>
                      <w:sz w:val="16"/>
                      <w:szCs w:val="16"/>
                    </w:rPr>
                    <w:t>FFT - AAE % Who would recommend service</w:t>
                  </w:r>
                </w:p>
              </w:tc>
              <w:tc>
                <w:tcPr>
                  <w:tcW w:w="854" w:type="dxa"/>
                  <w:tcBorders>
                    <w:top w:val="nil"/>
                    <w:left w:val="nil"/>
                    <w:bottom w:val="single" w:sz="8" w:space="0" w:color="78786E"/>
                    <w:right w:val="single" w:sz="8" w:space="0" w:color="78786E"/>
                  </w:tcBorders>
                  <w:shd w:val="clear" w:color="000000" w:fill="FFFFFF"/>
                  <w:vAlign w:val="bottom"/>
                  <w:hideMark/>
                </w:tcPr>
                <w:p w:rsidR="007F216E" w:rsidRPr="00F72F91" w:rsidRDefault="007F216E" w:rsidP="00332E64">
                  <w:pPr>
                    <w:jc w:val="center"/>
                    <w:rPr>
                      <w:rFonts w:ascii="Verdana" w:hAnsi="Verdana" w:cs="Calibri"/>
                      <w:color w:val="000000"/>
                      <w:sz w:val="16"/>
                      <w:szCs w:val="16"/>
                    </w:rPr>
                  </w:pPr>
                  <w:r w:rsidRPr="00F72F91">
                    <w:rPr>
                      <w:rFonts w:ascii="Verdana" w:hAnsi="Verdana" w:cs="Calibri"/>
                      <w:color w:val="000000"/>
                      <w:sz w:val="16"/>
                      <w:szCs w:val="16"/>
                    </w:rPr>
                    <w:t>88.10%</w:t>
                  </w:r>
                </w:p>
              </w:tc>
              <w:tc>
                <w:tcPr>
                  <w:tcW w:w="854" w:type="dxa"/>
                  <w:tcBorders>
                    <w:top w:val="nil"/>
                    <w:left w:val="nil"/>
                    <w:bottom w:val="single" w:sz="8" w:space="0" w:color="78786E"/>
                    <w:right w:val="single" w:sz="8" w:space="0" w:color="78786E"/>
                  </w:tcBorders>
                  <w:shd w:val="clear" w:color="000000" w:fill="FFFFFF"/>
                  <w:vAlign w:val="bottom"/>
                  <w:hideMark/>
                </w:tcPr>
                <w:p w:rsidR="007F216E" w:rsidRPr="00F72F91" w:rsidRDefault="007F216E" w:rsidP="00332E64">
                  <w:pPr>
                    <w:jc w:val="center"/>
                    <w:rPr>
                      <w:rFonts w:ascii="Verdana" w:hAnsi="Verdana" w:cs="Calibri"/>
                      <w:color w:val="000000"/>
                      <w:sz w:val="16"/>
                      <w:szCs w:val="16"/>
                    </w:rPr>
                  </w:pPr>
                  <w:r w:rsidRPr="00F72F91">
                    <w:rPr>
                      <w:rFonts w:ascii="Verdana" w:hAnsi="Verdana" w:cs="Calibri"/>
                      <w:color w:val="000000"/>
                      <w:sz w:val="16"/>
                      <w:szCs w:val="16"/>
                    </w:rPr>
                    <w:t>84.74%</w:t>
                  </w:r>
                </w:p>
              </w:tc>
              <w:tc>
                <w:tcPr>
                  <w:tcW w:w="792" w:type="dxa"/>
                  <w:tcBorders>
                    <w:top w:val="nil"/>
                    <w:left w:val="nil"/>
                    <w:bottom w:val="single" w:sz="8" w:space="0" w:color="78786E"/>
                    <w:right w:val="single" w:sz="8" w:space="0" w:color="78786E"/>
                  </w:tcBorders>
                  <w:shd w:val="clear" w:color="000000" w:fill="FFFFFF"/>
                  <w:vAlign w:val="bottom"/>
                  <w:hideMark/>
                </w:tcPr>
                <w:p w:rsidR="007F216E" w:rsidRPr="00F72F91" w:rsidRDefault="007F216E" w:rsidP="00332E64">
                  <w:pPr>
                    <w:jc w:val="center"/>
                    <w:rPr>
                      <w:rFonts w:ascii="Verdana" w:hAnsi="Verdana" w:cs="Calibri"/>
                      <w:color w:val="000000"/>
                      <w:sz w:val="16"/>
                      <w:szCs w:val="16"/>
                    </w:rPr>
                  </w:pPr>
                  <w:r w:rsidRPr="00F72F91">
                    <w:rPr>
                      <w:rFonts w:ascii="Verdana" w:hAnsi="Verdana" w:cs="Calibri"/>
                      <w:noProof/>
                      <w:color w:val="000000"/>
                      <w:sz w:val="16"/>
                      <w:szCs w:val="16"/>
                    </w:rPr>
                    <w:drawing>
                      <wp:anchor distT="0" distB="0" distL="114300" distR="114300" simplePos="0" relativeHeight="251661824" behindDoc="0" locked="0" layoutInCell="1" allowOverlap="1" wp14:anchorId="609BC7B6" wp14:editId="53498C00">
                        <wp:simplePos x="0" y="0"/>
                        <wp:positionH relativeFrom="column">
                          <wp:posOffset>0</wp:posOffset>
                        </wp:positionH>
                        <wp:positionV relativeFrom="paragraph">
                          <wp:posOffset>0</wp:posOffset>
                        </wp:positionV>
                        <wp:extent cx="233045" cy="180975"/>
                        <wp:effectExtent l="0" t="0" r="0" b="9525"/>
                        <wp:wrapNone/>
                        <wp:docPr id="9" name="Picture 9" descr="https://www.covalentcpm.com/lowRes/big_yellow_triangle.png"/>
                        <wp:cNvGraphicFramePr/>
                        <a:graphic xmlns:a="http://schemas.openxmlformats.org/drawingml/2006/main">
                          <a:graphicData uri="http://schemas.openxmlformats.org/drawingml/2006/picture">
                            <pic:pic xmlns:pic="http://schemas.openxmlformats.org/drawingml/2006/picture">
                              <pic:nvPicPr>
                                <pic:cNvPr id="29" name="Picture 12" descr="https://www.covalentcpm.com/lowRes/big_yellow_triangle.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32913" cy="184031"/>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7F216E" w:rsidRPr="00F72F91" w:rsidTr="00332E64">
              <w:trPr>
                <w:trHeight w:val="416"/>
              </w:trPr>
              <w:tc>
                <w:tcPr>
                  <w:tcW w:w="2680" w:type="dxa"/>
                  <w:tcBorders>
                    <w:top w:val="nil"/>
                    <w:left w:val="single" w:sz="8" w:space="0" w:color="78786E"/>
                    <w:bottom w:val="single" w:sz="8" w:space="0" w:color="78786E"/>
                    <w:right w:val="single" w:sz="8" w:space="0" w:color="78786E"/>
                  </w:tcBorders>
                  <w:shd w:val="clear" w:color="000000" w:fill="FFFFFF"/>
                  <w:vAlign w:val="bottom"/>
                  <w:hideMark/>
                </w:tcPr>
                <w:p w:rsidR="007F216E" w:rsidRPr="00F72F91" w:rsidRDefault="007F216E" w:rsidP="00332E64">
                  <w:pPr>
                    <w:rPr>
                      <w:rFonts w:ascii="Verdana" w:hAnsi="Verdana" w:cs="Calibri"/>
                      <w:color w:val="000000"/>
                      <w:sz w:val="16"/>
                      <w:szCs w:val="16"/>
                    </w:rPr>
                  </w:pPr>
                  <w:r w:rsidRPr="00F72F91">
                    <w:rPr>
                      <w:rFonts w:ascii="Verdana" w:hAnsi="Verdana" w:cs="Calibri"/>
                      <w:color w:val="000000"/>
                      <w:sz w:val="16"/>
                      <w:szCs w:val="16"/>
                    </w:rPr>
                    <w:t>FFT - Inpatient % Who would recommend service</w:t>
                  </w:r>
                </w:p>
              </w:tc>
              <w:tc>
                <w:tcPr>
                  <w:tcW w:w="854" w:type="dxa"/>
                  <w:tcBorders>
                    <w:top w:val="nil"/>
                    <w:left w:val="nil"/>
                    <w:bottom w:val="single" w:sz="8" w:space="0" w:color="78786E"/>
                    <w:right w:val="single" w:sz="8" w:space="0" w:color="78786E"/>
                  </w:tcBorders>
                  <w:shd w:val="clear" w:color="000000" w:fill="FFFFFF"/>
                  <w:vAlign w:val="bottom"/>
                  <w:hideMark/>
                </w:tcPr>
                <w:p w:rsidR="007F216E" w:rsidRPr="00F72F91" w:rsidRDefault="007F216E" w:rsidP="00332E64">
                  <w:pPr>
                    <w:jc w:val="center"/>
                    <w:rPr>
                      <w:rFonts w:ascii="Verdana" w:hAnsi="Verdana" w:cs="Calibri"/>
                      <w:color w:val="000000"/>
                      <w:sz w:val="16"/>
                      <w:szCs w:val="16"/>
                    </w:rPr>
                  </w:pPr>
                  <w:r w:rsidRPr="00F72F91">
                    <w:rPr>
                      <w:rFonts w:ascii="Verdana" w:hAnsi="Verdana" w:cs="Calibri"/>
                      <w:color w:val="000000"/>
                      <w:sz w:val="16"/>
                      <w:szCs w:val="16"/>
                    </w:rPr>
                    <w:t>95.73%</w:t>
                  </w:r>
                </w:p>
              </w:tc>
              <w:tc>
                <w:tcPr>
                  <w:tcW w:w="854" w:type="dxa"/>
                  <w:tcBorders>
                    <w:top w:val="nil"/>
                    <w:left w:val="nil"/>
                    <w:bottom w:val="single" w:sz="8" w:space="0" w:color="78786E"/>
                    <w:right w:val="single" w:sz="8" w:space="0" w:color="78786E"/>
                  </w:tcBorders>
                  <w:shd w:val="clear" w:color="000000" w:fill="FFFFFF"/>
                  <w:vAlign w:val="bottom"/>
                  <w:hideMark/>
                </w:tcPr>
                <w:p w:rsidR="007F216E" w:rsidRPr="00F72F91" w:rsidRDefault="007F216E" w:rsidP="00332E64">
                  <w:pPr>
                    <w:jc w:val="center"/>
                    <w:rPr>
                      <w:rFonts w:ascii="Verdana" w:hAnsi="Verdana" w:cs="Calibri"/>
                      <w:color w:val="000000"/>
                      <w:sz w:val="16"/>
                      <w:szCs w:val="16"/>
                    </w:rPr>
                  </w:pPr>
                  <w:r w:rsidRPr="00F72F91">
                    <w:rPr>
                      <w:rFonts w:ascii="Verdana" w:hAnsi="Verdana" w:cs="Calibri"/>
                      <w:color w:val="000000"/>
                      <w:sz w:val="16"/>
                      <w:szCs w:val="16"/>
                    </w:rPr>
                    <w:t>96.24%</w:t>
                  </w:r>
                </w:p>
              </w:tc>
              <w:tc>
                <w:tcPr>
                  <w:tcW w:w="792" w:type="dxa"/>
                  <w:tcBorders>
                    <w:top w:val="nil"/>
                    <w:left w:val="nil"/>
                    <w:bottom w:val="single" w:sz="8" w:space="0" w:color="78786E"/>
                    <w:right w:val="single" w:sz="8" w:space="0" w:color="78786E"/>
                  </w:tcBorders>
                  <w:shd w:val="clear" w:color="000000" w:fill="FFFFFF"/>
                  <w:vAlign w:val="bottom"/>
                  <w:hideMark/>
                </w:tcPr>
                <w:p w:rsidR="007F216E" w:rsidRPr="00F72F91" w:rsidRDefault="007F216E" w:rsidP="00332E64">
                  <w:pPr>
                    <w:jc w:val="center"/>
                    <w:rPr>
                      <w:rFonts w:ascii="Verdana" w:hAnsi="Verdana" w:cs="Calibri"/>
                      <w:color w:val="000000"/>
                      <w:sz w:val="16"/>
                      <w:szCs w:val="16"/>
                    </w:rPr>
                  </w:pPr>
                  <w:r w:rsidRPr="00F72F91">
                    <w:rPr>
                      <w:rFonts w:ascii="Verdana" w:hAnsi="Verdana" w:cs="Calibri"/>
                      <w:noProof/>
                      <w:color w:val="000000"/>
                      <w:sz w:val="16"/>
                      <w:szCs w:val="16"/>
                    </w:rPr>
                    <w:drawing>
                      <wp:anchor distT="0" distB="0" distL="114300" distR="114300" simplePos="0" relativeHeight="251662848" behindDoc="0" locked="0" layoutInCell="1" allowOverlap="1" wp14:anchorId="478CB1A5" wp14:editId="7B87D204">
                        <wp:simplePos x="0" y="0"/>
                        <wp:positionH relativeFrom="column">
                          <wp:posOffset>0</wp:posOffset>
                        </wp:positionH>
                        <wp:positionV relativeFrom="paragraph">
                          <wp:posOffset>0</wp:posOffset>
                        </wp:positionV>
                        <wp:extent cx="233045" cy="189865"/>
                        <wp:effectExtent l="0" t="0" r="0" b="635"/>
                        <wp:wrapNone/>
                        <wp:docPr id="10" name="Picture 10" descr="https://www.covalentcpm.com/lowRes/big_green_circle.png"/>
                        <wp:cNvGraphicFramePr/>
                        <a:graphic xmlns:a="http://schemas.openxmlformats.org/drawingml/2006/main">
                          <a:graphicData uri="http://schemas.openxmlformats.org/drawingml/2006/picture">
                            <pic:pic xmlns:pic="http://schemas.openxmlformats.org/drawingml/2006/picture">
                              <pic:nvPicPr>
                                <pic:cNvPr id="32" name="Picture 8" descr="https://www.covalentcpm.com/lowRes/big_green_circle.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32913" cy="189781"/>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7F216E" w:rsidRPr="00F72F91" w:rsidTr="00332E64">
              <w:trPr>
                <w:trHeight w:val="416"/>
              </w:trPr>
              <w:tc>
                <w:tcPr>
                  <w:tcW w:w="2680" w:type="dxa"/>
                  <w:tcBorders>
                    <w:top w:val="nil"/>
                    <w:left w:val="single" w:sz="8" w:space="0" w:color="78786E"/>
                    <w:bottom w:val="single" w:sz="8" w:space="0" w:color="78786E"/>
                    <w:right w:val="single" w:sz="8" w:space="0" w:color="78786E"/>
                  </w:tcBorders>
                  <w:shd w:val="clear" w:color="000000" w:fill="FFFFFF"/>
                  <w:vAlign w:val="bottom"/>
                  <w:hideMark/>
                </w:tcPr>
                <w:p w:rsidR="007F216E" w:rsidRPr="00F72F91" w:rsidRDefault="007F216E" w:rsidP="00332E64">
                  <w:pPr>
                    <w:rPr>
                      <w:rFonts w:ascii="Verdana" w:hAnsi="Verdana" w:cs="Calibri"/>
                      <w:color w:val="000000"/>
                      <w:sz w:val="16"/>
                      <w:szCs w:val="16"/>
                    </w:rPr>
                  </w:pPr>
                  <w:r w:rsidRPr="00F72F91">
                    <w:rPr>
                      <w:rFonts w:ascii="Verdana" w:hAnsi="Verdana" w:cs="Calibri"/>
                      <w:color w:val="000000"/>
                      <w:sz w:val="16"/>
                      <w:szCs w:val="16"/>
                    </w:rPr>
                    <w:t>FFT - Outpatient - % Who would recommend service</w:t>
                  </w:r>
                </w:p>
              </w:tc>
              <w:tc>
                <w:tcPr>
                  <w:tcW w:w="854" w:type="dxa"/>
                  <w:tcBorders>
                    <w:top w:val="nil"/>
                    <w:left w:val="nil"/>
                    <w:bottom w:val="single" w:sz="8" w:space="0" w:color="78786E"/>
                    <w:right w:val="single" w:sz="8" w:space="0" w:color="78786E"/>
                  </w:tcBorders>
                  <w:shd w:val="clear" w:color="000000" w:fill="FFFFFF"/>
                  <w:vAlign w:val="bottom"/>
                  <w:hideMark/>
                </w:tcPr>
                <w:p w:rsidR="007F216E" w:rsidRPr="00F72F91" w:rsidRDefault="007F216E" w:rsidP="00332E64">
                  <w:pPr>
                    <w:jc w:val="center"/>
                    <w:rPr>
                      <w:rFonts w:ascii="Verdana" w:hAnsi="Verdana" w:cs="Calibri"/>
                      <w:color w:val="000000"/>
                      <w:sz w:val="16"/>
                      <w:szCs w:val="16"/>
                    </w:rPr>
                  </w:pPr>
                  <w:r w:rsidRPr="00F72F91">
                    <w:rPr>
                      <w:rFonts w:ascii="Verdana" w:hAnsi="Verdana" w:cs="Calibri"/>
                      <w:color w:val="000000"/>
                      <w:sz w:val="16"/>
                      <w:szCs w:val="16"/>
                    </w:rPr>
                    <w:t>92.20%</w:t>
                  </w:r>
                </w:p>
              </w:tc>
              <w:tc>
                <w:tcPr>
                  <w:tcW w:w="854" w:type="dxa"/>
                  <w:tcBorders>
                    <w:top w:val="nil"/>
                    <w:left w:val="nil"/>
                    <w:bottom w:val="single" w:sz="8" w:space="0" w:color="78786E"/>
                    <w:right w:val="single" w:sz="8" w:space="0" w:color="78786E"/>
                  </w:tcBorders>
                  <w:shd w:val="clear" w:color="000000" w:fill="FFFFFF"/>
                  <w:vAlign w:val="bottom"/>
                  <w:hideMark/>
                </w:tcPr>
                <w:p w:rsidR="007F216E" w:rsidRPr="00F72F91" w:rsidRDefault="007F216E" w:rsidP="00332E64">
                  <w:pPr>
                    <w:jc w:val="center"/>
                    <w:rPr>
                      <w:rFonts w:ascii="Verdana" w:hAnsi="Verdana" w:cs="Calibri"/>
                      <w:color w:val="000000"/>
                      <w:sz w:val="16"/>
                      <w:szCs w:val="16"/>
                    </w:rPr>
                  </w:pPr>
                  <w:r w:rsidRPr="00F72F91">
                    <w:rPr>
                      <w:rFonts w:ascii="Verdana" w:hAnsi="Verdana" w:cs="Calibri"/>
                      <w:color w:val="000000"/>
                      <w:sz w:val="16"/>
                      <w:szCs w:val="16"/>
                    </w:rPr>
                    <w:t>90.14%</w:t>
                  </w:r>
                </w:p>
              </w:tc>
              <w:tc>
                <w:tcPr>
                  <w:tcW w:w="792" w:type="dxa"/>
                  <w:tcBorders>
                    <w:top w:val="nil"/>
                    <w:left w:val="nil"/>
                    <w:bottom w:val="single" w:sz="8" w:space="0" w:color="78786E"/>
                    <w:right w:val="single" w:sz="8" w:space="0" w:color="78786E"/>
                  </w:tcBorders>
                  <w:shd w:val="clear" w:color="000000" w:fill="FFFFFF"/>
                  <w:vAlign w:val="bottom"/>
                  <w:hideMark/>
                </w:tcPr>
                <w:p w:rsidR="007F216E" w:rsidRPr="00F72F91" w:rsidRDefault="007F216E" w:rsidP="00332E64">
                  <w:pPr>
                    <w:jc w:val="center"/>
                    <w:rPr>
                      <w:rFonts w:ascii="Verdana" w:hAnsi="Verdana" w:cs="Calibri"/>
                      <w:color w:val="000000"/>
                      <w:sz w:val="16"/>
                      <w:szCs w:val="16"/>
                    </w:rPr>
                  </w:pPr>
                  <w:r w:rsidRPr="00F72F91">
                    <w:rPr>
                      <w:rFonts w:ascii="Verdana" w:hAnsi="Verdana" w:cs="Calibri"/>
                      <w:noProof/>
                      <w:color w:val="000000"/>
                      <w:sz w:val="16"/>
                      <w:szCs w:val="16"/>
                    </w:rPr>
                    <w:drawing>
                      <wp:anchor distT="0" distB="0" distL="114300" distR="114300" simplePos="0" relativeHeight="251663872" behindDoc="0" locked="0" layoutInCell="1" allowOverlap="1" wp14:anchorId="2490E3CF" wp14:editId="65803584">
                        <wp:simplePos x="0" y="0"/>
                        <wp:positionH relativeFrom="column">
                          <wp:posOffset>0</wp:posOffset>
                        </wp:positionH>
                        <wp:positionV relativeFrom="paragraph">
                          <wp:posOffset>0</wp:posOffset>
                        </wp:positionV>
                        <wp:extent cx="233045" cy="180975"/>
                        <wp:effectExtent l="0" t="0" r="0" b="9525"/>
                        <wp:wrapNone/>
                        <wp:docPr id="11" name="Picture 11" descr="https://www.covalentcpm.com/lowRes/big_yellow_triangle.png"/>
                        <wp:cNvGraphicFramePr/>
                        <a:graphic xmlns:a="http://schemas.openxmlformats.org/drawingml/2006/main">
                          <a:graphicData uri="http://schemas.openxmlformats.org/drawingml/2006/picture">
                            <pic:pic xmlns:pic="http://schemas.openxmlformats.org/drawingml/2006/picture">
                              <pic:nvPicPr>
                                <pic:cNvPr id="33" name="Picture 12" descr="https://www.covalentcpm.com/lowRes/big_yellow_triangle.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32913" cy="184031"/>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7F216E" w:rsidRPr="00F72F91" w:rsidTr="00332E64">
              <w:trPr>
                <w:trHeight w:val="416"/>
              </w:trPr>
              <w:tc>
                <w:tcPr>
                  <w:tcW w:w="2680" w:type="dxa"/>
                  <w:tcBorders>
                    <w:top w:val="nil"/>
                    <w:left w:val="single" w:sz="8" w:space="0" w:color="78786E"/>
                    <w:bottom w:val="single" w:sz="8" w:space="0" w:color="78786E"/>
                    <w:right w:val="single" w:sz="8" w:space="0" w:color="78786E"/>
                  </w:tcBorders>
                  <w:shd w:val="clear" w:color="000000" w:fill="FFFFFF"/>
                  <w:vAlign w:val="bottom"/>
                  <w:hideMark/>
                </w:tcPr>
                <w:p w:rsidR="007F216E" w:rsidRPr="00F72F91" w:rsidRDefault="007F216E" w:rsidP="00332E64">
                  <w:pPr>
                    <w:rPr>
                      <w:rFonts w:ascii="Verdana" w:hAnsi="Verdana" w:cs="Calibri"/>
                      <w:color w:val="000000"/>
                      <w:sz w:val="16"/>
                      <w:szCs w:val="16"/>
                    </w:rPr>
                  </w:pPr>
                  <w:r w:rsidRPr="00F72F91">
                    <w:rPr>
                      <w:rFonts w:ascii="Verdana" w:hAnsi="Verdana" w:cs="Calibri"/>
                      <w:color w:val="000000"/>
                      <w:sz w:val="16"/>
                      <w:szCs w:val="16"/>
                    </w:rPr>
                    <w:t>FFT - Community (CPG) % Who would recommend service</w:t>
                  </w:r>
                </w:p>
              </w:tc>
              <w:tc>
                <w:tcPr>
                  <w:tcW w:w="854" w:type="dxa"/>
                  <w:tcBorders>
                    <w:top w:val="nil"/>
                    <w:left w:val="nil"/>
                    <w:bottom w:val="single" w:sz="8" w:space="0" w:color="78786E"/>
                    <w:right w:val="single" w:sz="8" w:space="0" w:color="78786E"/>
                  </w:tcBorders>
                  <w:shd w:val="clear" w:color="000000" w:fill="FFFFFF"/>
                  <w:vAlign w:val="bottom"/>
                  <w:hideMark/>
                </w:tcPr>
                <w:p w:rsidR="007F216E" w:rsidRPr="00F72F91" w:rsidRDefault="007F216E" w:rsidP="00332E64">
                  <w:pPr>
                    <w:jc w:val="center"/>
                    <w:rPr>
                      <w:rFonts w:ascii="Verdana" w:hAnsi="Verdana" w:cs="Calibri"/>
                      <w:color w:val="000000"/>
                      <w:sz w:val="16"/>
                      <w:szCs w:val="16"/>
                    </w:rPr>
                  </w:pPr>
                  <w:r w:rsidRPr="00F72F91">
                    <w:rPr>
                      <w:rFonts w:ascii="Verdana" w:hAnsi="Verdana" w:cs="Calibri"/>
                      <w:color w:val="000000"/>
                      <w:sz w:val="16"/>
                      <w:szCs w:val="16"/>
                    </w:rPr>
                    <w:t>95.32%</w:t>
                  </w:r>
                </w:p>
              </w:tc>
              <w:tc>
                <w:tcPr>
                  <w:tcW w:w="854" w:type="dxa"/>
                  <w:tcBorders>
                    <w:top w:val="nil"/>
                    <w:left w:val="nil"/>
                    <w:bottom w:val="single" w:sz="8" w:space="0" w:color="78786E"/>
                    <w:right w:val="single" w:sz="8" w:space="0" w:color="78786E"/>
                  </w:tcBorders>
                  <w:shd w:val="clear" w:color="000000" w:fill="FFFFFF"/>
                  <w:vAlign w:val="bottom"/>
                  <w:hideMark/>
                </w:tcPr>
                <w:p w:rsidR="007F216E" w:rsidRPr="00F72F91" w:rsidRDefault="007F216E" w:rsidP="00332E64">
                  <w:pPr>
                    <w:jc w:val="center"/>
                    <w:rPr>
                      <w:rFonts w:ascii="Verdana" w:hAnsi="Verdana" w:cs="Calibri"/>
                      <w:color w:val="000000"/>
                      <w:sz w:val="16"/>
                      <w:szCs w:val="16"/>
                    </w:rPr>
                  </w:pPr>
                  <w:r w:rsidRPr="00F72F91">
                    <w:rPr>
                      <w:rFonts w:ascii="Verdana" w:hAnsi="Verdana" w:cs="Calibri"/>
                      <w:color w:val="000000"/>
                      <w:sz w:val="16"/>
                      <w:szCs w:val="16"/>
                    </w:rPr>
                    <w:t>96.76%</w:t>
                  </w:r>
                </w:p>
              </w:tc>
              <w:tc>
                <w:tcPr>
                  <w:tcW w:w="792" w:type="dxa"/>
                  <w:tcBorders>
                    <w:top w:val="nil"/>
                    <w:left w:val="nil"/>
                    <w:bottom w:val="single" w:sz="8" w:space="0" w:color="78786E"/>
                    <w:right w:val="single" w:sz="8" w:space="0" w:color="78786E"/>
                  </w:tcBorders>
                  <w:shd w:val="clear" w:color="000000" w:fill="FFFFFF"/>
                  <w:vAlign w:val="bottom"/>
                  <w:hideMark/>
                </w:tcPr>
                <w:p w:rsidR="007F216E" w:rsidRPr="00F72F91" w:rsidRDefault="007F216E" w:rsidP="00332E64">
                  <w:pPr>
                    <w:jc w:val="center"/>
                    <w:rPr>
                      <w:rFonts w:ascii="Verdana" w:hAnsi="Verdana" w:cs="Calibri"/>
                      <w:color w:val="000000"/>
                      <w:sz w:val="16"/>
                      <w:szCs w:val="16"/>
                    </w:rPr>
                  </w:pPr>
                  <w:r w:rsidRPr="00F72F91">
                    <w:rPr>
                      <w:rFonts w:ascii="Verdana" w:hAnsi="Verdana" w:cs="Calibri"/>
                      <w:noProof/>
                      <w:color w:val="000000"/>
                      <w:sz w:val="16"/>
                      <w:szCs w:val="16"/>
                    </w:rPr>
                    <w:drawing>
                      <wp:anchor distT="0" distB="0" distL="114300" distR="114300" simplePos="0" relativeHeight="251664896" behindDoc="0" locked="0" layoutInCell="1" allowOverlap="1" wp14:anchorId="02920770" wp14:editId="3733F82E">
                        <wp:simplePos x="0" y="0"/>
                        <wp:positionH relativeFrom="column">
                          <wp:posOffset>0</wp:posOffset>
                        </wp:positionH>
                        <wp:positionV relativeFrom="paragraph">
                          <wp:posOffset>0</wp:posOffset>
                        </wp:positionV>
                        <wp:extent cx="233045" cy="189865"/>
                        <wp:effectExtent l="0" t="0" r="0" b="635"/>
                        <wp:wrapNone/>
                        <wp:docPr id="12" name="Picture 12" descr="https://www.covalentcpm.com/lowRes/big_green_circle.png"/>
                        <wp:cNvGraphicFramePr/>
                        <a:graphic xmlns:a="http://schemas.openxmlformats.org/drawingml/2006/main">
                          <a:graphicData uri="http://schemas.openxmlformats.org/drawingml/2006/picture">
                            <pic:pic xmlns:pic="http://schemas.openxmlformats.org/drawingml/2006/picture">
                              <pic:nvPicPr>
                                <pic:cNvPr id="35" name="Picture 8" descr="https://www.covalentcpm.com/lowRes/big_green_circle.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32913" cy="189781"/>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7F216E" w:rsidRPr="00F72F91" w:rsidTr="00332E64">
              <w:trPr>
                <w:trHeight w:val="416"/>
              </w:trPr>
              <w:tc>
                <w:tcPr>
                  <w:tcW w:w="2680" w:type="dxa"/>
                  <w:tcBorders>
                    <w:top w:val="nil"/>
                    <w:left w:val="single" w:sz="8" w:space="0" w:color="78786E"/>
                    <w:bottom w:val="single" w:sz="8" w:space="0" w:color="78786E"/>
                    <w:right w:val="single" w:sz="8" w:space="0" w:color="78786E"/>
                  </w:tcBorders>
                  <w:shd w:val="clear" w:color="000000" w:fill="FFFFFF"/>
                  <w:vAlign w:val="bottom"/>
                  <w:hideMark/>
                </w:tcPr>
                <w:p w:rsidR="007F216E" w:rsidRPr="00F72F91" w:rsidRDefault="007F216E" w:rsidP="00332E64">
                  <w:pPr>
                    <w:rPr>
                      <w:rFonts w:ascii="Verdana" w:hAnsi="Verdana" w:cs="Calibri"/>
                      <w:color w:val="000000"/>
                      <w:sz w:val="16"/>
                      <w:szCs w:val="16"/>
                    </w:rPr>
                  </w:pPr>
                  <w:r w:rsidRPr="00F72F91">
                    <w:rPr>
                      <w:rFonts w:ascii="Verdana" w:hAnsi="Verdana" w:cs="Calibri"/>
                      <w:color w:val="000000"/>
                      <w:sz w:val="16"/>
                      <w:szCs w:val="16"/>
                    </w:rPr>
                    <w:t>FFT - MH % Who would recommend service (NAVIGO)</w:t>
                  </w:r>
                </w:p>
              </w:tc>
              <w:tc>
                <w:tcPr>
                  <w:tcW w:w="854" w:type="dxa"/>
                  <w:tcBorders>
                    <w:top w:val="nil"/>
                    <w:left w:val="nil"/>
                    <w:bottom w:val="single" w:sz="8" w:space="0" w:color="78786E"/>
                    <w:right w:val="single" w:sz="8" w:space="0" w:color="78786E"/>
                  </w:tcBorders>
                  <w:shd w:val="clear" w:color="000000" w:fill="FFFFFF"/>
                  <w:vAlign w:val="bottom"/>
                  <w:hideMark/>
                </w:tcPr>
                <w:p w:rsidR="007F216E" w:rsidRPr="00F72F91" w:rsidRDefault="007F216E" w:rsidP="00332E64">
                  <w:pPr>
                    <w:jc w:val="center"/>
                    <w:rPr>
                      <w:rFonts w:ascii="Verdana" w:hAnsi="Verdana" w:cs="Calibri"/>
                      <w:color w:val="000000"/>
                      <w:sz w:val="16"/>
                      <w:szCs w:val="16"/>
                    </w:rPr>
                  </w:pPr>
                  <w:r w:rsidRPr="00F72F91">
                    <w:rPr>
                      <w:rFonts w:ascii="Verdana" w:hAnsi="Verdana" w:cs="Calibri"/>
                      <w:color w:val="000000"/>
                      <w:sz w:val="16"/>
                      <w:szCs w:val="16"/>
                    </w:rPr>
                    <w:t>87.35%</w:t>
                  </w:r>
                </w:p>
              </w:tc>
              <w:tc>
                <w:tcPr>
                  <w:tcW w:w="854" w:type="dxa"/>
                  <w:tcBorders>
                    <w:top w:val="nil"/>
                    <w:left w:val="nil"/>
                    <w:bottom w:val="single" w:sz="8" w:space="0" w:color="78786E"/>
                    <w:right w:val="single" w:sz="8" w:space="0" w:color="78786E"/>
                  </w:tcBorders>
                  <w:shd w:val="clear" w:color="000000" w:fill="FFFFFF"/>
                  <w:vAlign w:val="bottom"/>
                  <w:hideMark/>
                </w:tcPr>
                <w:p w:rsidR="007F216E" w:rsidRPr="00F72F91" w:rsidRDefault="007F216E" w:rsidP="00332E64">
                  <w:pPr>
                    <w:jc w:val="center"/>
                    <w:rPr>
                      <w:rFonts w:ascii="Verdana" w:hAnsi="Verdana" w:cs="Calibri"/>
                      <w:color w:val="000000"/>
                      <w:sz w:val="16"/>
                      <w:szCs w:val="16"/>
                    </w:rPr>
                  </w:pPr>
                  <w:r w:rsidRPr="00F72F91">
                    <w:rPr>
                      <w:rFonts w:ascii="Verdana" w:hAnsi="Verdana" w:cs="Calibri"/>
                      <w:color w:val="000000"/>
                      <w:sz w:val="16"/>
                      <w:szCs w:val="16"/>
                    </w:rPr>
                    <w:t>93.33%</w:t>
                  </w:r>
                </w:p>
              </w:tc>
              <w:tc>
                <w:tcPr>
                  <w:tcW w:w="792" w:type="dxa"/>
                  <w:tcBorders>
                    <w:top w:val="nil"/>
                    <w:left w:val="nil"/>
                    <w:bottom w:val="single" w:sz="8" w:space="0" w:color="78786E"/>
                    <w:right w:val="single" w:sz="8" w:space="0" w:color="78786E"/>
                  </w:tcBorders>
                  <w:shd w:val="clear" w:color="000000" w:fill="FFFFFF"/>
                  <w:vAlign w:val="bottom"/>
                  <w:hideMark/>
                </w:tcPr>
                <w:p w:rsidR="007F216E" w:rsidRPr="00F72F91" w:rsidRDefault="007F216E" w:rsidP="00332E64">
                  <w:pPr>
                    <w:jc w:val="center"/>
                    <w:rPr>
                      <w:rFonts w:ascii="Verdana" w:hAnsi="Verdana" w:cs="Calibri"/>
                      <w:color w:val="000000"/>
                      <w:sz w:val="16"/>
                      <w:szCs w:val="16"/>
                    </w:rPr>
                  </w:pPr>
                  <w:r w:rsidRPr="00F72F91">
                    <w:rPr>
                      <w:rFonts w:ascii="Verdana" w:hAnsi="Verdana" w:cs="Calibri"/>
                      <w:noProof/>
                      <w:color w:val="000000"/>
                      <w:sz w:val="16"/>
                      <w:szCs w:val="16"/>
                    </w:rPr>
                    <w:drawing>
                      <wp:anchor distT="0" distB="0" distL="114300" distR="114300" simplePos="0" relativeHeight="251665920" behindDoc="0" locked="0" layoutInCell="1" allowOverlap="1" wp14:anchorId="5FC4C1CC" wp14:editId="1A4B8BB9">
                        <wp:simplePos x="0" y="0"/>
                        <wp:positionH relativeFrom="column">
                          <wp:posOffset>0</wp:posOffset>
                        </wp:positionH>
                        <wp:positionV relativeFrom="paragraph">
                          <wp:posOffset>0</wp:posOffset>
                        </wp:positionV>
                        <wp:extent cx="233045" cy="189865"/>
                        <wp:effectExtent l="0" t="0" r="0" b="635"/>
                        <wp:wrapNone/>
                        <wp:docPr id="13" name="Picture 13" descr="https://www.covalentcpm.com/lowRes/big_green_circle.png"/>
                        <wp:cNvGraphicFramePr/>
                        <a:graphic xmlns:a="http://schemas.openxmlformats.org/drawingml/2006/main">
                          <a:graphicData uri="http://schemas.openxmlformats.org/drawingml/2006/picture">
                            <pic:pic xmlns:pic="http://schemas.openxmlformats.org/drawingml/2006/picture">
                              <pic:nvPicPr>
                                <pic:cNvPr id="36" name="Picture 8" descr="https://www.covalentcpm.com/lowRes/big_green_circle.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32913" cy="189781"/>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7F216E" w:rsidRPr="00F72F91" w:rsidTr="00332E64">
              <w:trPr>
                <w:trHeight w:val="416"/>
              </w:trPr>
              <w:tc>
                <w:tcPr>
                  <w:tcW w:w="2680" w:type="dxa"/>
                  <w:tcBorders>
                    <w:top w:val="nil"/>
                    <w:left w:val="single" w:sz="8" w:space="0" w:color="78786E"/>
                    <w:bottom w:val="single" w:sz="8" w:space="0" w:color="78786E"/>
                    <w:right w:val="single" w:sz="8" w:space="0" w:color="78786E"/>
                  </w:tcBorders>
                  <w:shd w:val="clear" w:color="000000" w:fill="FFFFFF"/>
                  <w:vAlign w:val="bottom"/>
                  <w:hideMark/>
                </w:tcPr>
                <w:p w:rsidR="007F216E" w:rsidRPr="00F72F91" w:rsidRDefault="007F216E" w:rsidP="00332E64">
                  <w:pPr>
                    <w:rPr>
                      <w:rFonts w:ascii="Verdana" w:hAnsi="Verdana" w:cs="Calibri"/>
                      <w:color w:val="000000"/>
                      <w:sz w:val="16"/>
                      <w:szCs w:val="16"/>
                    </w:rPr>
                  </w:pPr>
                  <w:r w:rsidRPr="00F72F91">
                    <w:rPr>
                      <w:rFonts w:ascii="Verdana" w:hAnsi="Verdana" w:cs="Calibri"/>
                      <w:color w:val="000000"/>
                      <w:sz w:val="16"/>
                      <w:szCs w:val="16"/>
                    </w:rPr>
                    <w:t>FFT - Maternity - Combined % Who would recommend</w:t>
                  </w:r>
                </w:p>
              </w:tc>
              <w:tc>
                <w:tcPr>
                  <w:tcW w:w="854" w:type="dxa"/>
                  <w:tcBorders>
                    <w:top w:val="nil"/>
                    <w:left w:val="nil"/>
                    <w:bottom w:val="single" w:sz="8" w:space="0" w:color="78786E"/>
                    <w:right w:val="single" w:sz="8" w:space="0" w:color="78786E"/>
                  </w:tcBorders>
                  <w:shd w:val="clear" w:color="000000" w:fill="FFFFFF"/>
                  <w:vAlign w:val="bottom"/>
                  <w:hideMark/>
                </w:tcPr>
                <w:p w:rsidR="007F216E" w:rsidRPr="00F72F91" w:rsidRDefault="007F216E" w:rsidP="00332E64">
                  <w:pPr>
                    <w:jc w:val="center"/>
                    <w:rPr>
                      <w:rFonts w:ascii="Verdana" w:hAnsi="Verdana" w:cs="Calibri"/>
                      <w:color w:val="000000"/>
                      <w:sz w:val="16"/>
                      <w:szCs w:val="16"/>
                    </w:rPr>
                  </w:pPr>
                  <w:r w:rsidRPr="00F72F91">
                    <w:rPr>
                      <w:rFonts w:ascii="Verdana" w:hAnsi="Verdana" w:cs="Calibri"/>
                      <w:color w:val="000000"/>
                      <w:sz w:val="16"/>
                      <w:szCs w:val="16"/>
                    </w:rPr>
                    <w:t>95.64%</w:t>
                  </w:r>
                </w:p>
              </w:tc>
              <w:tc>
                <w:tcPr>
                  <w:tcW w:w="854" w:type="dxa"/>
                  <w:tcBorders>
                    <w:top w:val="nil"/>
                    <w:left w:val="nil"/>
                    <w:bottom w:val="single" w:sz="8" w:space="0" w:color="78786E"/>
                    <w:right w:val="single" w:sz="8" w:space="0" w:color="78786E"/>
                  </w:tcBorders>
                  <w:shd w:val="clear" w:color="000000" w:fill="FFFFFF"/>
                  <w:vAlign w:val="bottom"/>
                  <w:hideMark/>
                </w:tcPr>
                <w:p w:rsidR="007F216E" w:rsidRPr="00F72F91" w:rsidRDefault="007F216E" w:rsidP="00332E64">
                  <w:pPr>
                    <w:jc w:val="center"/>
                    <w:rPr>
                      <w:rFonts w:ascii="Verdana" w:hAnsi="Verdana" w:cs="Calibri"/>
                      <w:color w:val="000000"/>
                      <w:sz w:val="16"/>
                      <w:szCs w:val="16"/>
                    </w:rPr>
                  </w:pPr>
                  <w:r w:rsidRPr="00F72F91">
                    <w:rPr>
                      <w:rFonts w:ascii="Verdana" w:hAnsi="Verdana" w:cs="Calibri"/>
                      <w:color w:val="000000"/>
                      <w:sz w:val="16"/>
                      <w:szCs w:val="16"/>
                    </w:rPr>
                    <w:t>92.33%</w:t>
                  </w:r>
                </w:p>
              </w:tc>
              <w:tc>
                <w:tcPr>
                  <w:tcW w:w="792" w:type="dxa"/>
                  <w:tcBorders>
                    <w:top w:val="nil"/>
                    <w:left w:val="nil"/>
                    <w:bottom w:val="single" w:sz="8" w:space="0" w:color="78786E"/>
                    <w:right w:val="single" w:sz="8" w:space="0" w:color="78786E"/>
                  </w:tcBorders>
                  <w:shd w:val="clear" w:color="000000" w:fill="FFFFFF"/>
                  <w:vAlign w:val="bottom"/>
                  <w:hideMark/>
                </w:tcPr>
                <w:p w:rsidR="007F216E" w:rsidRPr="00F72F91" w:rsidRDefault="007F216E" w:rsidP="00332E64">
                  <w:pPr>
                    <w:jc w:val="center"/>
                    <w:rPr>
                      <w:rFonts w:ascii="Verdana" w:hAnsi="Verdana" w:cs="Calibri"/>
                      <w:color w:val="000000"/>
                      <w:sz w:val="16"/>
                      <w:szCs w:val="16"/>
                    </w:rPr>
                  </w:pPr>
                  <w:r w:rsidRPr="00F72F91">
                    <w:rPr>
                      <w:rFonts w:ascii="Verdana" w:hAnsi="Verdana" w:cs="Calibri"/>
                      <w:noProof/>
                      <w:color w:val="000000"/>
                      <w:sz w:val="16"/>
                      <w:szCs w:val="16"/>
                    </w:rPr>
                    <w:drawing>
                      <wp:anchor distT="0" distB="0" distL="114300" distR="114300" simplePos="0" relativeHeight="251666944" behindDoc="0" locked="0" layoutInCell="1" allowOverlap="1" wp14:anchorId="5F3BFF2A" wp14:editId="1BB8C8A0">
                        <wp:simplePos x="0" y="0"/>
                        <wp:positionH relativeFrom="column">
                          <wp:posOffset>0</wp:posOffset>
                        </wp:positionH>
                        <wp:positionV relativeFrom="paragraph">
                          <wp:posOffset>0</wp:posOffset>
                        </wp:positionV>
                        <wp:extent cx="233045" cy="180975"/>
                        <wp:effectExtent l="0" t="0" r="0" b="9525"/>
                        <wp:wrapNone/>
                        <wp:docPr id="14" name="Picture 14" descr="https://www.covalentcpm.com/lowRes/big_yellow_triangle.png"/>
                        <wp:cNvGraphicFramePr/>
                        <a:graphic xmlns:a="http://schemas.openxmlformats.org/drawingml/2006/main">
                          <a:graphicData uri="http://schemas.openxmlformats.org/drawingml/2006/picture">
                            <pic:pic xmlns:pic="http://schemas.openxmlformats.org/drawingml/2006/picture">
                              <pic:nvPicPr>
                                <pic:cNvPr id="39" name="Picture 12" descr="https://www.covalentcpm.com/lowRes/big_yellow_triangle.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32913" cy="184031"/>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7F216E" w:rsidRPr="00F72F91" w:rsidTr="00332E64">
              <w:trPr>
                <w:trHeight w:val="416"/>
              </w:trPr>
              <w:tc>
                <w:tcPr>
                  <w:tcW w:w="2680" w:type="dxa"/>
                  <w:tcBorders>
                    <w:top w:val="nil"/>
                    <w:left w:val="single" w:sz="8" w:space="0" w:color="78786E"/>
                    <w:bottom w:val="single" w:sz="8" w:space="0" w:color="78786E"/>
                    <w:right w:val="single" w:sz="8" w:space="0" w:color="78786E"/>
                  </w:tcBorders>
                  <w:shd w:val="clear" w:color="000000" w:fill="FFFFFF"/>
                  <w:vAlign w:val="bottom"/>
                  <w:hideMark/>
                </w:tcPr>
                <w:p w:rsidR="007F216E" w:rsidRPr="00F72F91" w:rsidRDefault="007F216E" w:rsidP="00332E64">
                  <w:pPr>
                    <w:rPr>
                      <w:rFonts w:ascii="Verdana" w:hAnsi="Verdana" w:cs="Calibri"/>
                      <w:color w:val="000000"/>
                      <w:sz w:val="16"/>
                      <w:szCs w:val="16"/>
                    </w:rPr>
                  </w:pPr>
                  <w:r w:rsidRPr="00F72F91">
                    <w:rPr>
                      <w:rFonts w:ascii="Verdana" w:hAnsi="Verdana" w:cs="Calibri"/>
                      <w:color w:val="000000"/>
                      <w:sz w:val="16"/>
                      <w:szCs w:val="16"/>
                    </w:rPr>
                    <w:t>FFT - Employee score</w:t>
                  </w:r>
                </w:p>
              </w:tc>
              <w:tc>
                <w:tcPr>
                  <w:tcW w:w="854" w:type="dxa"/>
                  <w:tcBorders>
                    <w:top w:val="nil"/>
                    <w:left w:val="nil"/>
                    <w:bottom w:val="single" w:sz="8" w:space="0" w:color="78786E"/>
                    <w:right w:val="single" w:sz="8" w:space="0" w:color="78786E"/>
                  </w:tcBorders>
                  <w:shd w:val="clear" w:color="000000" w:fill="FFFFFF"/>
                  <w:vAlign w:val="bottom"/>
                  <w:hideMark/>
                </w:tcPr>
                <w:p w:rsidR="007F216E" w:rsidRPr="00F72F91" w:rsidRDefault="007F216E" w:rsidP="00332E64">
                  <w:pPr>
                    <w:jc w:val="center"/>
                    <w:rPr>
                      <w:rFonts w:ascii="Verdana" w:hAnsi="Verdana" w:cs="Calibri"/>
                      <w:color w:val="000000"/>
                      <w:sz w:val="16"/>
                      <w:szCs w:val="16"/>
                    </w:rPr>
                  </w:pPr>
                  <w:r w:rsidRPr="00F72F91">
                    <w:rPr>
                      <w:rFonts w:ascii="Verdana" w:hAnsi="Verdana" w:cs="Calibri"/>
                      <w:color w:val="000000"/>
                      <w:sz w:val="16"/>
                      <w:szCs w:val="16"/>
                    </w:rPr>
                    <w:t>77.89%</w:t>
                  </w:r>
                </w:p>
              </w:tc>
              <w:tc>
                <w:tcPr>
                  <w:tcW w:w="854" w:type="dxa"/>
                  <w:tcBorders>
                    <w:top w:val="nil"/>
                    <w:left w:val="nil"/>
                    <w:bottom w:val="single" w:sz="8" w:space="0" w:color="78786E"/>
                    <w:right w:val="single" w:sz="8" w:space="0" w:color="78786E"/>
                  </w:tcBorders>
                  <w:shd w:val="clear" w:color="000000" w:fill="FFFFFF"/>
                  <w:vAlign w:val="bottom"/>
                  <w:hideMark/>
                </w:tcPr>
                <w:p w:rsidR="007F216E" w:rsidRPr="00F72F91" w:rsidRDefault="007F216E" w:rsidP="00332E64">
                  <w:pPr>
                    <w:jc w:val="center"/>
                    <w:rPr>
                      <w:rFonts w:ascii="Verdana" w:hAnsi="Verdana" w:cs="Calibri"/>
                      <w:color w:val="000000"/>
                      <w:sz w:val="16"/>
                      <w:szCs w:val="16"/>
                    </w:rPr>
                  </w:pPr>
                  <w:r w:rsidRPr="00F72F91">
                    <w:rPr>
                      <w:rFonts w:ascii="Verdana" w:hAnsi="Verdana" w:cs="Calibri"/>
                      <w:color w:val="000000"/>
                      <w:sz w:val="16"/>
                      <w:szCs w:val="16"/>
                    </w:rPr>
                    <w:t>50.31%</w:t>
                  </w:r>
                </w:p>
              </w:tc>
              <w:tc>
                <w:tcPr>
                  <w:tcW w:w="792" w:type="dxa"/>
                  <w:tcBorders>
                    <w:top w:val="nil"/>
                    <w:left w:val="nil"/>
                    <w:bottom w:val="single" w:sz="8" w:space="0" w:color="78786E"/>
                    <w:right w:val="single" w:sz="8" w:space="0" w:color="78786E"/>
                  </w:tcBorders>
                  <w:shd w:val="clear" w:color="000000" w:fill="FFFFFF"/>
                  <w:vAlign w:val="bottom"/>
                  <w:hideMark/>
                </w:tcPr>
                <w:p w:rsidR="007F216E" w:rsidRPr="00F72F91" w:rsidRDefault="007F216E" w:rsidP="00332E64">
                  <w:pPr>
                    <w:jc w:val="center"/>
                    <w:rPr>
                      <w:rFonts w:ascii="Verdana" w:hAnsi="Verdana" w:cs="Calibri"/>
                      <w:color w:val="000000"/>
                      <w:sz w:val="16"/>
                      <w:szCs w:val="16"/>
                    </w:rPr>
                  </w:pPr>
                  <w:r w:rsidRPr="00F72F91">
                    <w:rPr>
                      <w:rFonts w:ascii="Verdana" w:hAnsi="Verdana" w:cs="Calibri"/>
                      <w:noProof/>
                      <w:color w:val="000000"/>
                      <w:sz w:val="16"/>
                      <w:szCs w:val="16"/>
                    </w:rPr>
                    <w:drawing>
                      <wp:anchor distT="0" distB="0" distL="114300" distR="114300" simplePos="0" relativeHeight="251667968" behindDoc="0" locked="0" layoutInCell="1" allowOverlap="1" wp14:anchorId="1AF557DA" wp14:editId="513802BD">
                        <wp:simplePos x="0" y="0"/>
                        <wp:positionH relativeFrom="column">
                          <wp:posOffset>0</wp:posOffset>
                        </wp:positionH>
                        <wp:positionV relativeFrom="paragraph">
                          <wp:posOffset>0</wp:posOffset>
                        </wp:positionV>
                        <wp:extent cx="233045" cy="233045"/>
                        <wp:effectExtent l="0" t="0" r="0" b="0"/>
                        <wp:wrapNone/>
                        <wp:docPr id="15" name="Picture 15" descr="https://www.covalentcpm.com/lowRes/big_red_octagon.png"/>
                        <wp:cNvGraphicFramePr/>
                        <a:graphic xmlns:a="http://schemas.openxmlformats.org/drawingml/2006/main">
                          <a:graphicData uri="http://schemas.openxmlformats.org/drawingml/2006/picture">
                            <pic:pic xmlns:pic="http://schemas.openxmlformats.org/drawingml/2006/picture">
                              <pic:nvPicPr>
                                <pic:cNvPr id="42" name="Picture 13" descr="https://www.covalentcpm.com/lowRes/big_red_octagon.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32913" cy="232913"/>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bl>
          <w:p w:rsidR="007F216E" w:rsidRPr="00F72F91" w:rsidRDefault="007F216E" w:rsidP="007F216E">
            <w:pPr>
              <w:rPr>
                <w:rFonts w:ascii="Arial" w:eastAsia="Verdana" w:hAnsi="Arial" w:cs="Arial"/>
                <w:b/>
                <w:i/>
                <w:color w:val="000000"/>
                <w:sz w:val="20"/>
                <w:szCs w:val="20"/>
              </w:rPr>
            </w:pPr>
            <w:r w:rsidRPr="00F72F91">
              <w:rPr>
                <w:rFonts w:ascii="Arial" w:eastAsia="Verdana" w:hAnsi="Arial" w:cs="Arial"/>
                <w:b/>
                <w:i/>
                <w:color w:val="000000"/>
                <w:sz w:val="20"/>
                <w:szCs w:val="20"/>
              </w:rPr>
              <w:t>‘% Who would recommend service’</w:t>
            </w:r>
          </w:p>
          <w:p w:rsidR="007F216E" w:rsidRPr="00F72F91" w:rsidRDefault="007F216E" w:rsidP="007F216E">
            <w:pPr>
              <w:rPr>
                <w:rFonts w:ascii="Arial" w:eastAsia="Verdana" w:hAnsi="Arial" w:cs="Arial"/>
                <w:color w:val="000000"/>
                <w:sz w:val="20"/>
                <w:szCs w:val="20"/>
              </w:rPr>
            </w:pPr>
            <w:r w:rsidRPr="00F72F91">
              <w:rPr>
                <w:rFonts w:ascii="Arial" w:eastAsia="Verdana" w:hAnsi="Arial" w:cs="Arial"/>
                <w:color w:val="000000"/>
                <w:sz w:val="20"/>
                <w:szCs w:val="20"/>
              </w:rPr>
              <w:t>The year to date performance shows we are below target for A&amp;E, Outpatient, Maternity and Staff who would recommend service but above target for Ambulance, Inpatient, Community and Mental Health when looking at how others are performing nationally.</w:t>
            </w:r>
          </w:p>
          <w:p w:rsidR="007F216E" w:rsidRPr="00F72F91" w:rsidRDefault="007F216E" w:rsidP="007F216E">
            <w:pPr>
              <w:spacing w:after="200" w:line="276" w:lineRule="auto"/>
              <w:jc w:val="both"/>
              <w:rPr>
                <w:rFonts w:ascii="Arial" w:eastAsiaTheme="minorHAnsi" w:hAnsi="Arial" w:cs="Arial"/>
                <w:sz w:val="22"/>
                <w:szCs w:val="22"/>
                <w:lang w:eastAsia="en-US"/>
              </w:rPr>
            </w:pPr>
          </w:p>
          <w:tbl>
            <w:tblPr>
              <w:tblpPr w:leftFromText="180" w:rightFromText="180" w:vertAnchor="text" w:horzAnchor="margin" w:tblpXSpec="right" w:tblpY="31"/>
              <w:tblW w:w="5206" w:type="dxa"/>
              <w:tblLook w:val="04A0" w:firstRow="1" w:lastRow="0" w:firstColumn="1" w:lastColumn="0" w:noHBand="0" w:noVBand="1"/>
            </w:tblPr>
            <w:tblGrid>
              <w:gridCol w:w="2694"/>
              <w:gridCol w:w="850"/>
              <w:gridCol w:w="817"/>
              <w:gridCol w:w="845"/>
            </w:tblGrid>
            <w:tr w:rsidR="007F216E" w:rsidRPr="00F72F91" w:rsidTr="00332E64">
              <w:trPr>
                <w:trHeight w:val="189"/>
              </w:trPr>
              <w:tc>
                <w:tcPr>
                  <w:tcW w:w="2694" w:type="dxa"/>
                  <w:vMerge w:val="restart"/>
                  <w:tcBorders>
                    <w:top w:val="single" w:sz="8" w:space="0" w:color="787878"/>
                    <w:left w:val="single" w:sz="8" w:space="0" w:color="787878"/>
                    <w:bottom w:val="single" w:sz="8" w:space="0" w:color="78786E"/>
                    <w:right w:val="single" w:sz="8" w:space="0" w:color="787878"/>
                  </w:tcBorders>
                  <w:shd w:val="clear" w:color="000000" w:fill="DCDCDC"/>
                  <w:vAlign w:val="bottom"/>
                  <w:hideMark/>
                </w:tcPr>
                <w:p w:rsidR="007F216E" w:rsidRPr="00F72F91" w:rsidRDefault="007F216E" w:rsidP="00332E64">
                  <w:pPr>
                    <w:rPr>
                      <w:rFonts w:ascii="Verdana" w:hAnsi="Verdana" w:cs="Calibri"/>
                      <w:b/>
                      <w:bCs/>
                      <w:color w:val="000000"/>
                      <w:sz w:val="16"/>
                      <w:szCs w:val="16"/>
                    </w:rPr>
                  </w:pPr>
                  <w:r w:rsidRPr="00F72F91">
                    <w:rPr>
                      <w:rFonts w:ascii="Verdana" w:hAnsi="Verdana" w:cs="Calibri"/>
                      <w:b/>
                      <w:bCs/>
                      <w:color w:val="000000"/>
                      <w:sz w:val="16"/>
                      <w:szCs w:val="16"/>
                    </w:rPr>
                    <w:t>Indicator</w:t>
                  </w:r>
                </w:p>
              </w:tc>
              <w:tc>
                <w:tcPr>
                  <w:tcW w:w="2512" w:type="dxa"/>
                  <w:gridSpan w:val="3"/>
                  <w:tcBorders>
                    <w:top w:val="single" w:sz="8" w:space="0" w:color="787878"/>
                    <w:left w:val="nil"/>
                    <w:bottom w:val="single" w:sz="8" w:space="0" w:color="787878"/>
                    <w:right w:val="single" w:sz="8" w:space="0" w:color="787878"/>
                  </w:tcBorders>
                  <w:shd w:val="clear" w:color="000000" w:fill="DCDCDC"/>
                  <w:vAlign w:val="bottom"/>
                  <w:hideMark/>
                </w:tcPr>
                <w:p w:rsidR="007F216E" w:rsidRPr="00F72F91" w:rsidRDefault="007F216E" w:rsidP="00332E64">
                  <w:pPr>
                    <w:jc w:val="center"/>
                    <w:rPr>
                      <w:rFonts w:ascii="Verdana" w:hAnsi="Verdana" w:cs="Calibri"/>
                      <w:b/>
                      <w:bCs/>
                      <w:color w:val="000000"/>
                      <w:sz w:val="16"/>
                      <w:szCs w:val="16"/>
                    </w:rPr>
                  </w:pPr>
                  <w:r w:rsidRPr="00F72F91">
                    <w:rPr>
                      <w:rFonts w:ascii="Verdana" w:hAnsi="Verdana" w:cs="Calibri"/>
                      <w:b/>
                      <w:bCs/>
                      <w:color w:val="000000"/>
                      <w:sz w:val="16"/>
                      <w:szCs w:val="16"/>
                    </w:rPr>
                    <w:t>2015/16</w:t>
                  </w:r>
                </w:p>
              </w:tc>
            </w:tr>
            <w:tr w:rsidR="007F216E" w:rsidRPr="00F72F91" w:rsidTr="00332E64">
              <w:trPr>
                <w:trHeight w:val="189"/>
              </w:trPr>
              <w:tc>
                <w:tcPr>
                  <w:tcW w:w="2694" w:type="dxa"/>
                  <w:vMerge/>
                  <w:tcBorders>
                    <w:top w:val="single" w:sz="8" w:space="0" w:color="787878"/>
                    <w:left w:val="single" w:sz="8" w:space="0" w:color="787878"/>
                    <w:bottom w:val="single" w:sz="8" w:space="0" w:color="78786E"/>
                    <w:right w:val="single" w:sz="8" w:space="0" w:color="787878"/>
                  </w:tcBorders>
                  <w:vAlign w:val="center"/>
                  <w:hideMark/>
                </w:tcPr>
                <w:p w:rsidR="007F216E" w:rsidRPr="00F72F91" w:rsidRDefault="007F216E" w:rsidP="00332E64">
                  <w:pPr>
                    <w:rPr>
                      <w:rFonts w:ascii="Verdana" w:hAnsi="Verdana" w:cs="Calibri"/>
                      <w:b/>
                      <w:bCs/>
                      <w:color w:val="000000"/>
                      <w:sz w:val="16"/>
                      <w:szCs w:val="16"/>
                    </w:rPr>
                  </w:pPr>
                </w:p>
              </w:tc>
              <w:tc>
                <w:tcPr>
                  <w:tcW w:w="850" w:type="dxa"/>
                  <w:tcBorders>
                    <w:top w:val="nil"/>
                    <w:left w:val="nil"/>
                    <w:bottom w:val="single" w:sz="8" w:space="0" w:color="787878"/>
                    <w:right w:val="single" w:sz="8" w:space="0" w:color="787878"/>
                  </w:tcBorders>
                  <w:shd w:val="clear" w:color="000000" w:fill="DCDCDC"/>
                  <w:vAlign w:val="bottom"/>
                  <w:hideMark/>
                </w:tcPr>
                <w:p w:rsidR="007F216E" w:rsidRPr="00F72F91" w:rsidRDefault="007F216E" w:rsidP="00332E64">
                  <w:pPr>
                    <w:jc w:val="center"/>
                    <w:rPr>
                      <w:rFonts w:ascii="Verdana" w:hAnsi="Verdana" w:cs="Calibri"/>
                      <w:b/>
                      <w:bCs/>
                      <w:color w:val="000000"/>
                      <w:sz w:val="16"/>
                      <w:szCs w:val="16"/>
                    </w:rPr>
                  </w:pPr>
                  <w:r w:rsidRPr="00F72F91">
                    <w:rPr>
                      <w:rFonts w:ascii="Verdana" w:hAnsi="Verdana" w:cs="Calibri"/>
                      <w:b/>
                      <w:bCs/>
                      <w:color w:val="000000"/>
                      <w:sz w:val="16"/>
                      <w:szCs w:val="16"/>
                    </w:rPr>
                    <w:t>Target</w:t>
                  </w:r>
                </w:p>
              </w:tc>
              <w:tc>
                <w:tcPr>
                  <w:tcW w:w="817" w:type="dxa"/>
                  <w:tcBorders>
                    <w:top w:val="nil"/>
                    <w:left w:val="nil"/>
                    <w:bottom w:val="single" w:sz="8" w:space="0" w:color="787878"/>
                    <w:right w:val="single" w:sz="8" w:space="0" w:color="787878"/>
                  </w:tcBorders>
                  <w:shd w:val="clear" w:color="000000" w:fill="DCDCDC"/>
                  <w:vAlign w:val="bottom"/>
                  <w:hideMark/>
                </w:tcPr>
                <w:p w:rsidR="007F216E" w:rsidRPr="00F72F91" w:rsidRDefault="007F216E" w:rsidP="00332E64">
                  <w:pPr>
                    <w:jc w:val="center"/>
                    <w:rPr>
                      <w:rFonts w:ascii="Verdana" w:hAnsi="Verdana" w:cs="Calibri"/>
                      <w:b/>
                      <w:bCs/>
                      <w:color w:val="000000"/>
                      <w:sz w:val="16"/>
                      <w:szCs w:val="16"/>
                    </w:rPr>
                  </w:pPr>
                  <w:r w:rsidRPr="00F72F91">
                    <w:rPr>
                      <w:rFonts w:ascii="Verdana" w:hAnsi="Verdana" w:cs="Calibri"/>
                      <w:b/>
                      <w:bCs/>
                      <w:color w:val="000000"/>
                      <w:sz w:val="16"/>
                      <w:szCs w:val="16"/>
                    </w:rPr>
                    <w:t>Value</w:t>
                  </w:r>
                </w:p>
              </w:tc>
              <w:tc>
                <w:tcPr>
                  <w:tcW w:w="845" w:type="dxa"/>
                  <w:tcBorders>
                    <w:top w:val="nil"/>
                    <w:left w:val="nil"/>
                    <w:bottom w:val="single" w:sz="8" w:space="0" w:color="787878"/>
                    <w:right w:val="single" w:sz="8" w:space="0" w:color="787878"/>
                  </w:tcBorders>
                  <w:shd w:val="clear" w:color="000000" w:fill="DCDCDC"/>
                  <w:vAlign w:val="bottom"/>
                  <w:hideMark/>
                </w:tcPr>
                <w:p w:rsidR="007F216E" w:rsidRPr="00F72F91" w:rsidRDefault="007F216E" w:rsidP="00332E64">
                  <w:pPr>
                    <w:jc w:val="center"/>
                    <w:rPr>
                      <w:rFonts w:ascii="Verdana" w:hAnsi="Verdana" w:cs="Calibri"/>
                      <w:b/>
                      <w:bCs/>
                      <w:color w:val="000000"/>
                      <w:sz w:val="16"/>
                      <w:szCs w:val="16"/>
                    </w:rPr>
                  </w:pPr>
                  <w:r w:rsidRPr="00F72F91">
                    <w:rPr>
                      <w:rFonts w:ascii="Verdana" w:hAnsi="Verdana" w:cs="Calibri"/>
                      <w:b/>
                      <w:bCs/>
                      <w:color w:val="000000"/>
                      <w:sz w:val="16"/>
                      <w:szCs w:val="16"/>
                    </w:rPr>
                    <w:t>Status</w:t>
                  </w:r>
                </w:p>
              </w:tc>
            </w:tr>
            <w:tr w:rsidR="007F216E" w:rsidRPr="00F72F91" w:rsidTr="00332E64">
              <w:trPr>
                <w:trHeight w:val="358"/>
              </w:trPr>
              <w:tc>
                <w:tcPr>
                  <w:tcW w:w="2694" w:type="dxa"/>
                  <w:tcBorders>
                    <w:top w:val="nil"/>
                    <w:left w:val="single" w:sz="8" w:space="0" w:color="78786E"/>
                    <w:bottom w:val="single" w:sz="8" w:space="0" w:color="78786E"/>
                    <w:right w:val="single" w:sz="8" w:space="0" w:color="78786E"/>
                  </w:tcBorders>
                  <w:shd w:val="clear" w:color="000000" w:fill="FFFFFF"/>
                  <w:vAlign w:val="bottom"/>
                  <w:hideMark/>
                </w:tcPr>
                <w:p w:rsidR="007F216E" w:rsidRPr="00F72F91" w:rsidRDefault="007F216E" w:rsidP="00332E64">
                  <w:pPr>
                    <w:rPr>
                      <w:rFonts w:ascii="Verdana" w:hAnsi="Verdana" w:cs="Calibri"/>
                      <w:color w:val="000000"/>
                      <w:sz w:val="16"/>
                      <w:szCs w:val="16"/>
                    </w:rPr>
                  </w:pPr>
                  <w:r w:rsidRPr="00F72F91">
                    <w:rPr>
                      <w:rFonts w:ascii="Verdana" w:hAnsi="Verdana" w:cs="Calibri"/>
                      <w:color w:val="000000"/>
                      <w:sz w:val="16"/>
                      <w:szCs w:val="16"/>
                    </w:rPr>
                    <w:t>FFT - Ambulance Response (PTS)</w:t>
                  </w:r>
                </w:p>
              </w:tc>
              <w:tc>
                <w:tcPr>
                  <w:tcW w:w="850" w:type="dxa"/>
                  <w:tcBorders>
                    <w:top w:val="nil"/>
                    <w:left w:val="nil"/>
                    <w:bottom w:val="single" w:sz="8" w:space="0" w:color="78786E"/>
                    <w:right w:val="single" w:sz="8" w:space="0" w:color="78786E"/>
                  </w:tcBorders>
                  <w:shd w:val="clear" w:color="000000" w:fill="FFFFFF"/>
                  <w:vAlign w:val="bottom"/>
                  <w:hideMark/>
                </w:tcPr>
                <w:p w:rsidR="007F216E" w:rsidRPr="00F72F91" w:rsidRDefault="007F216E" w:rsidP="00332E64">
                  <w:pPr>
                    <w:jc w:val="center"/>
                    <w:rPr>
                      <w:rFonts w:ascii="Verdana" w:hAnsi="Verdana" w:cs="Calibri"/>
                      <w:color w:val="000000"/>
                      <w:sz w:val="16"/>
                      <w:szCs w:val="16"/>
                    </w:rPr>
                  </w:pPr>
                  <w:r w:rsidRPr="00F72F91">
                    <w:rPr>
                      <w:rFonts w:ascii="Verdana" w:hAnsi="Verdana" w:cs="Calibri"/>
                      <w:color w:val="000000"/>
                      <w:sz w:val="16"/>
                      <w:szCs w:val="16"/>
                    </w:rPr>
                    <w:t>0.46%</w:t>
                  </w:r>
                </w:p>
              </w:tc>
              <w:tc>
                <w:tcPr>
                  <w:tcW w:w="817" w:type="dxa"/>
                  <w:tcBorders>
                    <w:top w:val="nil"/>
                    <w:left w:val="nil"/>
                    <w:bottom w:val="single" w:sz="8" w:space="0" w:color="78786E"/>
                    <w:right w:val="single" w:sz="8" w:space="0" w:color="78786E"/>
                  </w:tcBorders>
                  <w:shd w:val="clear" w:color="000000" w:fill="FFFFFF"/>
                  <w:vAlign w:val="bottom"/>
                  <w:hideMark/>
                </w:tcPr>
                <w:p w:rsidR="007F216E" w:rsidRPr="00F72F91" w:rsidRDefault="007F216E" w:rsidP="00332E64">
                  <w:pPr>
                    <w:jc w:val="center"/>
                    <w:rPr>
                      <w:rFonts w:ascii="Verdana" w:hAnsi="Verdana" w:cs="Calibri"/>
                      <w:color w:val="000000"/>
                      <w:sz w:val="16"/>
                      <w:szCs w:val="16"/>
                    </w:rPr>
                  </w:pPr>
                  <w:r w:rsidRPr="00F72F91">
                    <w:rPr>
                      <w:rFonts w:ascii="Verdana" w:hAnsi="Verdana" w:cs="Calibri"/>
                      <w:color w:val="000000"/>
                      <w:sz w:val="16"/>
                      <w:szCs w:val="16"/>
                    </w:rPr>
                    <w:t>0.49%</w:t>
                  </w:r>
                </w:p>
              </w:tc>
              <w:tc>
                <w:tcPr>
                  <w:tcW w:w="845" w:type="dxa"/>
                  <w:tcBorders>
                    <w:top w:val="nil"/>
                    <w:left w:val="nil"/>
                    <w:bottom w:val="single" w:sz="8" w:space="0" w:color="78786E"/>
                    <w:right w:val="single" w:sz="8" w:space="0" w:color="78786E"/>
                  </w:tcBorders>
                  <w:shd w:val="clear" w:color="000000" w:fill="FFFFFF"/>
                  <w:vAlign w:val="bottom"/>
                  <w:hideMark/>
                </w:tcPr>
                <w:p w:rsidR="007F216E" w:rsidRPr="00F72F91" w:rsidRDefault="007F216E" w:rsidP="00332E64">
                  <w:pPr>
                    <w:jc w:val="center"/>
                    <w:rPr>
                      <w:rFonts w:ascii="Verdana" w:hAnsi="Verdana" w:cs="Calibri"/>
                      <w:color w:val="000000"/>
                      <w:sz w:val="16"/>
                      <w:szCs w:val="16"/>
                    </w:rPr>
                  </w:pPr>
                  <w:r w:rsidRPr="00F72F91">
                    <w:rPr>
                      <w:rFonts w:ascii="Verdana" w:hAnsi="Verdana" w:cs="Calibri"/>
                      <w:noProof/>
                      <w:color w:val="000000"/>
                      <w:sz w:val="16"/>
                      <w:szCs w:val="16"/>
                    </w:rPr>
                    <w:drawing>
                      <wp:anchor distT="0" distB="0" distL="114300" distR="114300" simplePos="0" relativeHeight="251668992" behindDoc="0" locked="0" layoutInCell="1" allowOverlap="1" wp14:anchorId="6CCDDD81" wp14:editId="30B79DB1">
                        <wp:simplePos x="0" y="0"/>
                        <wp:positionH relativeFrom="column">
                          <wp:posOffset>0</wp:posOffset>
                        </wp:positionH>
                        <wp:positionV relativeFrom="paragraph">
                          <wp:posOffset>0</wp:posOffset>
                        </wp:positionV>
                        <wp:extent cx="233045" cy="189865"/>
                        <wp:effectExtent l="0" t="0" r="0" b="635"/>
                        <wp:wrapNone/>
                        <wp:docPr id="16" name="Picture 16" descr="https://www.covalentcpm.com/lowRes/big_green_circle.png"/>
                        <wp:cNvGraphicFramePr/>
                        <a:graphic xmlns:a="http://schemas.openxmlformats.org/drawingml/2006/main">
                          <a:graphicData uri="http://schemas.openxmlformats.org/drawingml/2006/picture">
                            <pic:pic xmlns:pic="http://schemas.openxmlformats.org/drawingml/2006/picture">
                              <pic:nvPicPr>
                                <pic:cNvPr id="27" name="Picture 8" descr="https://www.covalentcpm.com/lowRes/big_green_circle.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32913" cy="189781"/>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7F216E" w:rsidRPr="00F72F91" w:rsidTr="00332E64">
              <w:trPr>
                <w:trHeight w:val="358"/>
              </w:trPr>
              <w:tc>
                <w:tcPr>
                  <w:tcW w:w="2694" w:type="dxa"/>
                  <w:tcBorders>
                    <w:top w:val="nil"/>
                    <w:left w:val="single" w:sz="8" w:space="0" w:color="78786E"/>
                    <w:bottom w:val="single" w:sz="8" w:space="0" w:color="78786E"/>
                    <w:right w:val="single" w:sz="8" w:space="0" w:color="78786E"/>
                  </w:tcBorders>
                  <w:shd w:val="clear" w:color="000000" w:fill="FFFFFF"/>
                  <w:vAlign w:val="bottom"/>
                  <w:hideMark/>
                </w:tcPr>
                <w:p w:rsidR="007F216E" w:rsidRPr="00F72F91" w:rsidRDefault="007F216E" w:rsidP="00332E64">
                  <w:pPr>
                    <w:rPr>
                      <w:rFonts w:ascii="Verdana" w:hAnsi="Verdana" w:cs="Calibri"/>
                      <w:color w:val="000000"/>
                      <w:sz w:val="16"/>
                      <w:szCs w:val="16"/>
                    </w:rPr>
                  </w:pPr>
                  <w:r w:rsidRPr="00F72F91">
                    <w:rPr>
                      <w:rFonts w:ascii="Verdana" w:hAnsi="Verdana" w:cs="Calibri"/>
                      <w:color w:val="000000"/>
                      <w:sz w:val="16"/>
                      <w:szCs w:val="16"/>
                    </w:rPr>
                    <w:t>FFT - Ambulance Response (SAT)</w:t>
                  </w:r>
                </w:p>
              </w:tc>
              <w:tc>
                <w:tcPr>
                  <w:tcW w:w="850" w:type="dxa"/>
                  <w:tcBorders>
                    <w:top w:val="nil"/>
                    <w:left w:val="nil"/>
                    <w:bottom w:val="single" w:sz="8" w:space="0" w:color="78786E"/>
                    <w:right w:val="single" w:sz="8" w:space="0" w:color="78786E"/>
                  </w:tcBorders>
                  <w:shd w:val="clear" w:color="000000" w:fill="FFFFFF"/>
                  <w:vAlign w:val="bottom"/>
                  <w:hideMark/>
                </w:tcPr>
                <w:p w:rsidR="007F216E" w:rsidRPr="00F72F91" w:rsidRDefault="007F216E" w:rsidP="00332E64">
                  <w:pPr>
                    <w:jc w:val="center"/>
                    <w:rPr>
                      <w:rFonts w:ascii="Verdana" w:hAnsi="Verdana" w:cs="Calibri"/>
                      <w:color w:val="000000"/>
                      <w:sz w:val="16"/>
                      <w:szCs w:val="16"/>
                    </w:rPr>
                  </w:pPr>
                  <w:r w:rsidRPr="00F72F91">
                    <w:rPr>
                      <w:rFonts w:ascii="Verdana" w:hAnsi="Verdana" w:cs="Calibri"/>
                      <w:color w:val="000000"/>
                      <w:sz w:val="16"/>
                      <w:szCs w:val="16"/>
                    </w:rPr>
                    <w:t>0.17%</w:t>
                  </w:r>
                </w:p>
              </w:tc>
              <w:tc>
                <w:tcPr>
                  <w:tcW w:w="817" w:type="dxa"/>
                  <w:tcBorders>
                    <w:top w:val="nil"/>
                    <w:left w:val="nil"/>
                    <w:bottom w:val="single" w:sz="8" w:space="0" w:color="78786E"/>
                    <w:right w:val="single" w:sz="8" w:space="0" w:color="78786E"/>
                  </w:tcBorders>
                  <w:shd w:val="clear" w:color="000000" w:fill="FFFFFF"/>
                  <w:vAlign w:val="bottom"/>
                  <w:hideMark/>
                </w:tcPr>
                <w:p w:rsidR="007F216E" w:rsidRPr="00F72F91" w:rsidRDefault="007F216E" w:rsidP="00332E64">
                  <w:pPr>
                    <w:jc w:val="center"/>
                    <w:rPr>
                      <w:rFonts w:ascii="Verdana" w:hAnsi="Verdana" w:cs="Calibri"/>
                      <w:color w:val="000000"/>
                      <w:sz w:val="16"/>
                      <w:szCs w:val="16"/>
                    </w:rPr>
                  </w:pPr>
                  <w:r w:rsidRPr="00F72F91">
                    <w:rPr>
                      <w:rFonts w:ascii="Verdana" w:hAnsi="Verdana" w:cs="Calibri"/>
                      <w:color w:val="000000"/>
                      <w:sz w:val="16"/>
                      <w:szCs w:val="16"/>
                    </w:rPr>
                    <w:t>0.53%</w:t>
                  </w:r>
                </w:p>
              </w:tc>
              <w:tc>
                <w:tcPr>
                  <w:tcW w:w="845" w:type="dxa"/>
                  <w:tcBorders>
                    <w:top w:val="nil"/>
                    <w:left w:val="nil"/>
                    <w:bottom w:val="single" w:sz="8" w:space="0" w:color="78786E"/>
                    <w:right w:val="single" w:sz="8" w:space="0" w:color="78786E"/>
                  </w:tcBorders>
                  <w:shd w:val="clear" w:color="000000" w:fill="FFFFFF"/>
                  <w:vAlign w:val="bottom"/>
                  <w:hideMark/>
                </w:tcPr>
                <w:p w:rsidR="007F216E" w:rsidRPr="00F72F91" w:rsidRDefault="007F216E" w:rsidP="00332E64">
                  <w:pPr>
                    <w:jc w:val="center"/>
                    <w:rPr>
                      <w:rFonts w:ascii="Verdana" w:hAnsi="Verdana" w:cs="Calibri"/>
                      <w:color w:val="000000"/>
                      <w:sz w:val="16"/>
                      <w:szCs w:val="16"/>
                    </w:rPr>
                  </w:pPr>
                  <w:r w:rsidRPr="00F72F91">
                    <w:rPr>
                      <w:rFonts w:ascii="Verdana" w:hAnsi="Verdana" w:cs="Calibri"/>
                      <w:noProof/>
                      <w:color w:val="000000"/>
                      <w:sz w:val="16"/>
                      <w:szCs w:val="16"/>
                    </w:rPr>
                    <w:drawing>
                      <wp:anchor distT="0" distB="0" distL="114300" distR="114300" simplePos="0" relativeHeight="251670016" behindDoc="0" locked="0" layoutInCell="1" allowOverlap="1" wp14:anchorId="0F2964A6" wp14:editId="4206E382">
                        <wp:simplePos x="0" y="0"/>
                        <wp:positionH relativeFrom="column">
                          <wp:posOffset>0</wp:posOffset>
                        </wp:positionH>
                        <wp:positionV relativeFrom="paragraph">
                          <wp:posOffset>0</wp:posOffset>
                        </wp:positionV>
                        <wp:extent cx="233045" cy="189865"/>
                        <wp:effectExtent l="0" t="0" r="0" b="635"/>
                        <wp:wrapNone/>
                        <wp:docPr id="17" name="Picture 17" descr="https://www.covalentcpm.com/lowRes/big_green_circle.png"/>
                        <wp:cNvGraphicFramePr/>
                        <a:graphic xmlns:a="http://schemas.openxmlformats.org/drawingml/2006/main">
                          <a:graphicData uri="http://schemas.openxmlformats.org/drawingml/2006/picture">
                            <pic:pic xmlns:pic="http://schemas.openxmlformats.org/drawingml/2006/picture">
                              <pic:nvPicPr>
                                <pic:cNvPr id="28" name="Picture 8" descr="https://www.covalentcpm.com/lowRes/big_green_circle.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32913" cy="189781"/>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7F216E" w:rsidRPr="00F72F91" w:rsidTr="00332E64">
              <w:trPr>
                <w:trHeight w:val="358"/>
              </w:trPr>
              <w:tc>
                <w:tcPr>
                  <w:tcW w:w="2694" w:type="dxa"/>
                  <w:tcBorders>
                    <w:top w:val="nil"/>
                    <w:left w:val="single" w:sz="8" w:space="0" w:color="78786E"/>
                    <w:bottom w:val="single" w:sz="8" w:space="0" w:color="78786E"/>
                    <w:right w:val="single" w:sz="8" w:space="0" w:color="78786E"/>
                  </w:tcBorders>
                  <w:shd w:val="clear" w:color="000000" w:fill="FFFFFF"/>
                  <w:vAlign w:val="bottom"/>
                  <w:hideMark/>
                </w:tcPr>
                <w:p w:rsidR="007F216E" w:rsidRPr="00F72F91" w:rsidRDefault="007F216E" w:rsidP="00332E64">
                  <w:pPr>
                    <w:rPr>
                      <w:rFonts w:ascii="Verdana" w:hAnsi="Verdana" w:cs="Calibri"/>
                      <w:color w:val="000000"/>
                      <w:sz w:val="16"/>
                      <w:szCs w:val="16"/>
                    </w:rPr>
                  </w:pPr>
                  <w:r w:rsidRPr="00F72F91">
                    <w:rPr>
                      <w:rFonts w:ascii="Verdana" w:hAnsi="Verdana" w:cs="Calibri"/>
                      <w:color w:val="000000"/>
                      <w:sz w:val="16"/>
                      <w:szCs w:val="16"/>
                    </w:rPr>
                    <w:t>FFT - AAE Response (NLAG)</w:t>
                  </w:r>
                </w:p>
              </w:tc>
              <w:tc>
                <w:tcPr>
                  <w:tcW w:w="850" w:type="dxa"/>
                  <w:tcBorders>
                    <w:top w:val="nil"/>
                    <w:left w:val="nil"/>
                    <w:bottom w:val="single" w:sz="8" w:space="0" w:color="78786E"/>
                    <w:right w:val="single" w:sz="8" w:space="0" w:color="78786E"/>
                  </w:tcBorders>
                  <w:shd w:val="clear" w:color="000000" w:fill="FFFFFF"/>
                  <w:vAlign w:val="bottom"/>
                  <w:hideMark/>
                </w:tcPr>
                <w:p w:rsidR="007F216E" w:rsidRPr="00F72F91" w:rsidRDefault="007F216E" w:rsidP="00332E64">
                  <w:pPr>
                    <w:jc w:val="center"/>
                    <w:rPr>
                      <w:rFonts w:ascii="Verdana" w:hAnsi="Verdana" w:cs="Calibri"/>
                      <w:color w:val="000000"/>
                      <w:sz w:val="16"/>
                      <w:szCs w:val="16"/>
                    </w:rPr>
                  </w:pPr>
                  <w:r w:rsidRPr="00F72F91">
                    <w:rPr>
                      <w:rFonts w:ascii="Verdana" w:hAnsi="Verdana" w:cs="Calibri"/>
                      <w:color w:val="000000"/>
                      <w:sz w:val="16"/>
                      <w:szCs w:val="16"/>
                    </w:rPr>
                    <w:t>14.8%</w:t>
                  </w:r>
                </w:p>
              </w:tc>
              <w:tc>
                <w:tcPr>
                  <w:tcW w:w="817" w:type="dxa"/>
                  <w:tcBorders>
                    <w:top w:val="nil"/>
                    <w:left w:val="nil"/>
                    <w:bottom w:val="single" w:sz="8" w:space="0" w:color="78786E"/>
                    <w:right w:val="single" w:sz="8" w:space="0" w:color="78786E"/>
                  </w:tcBorders>
                  <w:shd w:val="clear" w:color="000000" w:fill="FFFFFF"/>
                  <w:vAlign w:val="bottom"/>
                  <w:hideMark/>
                </w:tcPr>
                <w:p w:rsidR="007F216E" w:rsidRPr="00F72F91" w:rsidRDefault="007F216E" w:rsidP="00332E64">
                  <w:pPr>
                    <w:jc w:val="center"/>
                    <w:rPr>
                      <w:rFonts w:ascii="Verdana" w:hAnsi="Verdana" w:cs="Calibri"/>
                      <w:color w:val="000000"/>
                      <w:sz w:val="16"/>
                      <w:szCs w:val="16"/>
                    </w:rPr>
                  </w:pPr>
                  <w:r w:rsidRPr="00F72F91">
                    <w:rPr>
                      <w:rFonts w:ascii="Verdana" w:hAnsi="Verdana" w:cs="Calibri"/>
                      <w:color w:val="000000"/>
                      <w:sz w:val="16"/>
                      <w:szCs w:val="16"/>
                    </w:rPr>
                    <w:t>12.9%</w:t>
                  </w:r>
                </w:p>
              </w:tc>
              <w:tc>
                <w:tcPr>
                  <w:tcW w:w="845" w:type="dxa"/>
                  <w:tcBorders>
                    <w:top w:val="nil"/>
                    <w:left w:val="nil"/>
                    <w:bottom w:val="single" w:sz="8" w:space="0" w:color="78786E"/>
                    <w:right w:val="single" w:sz="8" w:space="0" w:color="78786E"/>
                  </w:tcBorders>
                  <w:shd w:val="clear" w:color="000000" w:fill="FFFFFF"/>
                  <w:vAlign w:val="bottom"/>
                  <w:hideMark/>
                </w:tcPr>
                <w:p w:rsidR="007F216E" w:rsidRPr="00F72F91" w:rsidRDefault="007F216E" w:rsidP="00332E64">
                  <w:pPr>
                    <w:jc w:val="center"/>
                    <w:rPr>
                      <w:rFonts w:ascii="Verdana" w:hAnsi="Verdana" w:cs="Calibri"/>
                      <w:color w:val="000000"/>
                      <w:sz w:val="16"/>
                      <w:szCs w:val="16"/>
                    </w:rPr>
                  </w:pPr>
                  <w:r w:rsidRPr="00F72F91">
                    <w:rPr>
                      <w:rFonts w:ascii="Verdana" w:hAnsi="Verdana" w:cs="Calibri"/>
                      <w:noProof/>
                      <w:color w:val="000000"/>
                      <w:sz w:val="16"/>
                      <w:szCs w:val="16"/>
                    </w:rPr>
                    <w:drawing>
                      <wp:anchor distT="0" distB="0" distL="114300" distR="114300" simplePos="0" relativeHeight="251671040" behindDoc="0" locked="0" layoutInCell="1" allowOverlap="1" wp14:anchorId="1D52DCB4" wp14:editId="0EE99D24">
                        <wp:simplePos x="0" y="0"/>
                        <wp:positionH relativeFrom="column">
                          <wp:posOffset>0</wp:posOffset>
                        </wp:positionH>
                        <wp:positionV relativeFrom="paragraph">
                          <wp:posOffset>0</wp:posOffset>
                        </wp:positionV>
                        <wp:extent cx="233045" cy="233045"/>
                        <wp:effectExtent l="0" t="0" r="0" b="0"/>
                        <wp:wrapNone/>
                        <wp:docPr id="18" name="Picture 18" descr="https://www.covalentcpm.com/lowRes/big_red_octagon.png"/>
                        <wp:cNvGraphicFramePr/>
                        <a:graphic xmlns:a="http://schemas.openxmlformats.org/drawingml/2006/main">
                          <a:graphicData uri="http://schemas.openxmlformats.org/drawingml/2006/picture">
                            <pic:pic xmlns:pic="http://schemas.openxmlformats.org/drawingml/2006/picture">
                              <pic:nvPicPr>
                                <pic:cNvPr id="30" name="Picture 13" descr="https://www.covalentcpm.com/lowRes/big_red_octagon.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32913" cy="232913"/>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7F216E" w:rsidRPr="00F72F91" w:rsidTr="00332E64">
              <w:trPr>
                <w:trHeight w:val="358"/>
              </w:trPr>
              <w:tc>
                <w:tcPr>
                  <w:tcW w:w="2694" w:type="dxa"/>
                  <w:tcBorders>
                    <w:top w:val="nil"/>
                    <w:left w:val="single" w:sz="8" w:space="0" w:color="78786E"/>
                    <w:bottom w:val="single" w:sz="8" w:space="0" w:color="78786E"/>
                    <w:right w:val="single" w:sz="8" w:space="0" w:color="78786E"/>
                  </w:tcBorders>
                  <w:shd w:val="clear" w:color="000000" w:fill="FFFFFF"/>
                  <w:vAlign w:val="bottom"/>
                  <w:hideMark/>
                </w:tcPr>
                <w:p w:rsidR="007F216E" w:rsidRPr="00F72F91" w:rsidRDefault="007F216E" w:rsidP="00332E64">
                  <w:pPr>
                    <w:rPr>
                      <w:rFonts w:ascii="Verdana" w:hAnsi="Verdana" w:cs="Calibri"/>
                      <w:color w:val="000000"/>
                      <w:sz w:val="16"/>
                      <w:szCs w:val="16"/>
                    </w:rPr>
                  </w:pPr>
                  <w:r w:rsidRPr="00F72F91">
                    <w:rPr>
                      <w:rFonts w:ascii="Verdana" w:hAnsi="Verdana" w:cs="Calibri"/>
                      <w:color w:val="000000"/>
                      <w:sz w:val="16"/>
                      <w:szCs w:val="16"/>
                    </w:rPr>
                    <w:t>FFT- Inpatient Response (NLAG)</w:t>
                  </w:r>
                </w:p>
              </w:tc>
              <w:tc>
                <w:tcPr>
                  <w:tcW w:w="850" w:type="dxa"/>
                  <w:tcBorders>
                    <w:top w:val="nil"/>
                    <w:left w:val="nil"/>
                    <w:bottom w:val="single" w:sz="8" w:space="0" w:color="78786E"/>
                    <w:right w:val="single" w:sz="8" w:space="0" w:color="78786E"/>
                  </w:tcBorders>
                  <w:shd w:val="clear" w:color="000000" w:fill="FFFFFF"/>
                  <w:vAlign w:val="bottom"/>
                  <w:hideMark/>
                </w:tcPr>
                <w:p w:rsidR="007F216E" w:rsidRPr="00F72F91" w:rsidRDefault="007F216E" w:rsidP="00332E64">
                  <w:pPr>
                    <w:jc w:val="center"/>
                    <w:rPr>
                      <w:rFonts w:ascii="Verdana" w:hAnsi="Verdana" w:cs="Calibri"/>
                      <w:color w:val="000000"/>
                      <w:sz w:val="16"/>
                      <w:szCs w:val="16"/>
                    </w:rPr>
                  </w:pPr>
                  <w:r w:rsidRPr="00F72F91">
                    <w:rPr>
                      <w:rFonts w:ascii="Verdana" w:hAnsi="Verdana" w:cs="Calibri"/>
                      <w:color w:val="000000"/>
                      <w:sz w:val="16"/>
                      <w:szCs w:val="16"/>
                    </w:rPr>
                    <w:t>27.0%</w:t>
                  </w:r>
                </w:p>
              </w:tc>
              <w:tc>
                <w:tcPr>
                  <w:tcW w:w="817" w:type="dxa"/>
                  <w:tcBorders>
                    <w:top w:val="nil"/>
                    <w:left w:val="nil"/>
                    <w:bottom w:val="single" w:sz="8" w:space="0" w:color="78786E"/>
                    <w:right w:val="single" w:sz="8" w:space="0" w:color="78786E"/>
                  </w:tcBorders>
                  <w:shd w:val="clear" w:color="000000" w:fill="FFFFFF"/>
                  <w:vAlign w:val="bottom"/>
                  <w:hideMark/>
                </w:tcPr>
                <w:p w:rsidR="007F216E" w:rsidRPr="00F72F91" w:rsidRDefault="007F216E" w:rsidP="00332E64">
                  <w:pPr>
                    <w:jc w:val="center"/>
                    <w:rPr>
                      <w:rFonts w:ascii="Verdana" w:hAnsi="Verdana" w:cs="Calibri"/>
                      <w:color w:val="000000"/>
                      <w:sz w:val="16"/>
                      <w:szCs w:val="16"/>
                    </w:rPr>
                  </w:pPr>
                  <w:r w:rsidRPr="00F72F91">
                    <w:rPr>
                      <w:rFonts w:ascii="Verdana" w:hAnsi="Verdana" w:cs="Calibri"/>
                      <w:color w:val="000000"/>
                      <w:sz w:val="16"/>
                      <w:szCs w:val="16"/>
                    </w:rPr>
                    <w:t>21.2%</w:t>
                  </w:r>
                </w:p>
              </w:tc>
              <w:tc>
                <w:tcPr>
                  <w:tcW w:w="845" w:type="dxa"/>
                  <w:tcBorders>
                    <w:top w:val="nil"/>
                    <w:left w:val="nil"/>
                    <w:bottom w:val="single" w:sz="8" w:space="0" w:color="78786E"/>
                    <w:right w:val="single" w:sz="8" w:space="0" w:color="78786E"/>
                  </w:tcBorders>
                  <w:shd w:val="clear" w:color="000000" w:fill="FFFFFF"/>
                  <w:vAlign w:val="bottom"/>
                  <w:hideMark/>
                </w:tcPr>
                <w:p w:rsidR="007F216E" w:rsidRPr="00F72F91" w:rsidRDefault="007F216E" w:rsidP="00332E64">
                  <w:pPr>
                    <w:jc w:val="center"/>
                    <w:rPr>
                      <w:rFonts w:ascii="Verdana" w:hAnsi="Verdana" w:cs="Calibri"/>
                      <w:color w:val="000000"/>
                      <w:sz w:val="16"/>
                      <w:szCs w:val="16"/>
                    </w:rPr>
                  </w:pPr>
                  <w:r w:rsidRPr="00F72F91">
                    <w:rPr>
                      <w:rFonts w:ascii="Verdana" w:hAnsi="Verdana" w:cs="Calibri"/>
                      <w:noProof/>
                      <w:color w:val="000000"/>
                      <w:sz w:val="16"/>
                      <w:szCs w:val="16"/>
                    </w:rPr>
                    <w:drawing>
                      <wp:anchor distT="0" distB="0" distL="114300" distR="114300" simplePos="0" relativeHeight="251672064" behindDoc="0" locked="0" layoutInCell="1" allowOverlap="1" wp14:anchorId="333E26F3" wp14:editId="72690CF2">
                        <wp:simplePos x="0" y="0"/>
                        <wp:positionH relativeFrom="column">
                          <wp:posOffset>0</wp:posOffset>
                        </wp:positionH>
                        <wp:positionV relativeFrom="paragraph">
                          <wp:posOffset>0</wp:posOffset>
                        </wp:positionV>
                        <wp:extent cx="233045" cy="233045"/>
                        <wp:effectExtent l="0" t="0" r="0" b="0"/>
                        <wp:wrapNone/>
                        <wp:docPr id="19" name="Picture 19" descr="https://www.covalentcpm.com/lowRes/big_red_octagon.png"/>
                        <wp:cNvGraphicFramePr/>
                        <a:graphic xmlns:a="http://schemas.openxmlformats.org/drawingml/2006/main">
                          <a:graphicData uri="http://schemas.openxmlformats.org/drawingml/2006/picture">
                            <pic:pic xmlns:pic="http://schemas.openxmlformats.org/drawingml/2006/picture">
                              <pic:nvPicPr>
                                <pic:cNvPr id="31" name="Picture 13" descr="https://www.covalentcpm.com/lowRes/big_red_octagon.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32913" cy="232913"/>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7F216E" w:rsidRPr="00F72F91" w:rsidTr="00332E64">
              <w:trPr>
                <w:trHeight w:val="358"/>
              </w:trPr>
              <w:tc>
                <w:tcPr>
                  <w:tcW w:w="2694" w:type="dxa"/>
                  <w:tcBorders>
                    <w:top w:val="nil"/>
                    <w:left w:val="single" w:sz="8" w:space="0" w:color="78786E"/>
                    <w:bottom w:val="single" w:sz="8" w:space="0" w:color="78786E"/>
                    <w:right w:val="single" w:sz="8" w:space="0" w:color="78786E"/>
                  </w:tcBorders>
                  <w:shd w:val="clear" w:color="000000" w:fill="FFFFFF"/>
                  <w:vAlign w:val="bottom"/>
                  <w:hideMark/>
                </w:tcPr>
                <w:p w:rsidR="007F216E" w:rsidRPr="00F72F91" w:rsidRDefault="007F216E" w:rsidP="00332E64">
                  <w:pPr>
                    <w:rPr>
                      <w:rFonts w:ascii="Verdana" w:hAnsi="Verdana" w:cs="Calibri"/>
                      <w:color w:val="000000"/>
                      <w:sz w:val="16"/>
                      <w:szCs w:val="16"/>
                    </w:rPr>
                  </w:pPr>
                  <w:r w:rsidRPr="00F72F91">
                    <w:rPr>
                      <w:rFonts w:ascii="Verdana" w:hAnsi="Verdana" w:cs="Calibri"/>
                      <w:color w:val="000000"/>
                      <w:sz w:val="16"/>
                      <w:szCs w:val="16"/>
                    </w:rPr>
                    <w:t>FFT - Outpatient Response</w:t>
                  </w:r>
                </w:p>
              </w:tc>
              <w:tc>
                <w:tcPr>
                  <w:tcW w:w="850" w:type="dxa"/>
                  <w:tcBorders>
                    <w:top w:val="nil"/>
                    <w:left w:val="nil"/>
                    <w:bottom w:val="single" w:sz="8" w:space="0" w:color="78786E"/>
                    <w:right w:val="single" w:sz="8" w:space="0" w:color="78786E"/>
                  </w:tcBorders>
                  <w:shd w:val="clear" w:color="000000" w:fill="FFFFFF"/>
                  <w:vAlign w:val="bottom"/>
                  <w:hideMark/>
                </w:tcPr>
                <w:p w:rsidR="007F216E" w:rsidRPr="00F72F91" w:rsidRDefault="007F216E" w:rsidP="00332E64">
                  <w:pPr>
                    <w:jc w:val="center"/>
                    <w:rPr>
                      <w:rFonts w:ascii="Verdana" w:hAnsi="Verdana" w:cs="Calibri"/>
                      <w:color w:val="000000"/>
                      <w:sz w:val="16"/>
                      <w:szCs w:val="16"/>
                    </w:rPr>
                  </w:pPr>
                  <w:r w:rsidRPr="00F72F91">
                    <w:rPr>
                      <w:rFonts w:ascii="Verdana" w:hAnsi="Verdana" w:cs="Calibri"/>
                      <w:color w:val="000000"/>
                      <w:sz w:val="16"/>
                      <w:szCs w:val="16"/>
                    </w:rPr>
                    <w:t>5.86%</w:t>
                  </w:r>
                </w:p>
              </w:tc>
              <w:tc>
                <w:tcPr>
                  <w:tcW w:w="817" w:type="dxa"/>
                  <w:tcBorders>
                    <w:top w:val="nil"/>
                    <w:left w:val="nil"/>
                    <w:bottom w:val="single" w:sz="8" w:space="0" w:color="78786E"/>
                    <w:right w:val="single" w:sz="8" w:space="0" w:color="78786E"/>
                  </w:tcBorders>
                  <w:shd w:val="clear" w:color="000000" w:fill="FFFFFF"/>
                  <w:vAlign w:val="bottom"/>
                  <w:hideMark/>
                </w:tcPr>
                <w:p w:rsidR="007F216E" w:rsidRPr="00F72F91" w:rsidRDefault="007F216E" w:rsidP="00332E64">
                  <w:pPr>
                    <w:jc w:val="center"/>
                    <w:rPr>
                      <w:rFonts w:ascii="Verdana" w:hAnsi="Verdana" w:cs="Calibri"/>
                      <w:color w:val="000000"/>
                      <w:sz w:val="16"/>
                      <w:szCs w:val="16"/>
                    </w:rPr>
                  </w:pPr>
                  <w:r w:rsidRPr="00F72F91">
                    <w:rPr>
                      <w:rFonts w:ascii="Verdana" w:hAnsi="Verdana" w:cs="Calibri"/>
                      <w:color w:val="000000"/>
                      <w:sz w:val="16"/>
                      <w:szCs w:val="16"/>
                    </w:rPr>
                    <w:t>0.69%</w:t>
                  </w:r>
                </w:p>
              </w:tc>
              <w:tc>
                <w:tcPr>
                  <w:tcW w:w="845" w:type="dxa"/>
                  <w:tcBorders>
                    <w:top w:val="nil"/>
                    <w:left w:val="nil"/>
                    <w:bottom w:val="single" w:sz="8" w:space="0" w:color="78786E"/>
                    <w:right w:val="single" w:sz="8" w:space="0" w:color="78786E"/>
                  </w:tcBorders>
                  <w:shd w:val="clear" w:color="000000" w:fill="FFFFFF"/>
                  <w:vAlign w:val="bottom"/>
                  <w:hideMark/>
                </w:tcPr>
                <w:p w:rsidR="007F216E" w:rsidRPr="00F72F91" w:rsidRDefault="007F216E" w:rsidP="00332E64">
                  <w:pPr>
                    <w:jc w:val="center"/>
                    <w:rPr>
                      <w:rFonts w:ascii="Verdana" w:hAnsi="Verdana" w:cs="Calibri"/>
                      <w:color w:val="000000"/>
                      <w:sz w:val="16"/>
                      <w:szCs w:val="16"/>
                    </w:rPr>
                  </w:pPr>
                  <w:r w:rsidRPr="00F72F91">
                    <w:rPr>
                      <w:rFonts w:ascii="Verdana" w:hAnsi="Verdana" w:cs="Calibri"/>
                      <w:noProof/>
                      <w:color w:val="000000"/>
                      <w:sz w:val="16"/>
                      <w:szCs w:val="16"/>
                    </w:rPr>
                    <w:drawing>
                      <wp:anchor distT="0" distB="0" distL="114300" distR="114300" simplePos="0" relativeHeight="251673088" behindDoc="0" locked="0" layoutInCell="1" allowOverlap="1" wp14:anchorId="4322837E" wp14:editId="1E1B620D">
                        <wp:simplePos x="0" y="0"/>
                        <wp:positionH relativeFrom="column">
                          <wp:posOffset>0</wp:posOffset>
                        </wp:positionH>
                        <wp:positionV relativeFrom="paragraph">
                          <wp:posOffset>0</wp:posOffset>
                        </wp:positionV>
                        <wp:extent cx="233045" cy="233045"/>
                        <wp:effectExtent l="0" t="0" r="0" b="0"/>
                        <wp:wrapNone/>
                        <wp:docPr id="20" name="Picture 20" descr="https://www.covalentcpm.com/lowRes/big_red_octagon.png"/>
                        <wp:cNvGraphicFramePr/>
                        <a:graphic xmlns:a="http://schemas.openxmlformats.org/drawingml/2006/main">
                          <a:graphicData uri="http://schemas.openxmlformats.org/drawingml/2006/picture">
                            <pic:pic xmlns:pic="http://schemas.openxmlformats.org/drawingml/2006/picture">
                              <pic:nvPicPr>
                                <pic:cNvPr id="34" name="Picture 13" descr="https://www.covalentcpm.com/lowRes/big_red_octagon.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32913" cy="232913"/>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7F216E" w:rsidRPr="00F72F91" w:rsidTr="00332E64">
              <w:trPr>
                <w:trHeight w:val="358"/>
              </w:trPr>
              <w:tc>
                <w:tcPr>
                  <w:tcW w:w="2694" w:type="dxa"/>
                  <w:tcBorders>
                    <w:top w:val="nil"/>
                    <w:left w:val="single" w:sz="8" w:space="0" w:color="78786E"/>
                    <w:bottom w:val="single" w:sz="8" w:space="0" w:color="78786E"/>
                    <w:right w:val="single" w:sz="8" w:space="0" w:color="78786E"/>
                  </w:tcBorders>
                  <w:shd w:val="clear" w:color="000000" w:fill="FFFFFF"/>
                  <w:vAlign w:val="bottom"/>
                  <w:hideMark/>
                </w:tcPr>
                <w:p w:rsidR="007F216E" w:rsidRPr="00F72F91" w:rsidRDefault="007F216E" w:rsidP="00332E64">
                  <w:pPr>
                    <w:rPr>
                      <w:rFonts w:ascii="Verdana" w:hAnsi="Verdana" w:cs="Calibri"/>
                      <w:color w:val="000000"/>
                      <w:sz w:val="16"/>
                      <w:szCs w:val="16"/>
                    </w:rPr>
                  </w:pPr>
                  <w:r w:rsidRPr="00F72F91">
                    <w:rPr>
                      <w:rFonts w:ascii="Verdana" w:hAnsi="Verdana" w:cs="Calibri"/>
                      <w:color w:val="000000"/>
                      <w:sz w:val="16"/>
                      <w:szCs w:val="16"/>
                    </w:rPr>
                    <w:t>FFT - Community Response (CPG)</w:t>
                  </w:r>
                </w:p>
              </w:tc>
              <w:tc>
                <w:tcPr>
                  <w:tcW w:w="850" w:type="dxa"/>
                  <w:tcBorders>
                    <w:top w:val="nil"/>
                    <w:left w:val="nil"/>
                    <w:bottom w:val="single" w:sz="8" w:space="0" w:color="78786E"/>
                    <w:right w:val="single" w:sz="8" w:space="0" w:color="78786E"/>
                  </w:tcBorders>
                  <w:shd w:val="clear" w:color="000000" w:fill="FFFFFF"/>
                  <w:vAlign w:val="bottom"/>
                  <w:hideMark/>
                </w:tcPr>
                <w:p w:rsidR="007F216E" w:rsidRPr="00F72F91" w:rsidRDefault="007F216E" w:rsidP="00332E64">
                  <w:pPr>
                    <w:jc w:val="center"/>
                    <w:rPr>
                      <w:rFonts w:ascii="Verdana" w:hAnsi="Verdana" w:cs="Calibri"/>
                      <w:color w:val="000000"/>
                      <w:sz w:val="16"/>
                      <w:szCs w:val="16"/>
                    </w:rPr>
                  </w:pPr>
                  <w:r w:rsidRPr="00F72F91">
                    <w:rPr>
                      <w:rFonts w:ascii="Verdana" w:hAnsi="Verdana" w:cs="Calibri"/>
                      <w:color w:val="000000"/>
                      <w:sz w:val="16"/>
                      <w:szCs w:val="16"/>
                    </w:rPr>
                    <w:t>3.55%</w:t>
                  </w:r>
                </w:p>
              </w:tc>
              <w:tc>
                <w:tcPr>
                  <w:tcW w:w="817" w:type="dxa"/>
                  <w:tcBorders>
                    <w:top w:val="nil"/>
                    <w:left w:val="nil"/>
                    <w:bottom w:val="single" w:sz="8" w:space="0" w:color="78786E"/>
                    <w:right w:val="single" w:sz="8" w:space="0" w:color="78786E"/>
                  </w:tcBorders>
                  <w:shd w:val="clear" w:color="000000" w:fill="FFFFFF"/>
                  <w:vAlign w:val="bottom"/>
                  <w:hideMark/>
                </w:tcPr>
                <w:p w:rsidR="007F216E" w:rsidRPr="00F72F91" w:rsidRDefault="007F216E" w:rsidP="00332E64">
                  <w:pPr>
                    <w:jc w:val="center"/>
                    <w:rPr>
                      <w:rFonts w:ascii="Verdana" w:hAnsi="Verdana" w:cs="Calibri"/>
                      <w:color w:val="000000"/>
                      <w:sz w:val="16"/>
                      <w:szCs w:val="16"/>
                    </w:rPr>
                  </w:pPr>
                  <w:r w:rsidRPr="00F72F91">
                    <w:rPr>
                      <w:rFonts w:ascii="Verdana" w:hAnsi="Verdana" w:cs="Calibri"/>
                      <w:color w:val="000000"/>
                      <w:sz w:val="16"/>
                      <w:szCs w:val="16"/>
                    </w:rPr>
                    <w:t>1.36%</w:t>
                  </w:r>
                </w:p>
              </w:tc>
              <w:tc>
                <w:tcPr>
                  <w:tcW w:w="845" w:type="dxa"/>
                  <w:tcBorders>
                    <w:top w:val="nil"/>
                    <w:left w:val="nil"/>
                    <w:bottom w:val="single" w:sz="8" w:space="0" w:color="78786E"/>
                    <w:right w:val="single" w:sz="8" w:space="0" w:color="78786E"/>
                  </w:tcBorders>
                  <w:shd w:val="clear" w:color="000000" w:fill="FFFFFF"/>
                  <w:vAlign w:val="bottom"/>
                  <w:hideMark/>
                </w:tcPr>
                <w:p w:rsidR="007F216E" w:rsidRPr="00F72F91" w:rsidRDefault="007F216E" w:rsidP="00332E64">
                  <w:pPr>
                    <w:jc w:val="center"/>
                    <w:rPr>
                      <w:rFonts w:ascii="Verdana" w:hAnsi="Verdana" w:cs="Calibri"/>
                      <w:color w:val="000000"/>
                      <w:sz w:val="16"/>
                      <w:szCs w:val="16"/>
                    </w:rPr>
                  </w:pPr>
                  <w:r w:rsidRPr="00F72F91">
                    <w:rPr>
                      <w:rFonts w:ascii="Verdana" w:hAnsi="Verdana" w:cs="Calibri"/>
                      <w:noProof/>
                      <w:color w:val="000000"/>
                      <w:sz w:val="16"/>
                      <w:szCs w:val="16"/>
                    </w:rPr>
                    <w:drawing>
                      <wp:anchor distT="0" distB="0" distL="114300" distR="114300" simplePos="0" relativeHeight="251675136" behindDoc="0" locked="0" layoutInCell="1" allowOverlap="1" wp14:anchorId="1B8D4812" wp14:editId="1612889F">
                        <wp:simplePos x="0" y="0"/>
                        <wp:positionH relativeFrom="column">
                          <wp:posOffset>0</wp:posOffset>
                        </wp:positionH>
                        <wp:positionV relativeFrom="paragraph">
                          <wp:posOffset>0</wp:posOffset>
                        </wp:positionV>
                        <wp:extent cx="233045" cy="233045"/>
                        <wp:effectExtent l="0" t="0" r="0" b="0"/>
                        <wp:wrapNone/>
                        <wp:docPr id="21" name="Picture 21" descr="https://www.covalentcpm.com/lowRes/big_red_octagon.png"/>
                        <wp:cNvGraphicFramePr/>
                        <a:graphic xmlns:a="http://schemas.openxmlformats.org/drawingml/2006/main">
                          <a:graphicData uri="http://schemas.openxmlformats.org/drawingml/2006/picture">
                            <pic:pic xmlns:pic="http://schemas.openxmlformats.org/drawingml/2006/picture">
                              <pic:nvPicPr>
                                <pic:cNvPr id="38" name="Picture 13" descr="https://www.covalentcpm.com/lowRes/big_red_octagon.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32913" cy="232913"/>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7F216E" w:rsidRPr="00F72F91" w:rsidTr="00332E64">
              <w:trPr>
                <w:trHeight w:val="358"/>
              </w:trPr>
              <w:tc>
                <w:tcPr>
                  <w:tcW w:w="2694" w:type="dxa"/>
                  <w:tcBorders>
                    <w:top w:val="nil"/>
                    <w:left w:val="single" w:sz="8" w:space="0" w:color="78786E"/>
                    <w:bottom w:val="single" w:sz="8" w:space="0" w:color="78786E"/>
                    <w:right w:val="single" w:sz="8" w:space="0" w:color="78786E"/>
                  </w:tcBorders>
                  <w:shd w:val="clear" w:color="000000" w:fill="FFFFFF"/>
                  <w:vAlign w:val="bottom"/>
                  <w:hideMark/>
                </w:tcPr>
                <w:p w:rsidR="007F216E" w:rsidRPr="00F72F91" w:rsidRDefault="007F216E" w:rsidP="00332E64">
                  <w:pPr>
                    <w:rPr>
                      <w:rFonts w:ascii="Verdana" w:hAnsi="Verdana" w:cs="Calibri"/>
                      <w:color w:val="000000"/>
                      <w:sz w:val="16"/>
                      <w:szCs w:val="16"/>
                    </w:rPr>
                  </w:pPr>
                  <w:r w:rsidRPr="00F72F91">
                    <w:rPr>
                      <w:rFonts w:ascii="Verdana" w:hAnsi="Verdana" w:cs="Calibri"/>
                      <w:color w:val="000000"/>
                      <w:sz w:val="16"/>
                      <w:szCs w:val="16"/>
                    </w:rPr>
                    <w:t>FFT - MH Response (NAVIGO)</w:t>
                  </w:r>
                </w:p>
              </w:tc>
              <w:tc>
                <w:tcPr>
                  <w:tcW w:w="850" w:type="dxa"/>
                  <w:tcBorders>
                    <w:top w:val="nil"/>
                    <w:left w:val="nil"/>
                    <w:bottom w:val="single" w:sz="8" w:space="0" w:color="78786E"/>
                    <w:right w:val="single" w:sz="8" w:space="0" w:color="78786E"/>
                  </w:tcBorders>
                  <w:shd w:val="clear" w:color="000000" w:fill="FFFFFF"/>
                  <w:vAlign w:val="bottom"/>
                  <w:hideMark/>
                </w:tcPr>
                <w:p w:rsidR="007F216E" w:rsidRPr="00F72F91" w:rsidRDefault="007F216E" w:rsidP="00332E64">
                  <w:pPr>
                    <w:jc w:val="center"/>
                    <w:rPr>
                      <w:rFonts w:ascii="Verdana" w:hAnsi="Verdana" w:cs="Calibri"/>
                      <w:color w:val="000000"/>
                      <w:sz w:val="16"/>
                      <w:szCs w:val="16"/>
                    </w:rPr>
                  </w:pPr>
                  <w:r w:rsidRPr="00F72F91">
                    <w:rPr>
                      <w:rFonts w:ascii="Verdana" w:hAnsi="Verdana" w:cs="Calibri"/>
                      <w:color w:val="000000"/>
                      <w:sz w:val="16"/>
                      <w:szCs w:val="16"/>
                    </w:rPr>
                    <w:t>2.41%</w:t>
                  </w:r>
                </w:p>
              </w:tc>
              <w:tc>
                <w:tcPr>
                  <w:tcW w:w="817" w:type="dxa"/>
                  <w:tcBorders>
                    <w:top w:val="nil"/>
                    <w:left w:val="nil"/>
                    <w:bottom w:val="single" w:sz="8" w:space="0" w:color="78786E"/>
                    <w:right w:val="single" w:sz="8" w:space="0" w:color="78786E"/>
                  </w:tcBorders>
                  <w:shd w:val="clear" w:color="000000" w:fill="FFFFFF"/>
                  <w:vAlign w:val="bottom"/>
                  <w:hideMark/>
                </w:tcPr>
                <w:p w:rsidR="007F216E" w:rsidRPr="00F72F91" w:rsidRDefault="007F216E" w:rsidP="00332E64">
                  <w:pPr>
                    <w:jc w:val="center"/>
                    <w:rPr>
                      <w:rFonts w:ascii="Verdana" w:hAnsi="Verdana" w:cs="Calibri"/>
                      <w:color w:val="000000"/>
                      <w:sz w:val="16"/>
                      <w:szCs w:val="16"/>
                    </w:rPr>
                  </w:pPr>
                  <w:r w:rsidRPr="00F72F91">
                    <w:rPr>
                      <w:rFonts w:ascii="Verdana" w:hAnsi="Verdana" w:cs="Calibri"/>
                      <w:color w:val="000000"/>
                      <w:sz w:val="16"/>
                      <w:szCs w:val="16"/>
                    </w:rPr>
                    <w:t>13.5%</w:t>
                  </w:r>
                </w:p>
              </w:tc>
              <w:tc>
                <w:tcPr>
                  <w:tcW w:w="845" w:type="dxa"/>
                  <w:tcBorders>
                    <w:top w:val="nil"/>
                    <w:left w:val="nil"/>
                    <w:bottom w:val="single" w:sz="8" w:space="0" w:color="78786E"/>
                    <w:right w:val="single" w:sz="8" w:space="0" w:color="78786E"/>
                  </w:tcBorders>
                  <w:shd w:val="clear" w:color="000000" w:fill="FFFFFF"/>
                  <w:vAlign w:val="bottom"/>
                  <w:hideMark/>
                </w:tcPr>
                <w:p w:rsidR="007F216E" w:rsidRPr="00F72F91" w:rsidRDefault="007F216E" w:rsidP="00332E64">
                  <w:pPr>
                    <w:jc w:val="center"/>
                    <w:rPr>
                      <w:rFonts w:ascii="Verdana" w:hAnsi="Verdana" w:cs="Calibri"/>
                      <w:color w:val="000000"/>
                      <w:sz w:val="16"/>
                      <w:szCs w:val="16"/>
                    </w:rPr>
                  </w:pPr>
                  <w:r w:rsidRPr="00F72F91">
                    <w:rPr>
                      <w:rFonts w:ascii="Verdana" w:hAnsi="Verdana" w:cs="Calibri"/>
                      <w:noProof/>
                      <w:color w:val="000000"/>
                      <w:sz w:val="16"/>
                      <w:szCs w:val="16"/>
                    </w:rPr>
                    <w:drawing>
                      <wp:anchor distT="0" distB="0" distL="114300" distR="114300" simplePos="0" relativeHeight="251674112" behindDoc="0" locked="0" layoutInCell="1" allowOverlap="1" wp14:anchorId="60100A6F" wp14:editId="626D39E3">
                        <wp:simplePos x="0" y="0"/>
                        <wp:positionH relativeFrom="column">
                          <wp:posOffset>0</wp:posOffset>
                        </wp:positionH>
                        <wp:positionV relativeFrom="paragraph">
                          <wp:posOffset>0</wp:posOffset>
                        </wp:positionV>
                        <wp:extent cx="233045" cy="189865"/>
                        <wp:effectExtent l="0" t="0" r="0" b="635"/>
                        <wp:wrapNone/>
                        <wp:docPr id="22" name="Picture 22" descr="https://www.covalentcpm.com/lowRes/big_green_circle.png"/>
                        <wp:cNvGraphicFramePr/>
                        <a:graphic xmlns:a="http://schemas.openxmlformats.org/drawingml/2006/main">
                          <a:graphicData uri="http://schemas.openxmlformats.org/drawingml/2006/picture">
                            <pic:pic xmlns:pic="http://schemas.openxmlformats.org/drawingml/2006/picture">
                              <pic:nvPicPr>
                                <pic:cNvPr id="37" name="Picture 8" descr="https://www.covalentcpm.com/lowRes/big_green_circle.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32913" cy="189781"/>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7F216E" w:rsidRPr="00F72F91" w:rsidTr="00F72F91">
              <w:trPr>
                <w:trHeight w:val="243"/>
              </w:trPr>
              <w:tc>
                <w:tcPr>
                  <w:tcW w:w="2694" w:type="dxa"/>
                  <w:tcBorders>
                    <w:top w:val="nil"/>
                    <w:left w:val="single" w:sz="8" w:space="0" w:color="78786E"/>
                    <w:bottom w:val="nil"/>
                    <w:right w:val="single" w:sz="8" w:space="0" w:color="78786E"/>
                  </w:tcBorders>
                  <w:shd w:val="clear" w:color="000000" w:fill="FFFFFF"/>
                  <w:vAlign w:val="bottom"/>
                  <w:hideMark/>
                </w:tcPr>
                <w:p w:rsidR="007F216E" w:rsidRPr="00F72F91" w:rsidRDefault="007F216E" w:rsidP="00332E64">
                  <w:pPr>
                    <w:rPr>
                      <w:rFonts w:ascii="Verdana" w:hAnsi="Verdana" w:cs="Calibri"/>
                      <w:color w:val="000000"/>
                      <w:sz w:val="16"/>
                      <w:szCs w:val="16"/>
                    </w:rPr>
                  </w:pPr>
                  <w:r w:rsidRPr="00F72F91">
                    <w:rPr>
                      <w:rFonts w:ascii="Verdana" w:hAnsi="Verdana" w:cs="Calibri"/>
                      <w:color w:val="000000"/>
                      <w:sz w:val="16"/>
                      <w:szCs w:val="16"/>
                    </w:rPr>
                    <w:t>FFT - Maternity Response (NLAG) Birth</w:t>
                  </w:r>
                </w:p>
              </w:tc>
              <w:tc>
                <w:tcPr>
                  <w:tcW w:w="850" w:type="dxa"/>
                  <w:tcBorders>
                    <w:top w:val="nil"/>
                    <w:left w:val="nil"/>
                    <w:bottom w:val="nil"/>
                    <w:right w:val="single" w:sz="8" w:space="0" w:color="78786E"/>
                  </w:tcBorders>
                  <w:shd w:val="clear" w:color="000000" w:fill="FFFFFF"/>
                  <w:vAlign w:val="bottom"/>
                  <w:hideMark/>
                </w:tcPr>
                <w:p w:rsidR="007F216E" w:rsidRPr="00F72F91" w:rsidRDefault="007F216E" w:rsidP="00332E64">
                  <w:pPr>
                    <w:jc w:val="center"/>
                    <w:rPr>
                      <w:rFonts w:ascii="Verdana" w:hAnsi="Verdana" w:cs="Calibri"/>
                      <w:color w:val="000000"/>
                      <w:sz w:val="16"/>
                      <w:szCs w:val="16"/>
                    </w:rPr>
                  </w:pPr>
                  <w:r w:rsidRPr="00F72F91">
                    <w:rPr>
                      <w:rFonts w:ascii="Verdana" w:hAnsi="Verdana" w:cs="Calibri"/>
                      <w:color w:val="000000"/>
                      <w:sz w:val="16"/>
                      <w:szCs w:val="16"/>
                    </w:rPr>
                    <w:t>22.7%</w:t>
                  </w:r>
                </w:p>
              </w:tc>
              <w:tc>
                <w:tcPr>
                  <w:tcW w:w="817" w:type="dxa"/>
                  <w:tcBorders>
                    <w:top w:val="nil"/>
                    <w:left w:val="nil"/>
                    <w:bottom w:val="nil"/>
                    <w:right w:val="single" w:sz="8" w:space="0" w:color="78786E"/>
                  </w:tcBorders>
                  <w:shd w:val="clear" w:color="000000" w:fill="FFFFFF"/>
                  <w:vAlign w:val="bottom"/>
                  <w:hideMark/>
                </w:tcPr>
                <w:p w:rsidR="007F216E" w:rsidRPr="00F72F91" w:rsidRDefault="007F216E" w:rsidP="00332E64">
                  <w:pPr>
                    <w:jc w:val="center"/>
                    <w:rPr>
                      <w:rFonts w:ascii="Verdana" w:hAnsi="Verdana" w:cs="Calibri"/>
                      <w:color w:val="000000"/>
                      <w:sz w:val="16"/>
                      <w:szCs w:val="16"/>
                    </w:rPr>
                  </w:pPr>
                  <w:r w:rsidRPr="00F72F91">
                    <w:rPr>
                      <w:rFonts w:ascii="Verdana" w:hAnsi="Verdana" w:cs="Calibri"/>
                      <w:color w:val="000000"/>
                      <w:sz w:val="16"/>
                      <w:szCs w:val="16"/>
                    </w:rPr>
                    <w:t>11.1%</w:t>
                  </w:r>
                </w:p>
              </w:tc>
              <w:tc>
                <w:tcPr>
                  <w:tcW w:w="845" w:type="dxa"/>
                  <w:tcBorders>
                    <w:top w:val="nil"/>
                    <w:left w:val="nil"/>
                    <w:bottom w:val="nil"/>
                    <w:right w:val="single" w:sz="8" w:space="0" w:color="78786E"/>
                  </w:tcBorders>
                  <w:shd w:val="clear" w:color="000000" w:fill="FFFFFF"/>
                  <w:vAlign w:val="bottom"/>
                  <w:hideMark/>
                </w:tcPr>
                <w:p w:rsidR="007F216E" w:rsidRPr="00F72F91" w:rsidRDefault="007F216E" w:rsidP="00332E64">
                  <w:pPr>
                    <w:jc w:val="center"/>
                    <w:rPr>
                      <w:rFonts w:ascii="Verdana" w:hAnsi="Verdana" w:cs="Calibri"/>
                      <w:color w:val="000000"/>
                      <w:sz w:val="16"/>
                      <w:szCs w:val="16"/>
                    </w:rPr>
                  </w:pPr>
                  <w:r w:rsidRPr="00F72F91">
                    <w:rPr>
                      <w:rFonts w:ascii="Verdana" w:hAnsi="Verdana" w:cs="Calibri"/>
                      <w:noProof/>
                      <w:color w:val="000000"/>
                      <w:sz w:val="16"/>
                      <w:szCs w:val="16"/>
                    </w:rPr>
                    <w:drawing>
                      <wp:anchor distT="0" distB="0" distL="114300" distR="114300" simplePos="0" relativeHeight="251676160" behindDoc="0" locked="0" layoutInCell="1" allowOverlap="1" wp14:anchorId="77F7DC61" wp14:editId="7ACE6DF2">
                        <wp:simplePos x="0" y="0"/>
                        <wp:positionH relativeFrom="column">
                          <wp:posOffset>0</wp:posOffset>
                        </wp:positionH>
                        <wp:positionV relativeFrom="paragraph">
                          <wp:posOffset>0</wp:posOffset>
                        </wp:positionV>
                        <wp:extent cx="233045" cy="233045"/>
                        <wp:effectExtent l="0" t="0" r="0" b="0"/>
                        <wp:wrapNone/>
                        <wp:docPr id="23" name="Picture 23" descr="https://www.covalentcpm.com/lowRes/big_red_octagon.png"/>
                        <wp:cNvGraphicFramePr/>
                        <a:graphic xmlns:a="http://schemas.openxmlformats.org/drawingml/2006/main">
                          <a:graphicData uri="http://schemas.openxmlformats.org/drawingml/2006/picture">
                            <pic:pic xmlns:pic="http://schemas.openxmlformats.org/drawingml/2006/picture">
                              <pic:nvPicPr>
                                <pic:cNvPr id="40" name="Picture 13" descr="https://www.covalentcpm.com/lowRes/big_red_octagon.pn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32913" cy="232913"/>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F72F91" w:rsidRPr="00F72F91" w:rsidTr="00332E64">
              <w:trPr>
                <w:trHeight w:val="243"/>
              </w:trPr>
              <w:tc>
                <w:tcPr>
                  <w:tcW w:w="2694" w:type="dxa"/>
                  <w:tcBorders>
                    <w:top w:val="nil"/>
                    <w:left w:val="single" w:sz="8" w:space="0" w:color="78786E"/>
                    <w:bottom w:val="single" w:sz="8" w:space="0" w:color="78786E"/>
                    <w:right w:val="single" w:sz="8" w:space="0" w:color="78786E"/>
                  </w:tcBorders>
                  <w:shd w:val="clear" w:color="000000" w:fill="FFFFFF"/>
                  <w:vAlign w:val="bottom"/>
                </w:tcPr>
                <w:p w:rsidR="00F72F91" w:rsidRPr="00F72F91" w:rsidRDefault="00F72F91" w:rsidP="00332E64">
                  <w:pPr>
                    <w:rPr>
                      <w:rFonts w:ascii="Verdana" w:hAnsi="Verdana" w:cs="Calibri"/>
                      <w:color w:val="000000"/>
                      <w:sz w:val="16"/>
                      <w:szCs w:val="16"/>
                    </w:rPr>
                  </w:pPr>
                </w:p>
              </w:tc>
              <w:tc>
                <w:tcPr>
                  <w:tcW w:w="850" w:type="dxa"/>
                  <w:tcBorders>
                    <w:top w:val="nil"/>
                    <w:left w:val="nil"/>
                    <w:bottom w:val="single" w:sz="8" w:space="0" w:color="78786E"/>
                    <w:right w:val="single" w:sz="8" w:space="0" w:color="78786E"/>
                  </w:tcBorders>
                  <w:shd w:val="clear" w:color="000000" w:fill="FFFFFF"/>
                  <w:vAlign w:val="bottom"/>
                </w:tcPr>
                <w:p w:rsidR="00F72F91" w:rsidRPr="00F72F91" w:rsidRDefault="00F72F91" w:rsidP="00332E64">
                  <w:pPr>
                    <w:jc w:val="center"/>
                    <w:rPr>
                      <w:rFonts w:ascii="Verdana" w:hAnsi="Verdana" w:cs="Calibri"/>
                      <w:color w:val="000000"/>
                      <w:sz w:val="16"/>
                      <w:szCs w:val="16"/>
                    </w:rPr>
                  </w:pPr>
                </w:p>
              </w:tc>
              <w:tc>
                <w:tcPr>
                  <w:tcW w:w="817" w:type="dxa"/>
                  <w:tcBorders>
                    <w:top w:val="nil"/>
                    <w:left w:val="nil"/>
                    <w:bottom w:val="single" w:sz="8" w:space="0" w:color="78786E"/>
                    <w:right w:val="single" w:sz="8" w:space="0" w:color="78786E"/>
                  </w:tcBorders>
                  <w:shd w:val="clear" w:color="000000" w:fill="FFFFFF"/>
                  <w:vAlign w:val="bottom"/>
                </w:tcPr>
                <w:p w:rsidR="00F72F91" w:rsidRPr="00F72F91" w:rsidRDefault="00F72F91" w:rsidP="00332E64">
                  <w:pPr>
                    <w:jc w:val="center"/>
                    <w:rPr>
                      <w:rFonts w:ascii="Verdana" w:hAnsi="Verdana" w:cs="Calibri"/>
                      <w:color w:val="000000"/>
                      <w:sz w:val="16"/>
                      <w:szCs w:val="16"/>
                    </w:rPr>
                  </w:pPr>
                </w:p>
              </w:tc>
              <w:tc>
                <w:tcPr>
                  <w:tcW w:w="845" w:type="dxa"/>
                  <w:tcBorders>
                    <w:top w:val="nil"/>
                    <w:left w:val="nil"/>
                    <w:bottom w:val="single" w:sz="8" w:space="0" w:color="78786E"/>
                    <w:right w:val="single" w:sz="8" w:space="0" w:color="78786E"/>
                  </w:tcBorders>
                  <w:shd w:val="clear" w:color="000000" w:fill="FFFFFF"/>
                  <w:vAlign w:val="bottom"/>
                </w:tcPr>
                <w:p w:rsidR="00F72F91" w:rsidRPr="00F72F91" w:rsidRDefault="00F72F91" w:rsidP="00332E64">
                  <w:pPr>
                    <w:jc w:val="center"/>
                    <w:rPr>
                      <w:rFonts w:ascii="Verdana" w:hAnsi="Verdana" w:cs="Calibri"/>
                      <w:noProof/>
                      <w:color w:val="000000"/>
                      <w:sz w:val="16"/>
                      <w:szCs w:val="16"/>
                    </w:rPr>
                  </w:pPr>
                </w:p>
              </w:tc>
            </w:tr>
          </w:tbl>
          <w:p w:rsidR="007F216E" w:rsidRPr="00F72F91" w:rsidRDefault="007F216E" w:rsidP="007F216E">
            <w:pPr>
              <w:rPr>
                <w:rFonts w:ascii="Arial" w:eastAsia="Verdana" w:hAnsi="Arial" w:cs="Arial"/>
                <w:b/>
                <w:i/>
                <w:color w:val="000000"/>
                <w:sz w:val="20"/>
                <w:szCs w:val="20"/>
              </w:rPr>
            </w:pPr>
            <w:r w:rsidRPr="00F72F91">
              <w:rPr>
                <w:rFonts w:ascii="Arial" w:eastAsia="Verdana" w:hAnsi="Arial" w:cs="Arial"/>
                <w:b/>
                <w:i/>
                <w:color w:val="000000"/>
                <w:sz w:val="20"/>
                <w:szCs w:val="20"/>
              </w:rPr>
              <w:t>‘Response rates’</w:t>
            </w:r>
          </w:p>
          <w:p w:rsidR="007F216E" w:rsidRDefault="007F216E" w:rsidP="007F216E">
            <w:pPr>
              <w:rPr>
                <w:rFonts w:ascii="Arial" w:eastAsia="Verdana" w:hAnsi="Arial" w:cs="Arial"/>
                <w:color w:val="000000"/>
                <w:sz w:val="20"/>
                <w:szCs w:val="20"/>
              </w:rPr>
            </w:pPr>
            <w:r w:rsidRPr="00F72F91">
              <w:rPr>
                <w:rFonts w:ascii="Arial" w:eastAsia="Verdana" w:hAnsi="Arial" w:cs="Arial"/>
                <w:color w:val="000000"/>
                <w:sz w:val="20"/>
                <w:szCs w:val="20"/>
              </w:rPr>
              <w:t>In respect of response rate currently year to date we are below target for A&amp;E, Inpatient, Outpatient, Community and Maternity (Birth) when looking at how others are performing nationally.</w:t>
            </w:r>
          </w:p>
          <w:p w:rsidR="00180438" w:rsidRPr="00180438" w:rsidRDefault="00180438" w:rsidP="00180438">
            <w:pPr>
              <w:spacing w:after="200" w:line="276" w:lineRule="auto"/>
              <w:rPr>
                <w:rFonts w:asciiTheme="minorHAnsi" w:eastAsiaTheme="minorHAnsi" w:hAnsiTheme="minorHAnsi" w:cs="Arial"/>
                <w:sz w:val="22"/>
                <w:szCs w:val="22"/>
                <w:lang w:eastAsia="en-US"/>
              </w:rPr>
            </w:pPr>
          </w:p>
        </w:tc>
      </w:tr>
    </w:tbl>
    <w:p w:rsidR="00A03A97" w:rsidRPr="009D14DD" w:rsidRDefault="00A03A97" w:rsidP="00DD689C">
      <w:pPr>
        <w:rPr>
          <w:rFonts w:ascii="Arial" w:hAnsi="Arial" w:cs="Arial"/>
          <w:b/>
          <w:sz w:val="22"/>
          <w:szCs w:val="22"/>
        </w:rPr>
      </w:pPr>
    </w:p>
    <w:tbl>
      <w:tblPr>
        <w:tblW w:w="10314"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9373"/>
        <w:gridCol w:w="283"/>
      </w:tblGrid>
      <w:tr w:rsidR="006A2E19" w:rsidRPr="00752FD6" w:rsidTr="006F6120">
        <w:trPr>
          <w:gridAfter w:val="1"/>
          <w:wAfter w:w="283" w:type="dxa"/>
          <w:trHeight w:val="567"/>
        </w:trPr>
        <w:tc>
          <w:tcPr>
            <w:tcW w:w="10031" w:type="dxa"/>
            <w:gridSpan w:val="2"/>
            <w:shd w:val="clear" w:color="auto" w:fill="auto"/>
          </w:tcPr>
          <w:p w:rsidR="006A2E19" w:rsidRPr="00752FD6" w:rsidRDefault="006A2E19" w:rsidP="009306C6">
            <w:pPr>
              <w:rPr>
                <w:rFonts w:ascii="Arial" w:hAnsi="Arial" w:cs="Arial"/>
                <w:b/>
                <w:bCs/>
                <w:sz w:val="22"/>
                <w:szCs w:val="22"/>
              </w:rPr>
            </w:pPr>
          </w:p>
          <w:p w:rsidR="006A2E19" w:rsidRPr="00752FD6" w:rsidRDefault="006A2E19" w:rsidP="006A74AF">
            <w:pPr>
              <w:rPr>
                <w:rFonts w:ascii="Arial" w:hAnsi="Arial" w:cs="Arial"/>
                <w:b/>
                <w:bCs/>
                <w:sz w:val="22"/>
                <w:szCs w:val="22"/>
              </w:rPr>
            </w:pPr>
            <w:r w:rsidRPr="00752FD6">
              <w:rPr>
                <w:rFonts w:ascii="Arial" w:hAnsi="Arial" w:cs="Arial"/>
                <w:b/>
                <w:bCs/>
                <w:sz w:val="22"/>
                <w:szCs w:val="22"/>
              </w:rPr>
              <w:t>RECOMMENDATIONS (R) AND ACTIONS (A) FOR AGREEMENT</w:t>
            </w:r>
            <w:r w:rsidR="006A74AF">
              <w:rPr>
                <w:rFonts w:ascii="Arial" w:hAnsi="Arial" w:cs="Arial"/>
                <w:b/>
                <w:bCs/>
                <w:sz w:val="22"/>
                <w:szCs w:val="22"/>
              </w:rPr>
              <w:t>:</w:t>
            </w:r>
          </w:p>
        </w:tc>
      </w:tr>
      <w:tr w:rsidR="006A74AF" w:rsidRPr="00752FD6" w:rsidTr="006F6120">
        <w:trPr>
          <w:gridAfter w:val="1"/>
          <w:wAfter w:w="283" w:type="dxa"/>
          <w:trHeight w:val="370"/>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Pr="00752FD6" w:rsidRDefault="006A74AF" w:rsidP="009306C6">
            <w:pPr>
              <w:rPr>
                <w:rFonts w:ascii="Arial" w:hAnsi="Arial" w:cs="Arial"/>
                <w:bCs/>
                <w:sz w:val="22"/>
                <w:szCs w:val="22"/>
              </w:rPr>
            </w:pPr>
          </w:p>
        </w:tc>
      </w:tr>
      <w:tr w:rsidR="006F6120" w:rsidRPr="00752FD6" w:rsidTr="006F6120">
        <w:trPr>
          <w:gridAfter w:val="1"/>
          <w:wAfter w:w="283" w:type="dxa"/>
          <w:trHeight w:val="379"/>
        </w:trPr>
        <w:tc>
          <w:tcPr>
            <w:tcW w:w="658" w:type="dxa"/>
            <w:shd w:val="clear" w:color="auto" w:fill="auto"/>
          </w:tcPr>
          <w:p w:rsidR="006F6120" w:rsidRPr="002B4829" w:rsidRDefault="006F6120" w:rsidP="006F6120">
            <w:pPr>
              <w:spacing w:line="276" w:lineRule="auto"/>
              <w:jc w:val="both"/>
              <w:rPr>
                <w:rFonts w:ascii="Arial" w:hAnsi="Arial" w:cs="Arial"/>
                <w:bCs/>
                <w:sz w:val="22"/>
                <w:szCs w:val="22"/>
              </w:rPr>
            </w:pPr>
          </w:p>
        </w:tc>
        <w:tc>
          <w:tcPr>
            <w:tcW w:w="9373" w:type="dxa"/>
            <w:shd w:val="clear" w:color="auto" w:fill="auto"/>
          </w:tcPr>
          <w:p w:rsidR="006F6120" w:rsidRDefault="006F6120" w:rsidP="006F6120">
            <w:pPr>
              <w:spacing w:line="276" w:lineRule="auto"/>
              <w:jc w:val="both"/>
              <w:rPr>
                <w:rFonts w:ascii="Arial" w:hAnsi="Arial" w:cs="Arial"/>
                <w:bCs/>
                <w:sz w:val="22"/>
                <w:szCs w:val="22"/>
              </w:rPr>
            </w:pPr>
            <w:r w:rsidRPr="002B4829">
              <w:rPr>
                <w:rFonts w:ascii="Arial" w:hAnsi="Arial" w:cs="Arial"/>
                <w:bCs/>
                <w:sz w:val="22"/>
                <w:szCs w:val="22"/>
              </w:rPr>
              <w:t>Members of the Board are asked to note the content of the report</w:t>
            </w:r>
            <w:r>
              <w:rPr>
                <w:rFonts w:ascii="Arial" w:hAnsi="Arial" w:cs="Arial"/>
                <w:bCs/>
                <w:sz w:val="22"/>
                <w:szCs w:val="22"/>
              </w:rPr>
              <w:t>.</w:t>
            </w:r>
          </w:p>
          <w:p w:rsidR="006F6120" w:rsidRPr="002B4829" w:rsidRDefault="006F6120" w:rsidP="006F6120">
            <w:pPr>
              <w:spacing w:line="276" w:lineRule="auto"/>
              <w:jc w:val="both"/>
              <w:rPr>
                <w:rFonts w:ascii="Arial" w:hAnsi="Arial" w:cs="Arial"/>
                <w:bCs/>
                <w:sz w:val="22"/>
                <w:szCs w:val="22"/>
              </w:rPr>
            </w:pPr>
          </w:p>
        </w:tc>
      </w:tr>
      <w:tr w:rsidR="006F6120" w:rsidRPr="00752FD6" w:rsidTr="006F6120">
        <w:trPr>
          <w:trHeight w:val="379"/>
        </w:trPr>
        <w:tc>
          <w:tcPr>
            <w:tcW w:w="658" w:type="dxa"/>
            <w:shd w:val="clear" w:color="auto" w:fill="auto"/>
          </w:tcPr>
          <w:p w:rsidR="006F6120" w:rsidRPr="00752FD6" w:rsidRDefault="006F6120" w:rsidP="009306C6">
            <w:pPr>
              <w:rPr>
                <w:rFonts w:ascii="Arial" w:hAnsi="Arial" w:cs="Arial"/>
                <w:bCs/>
                <w:sz w:val="22"/>
                <w:szCs w:val="22"/>
              </w:rPr>
            </w:pPr>
          </w:p>
        </w:tc>
        <w:tc>
          <w:tcPr>
            <w:tcW w:w="9656" w:type="dxa"/>
            <w:gridSpan w:val="2"/>
            <w:shd w:val="clear" w:color="auto" w:fill="auto"/>
          </w:tcPr>
          <w:p w:rsidR="006F6120" w:rsidRDefault="006F6120" w:rsidP="009306C6">
            <w:pPr>
              <w:rPr>
                <w:rFonts w:ascii="Arial" w:hAnsi="Arial" w:cs="Arial"/>
                <w:bCs/>
                <w:sz w:val="22"/>
                <w:szCs w:val="22"/>
              </w:rPr>
            </w:pPr>
          </w:p>
          <w:p w:rsidR="006F6120" w:rsidRPr="00752FD6" w:rsidRDefault="006F6120" w:rsidP="009306C6">
            <w:pPr>
              <w:rPr>
                <w:rFonts w:ascii="Arial" w:hAnsi="Arial" w:cs="Arial"/>
                <w:bCs/>
                <w:sz w:val="22"/>
                <w:szCs w:val="22"/>
              </w:rPr>
            </w:pPr>
          </w:p>
        </w:tc>
      </w:tr>
      <w:tr w:rsidR="006F6120" w:rsidRPr="00752FD6" w:rsidTr="006F6120">
        <w:trPr>
          <w:trHeight w:val="379"/>
        </w:trPr>
        <w:tc>
          <w:tcPr>
            <w:tcW w:w="658" w:type="dxa"/>
            <w:shd w:val="clear" w:color="auto" w:fill="auto"/>
          </w:tcPr>
          <w:p w:rsidR="006F6120" w:rsidRPr="00752FD6" w:rsidRDefault="006F6120" w:rsidP="009306C6">
            <w:pPr>
              <w:rPr>
                <w:rFonts w:ascii="Arial" w:hAnsi="Arial" w:cs="Arial"/>
                <w:bCs/>
                <w:sz w:val="22"/>
                <w:szCs w:val="22"/>
              </w:rPr>
            </w:pPr>
          </w:p>
        </w:tc>
        <w:tc>
          <w:tcPr>
            <w:tcW w:w="9656" w:type="dxa"/>
            <w:gridSpan w:val="2"/>
            <w:shd w:val="clear" w:color="auto" w:fill="auto"/>
          </w:tcPr>
          <w:p w:rsidR="006F6120" w:rsidRDefault="006F6120" w:rsidP="009306C6">
            <w:pPr>
              <w:rPr>
                <w:rFonts w:ascii="Arial" w:hAnsi="Arial" w:cs="Arial"/>
                <w:bCs/>
                <w:sz w:val="22"/>
                <w:szCs w:val="22"/>
              </w:rPr>
            </w:pPr>
          </w:p>
          <w:p w:rsidR="006F6120" w:rsidRPr="00752FD6" w:rsidRDefault="006F6120" w:rsidP="009306C6">
            <w:pPr>
              <w:rPr>
                <w:rFonts w:ascii="Arial" w:hAnsi="Arial" w:cs="Arial"/>
                <w:bCs/>
                <w:sz w:val="22"/>
                <w:szCs w:val="22"/>
              </w:rPr>
            </w:pPr>
          </w:p>
        </w:tc>
      </w:tr>
    </w:tbl>
    <w:tbl>
      <w:tblPr>
        <w:tblpPr w:leftFromText="180" w:rightFromText="180" w:vertAnchor="text" w:horzAnchor="margin" w:tblpX="-34" w:tblpY="-540"/>
        <w:tblW w:w="103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8"/>
        <w:gridCol w:w="6520"/>
        <w:gridCol w:w="851"/>
        <w:gridCol w:w="2409"/>
      </w:tblGrid>
      <w:tr w:rsidR="00540287" w:rsidRPr="00752FD6" w:rsidTr="00D7033C">
        <w:trPr>
          <w:trHeight w:val="822"/>
          <w:tblHeader/>
        </w:trPr>
        <w:tc>
          <w:tcPr>
            <w:tcW w:w="568"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tc>
        <w:tc>
          <w:tcPr>
            <w:tcW w:w="6520" w:type="dxa"/>
            <w:shd w:val="clear" w:color="auto" w:fill="C0C0C0"/>
            <w:vAlign w:val="center"/>
          </w:tcPr>
          <w:p w:rsidR="006A74AF" w:rsidRPr="00752FD6" w:rsidRDefault="006A74AF" w:rsidP="00D7033C">
            <w:pPr>
              <w:spacing w:before="80" w:after="80"/>
              <w:rPr>
                <w:rFonts w:ascii="Arial" w:hAnsi="Arial" w:cs="Arial"/>
                <w:b/>
                <w:sz w:val="22"/>
                <w:szCs w:val="22"/>
              </w:rPr>
            </w:pPr>
          </w:p>
        </w:tc>
        <w:tc>
          <w:tcPr>
            <w:tcW w:w="851"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p w:rsidR="006A74AF" w:rsidRDefault="006A74AF" w:rsidP="00D7033C">
            <w:pPr>
              <w:spacing w:before="80" w:after="80"/>
              <w:jc w:val="center"/>
              <w:rPr>
                <w:rFonts w:ascii="Arial" w:hAnsi="Arial" w:cs="Arial"/>
                <w:b/>
                <w:sz w:val="22"/>
                <w:szCs w:val="22"/>
              </w:rPr>
            </w:pPr>
            <w:r w:rsidRPr="00752FD6">
              <w:rPr>
                <w:rFonts w:ascii="Arial" w:hAnsi="Arial" w:cs="Arial"/>
                <w:b/>
                <w:sz w:val="22"/>
                <w:szCs w:val="22"/>
              </w:rPr>
              <w:t>Yes/</w:t>
            </w:r>
          </w:p>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No</w:t>
            </w:r>
          </w:p>
        </w:tc>
        <w:tc>
          <w:tcPr>
            <w:tcW w:w="2409" w:type="dxa"/>
            <w:shd w:val="clear" w:color="auto" w:fill="C0C0C0"/>
            <w:vAlign w:val="center"/>
          </w:tcPr>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Comments</w:t>
            </w: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851" w:type="dxa"/>
            <w:shd w:val="clear" w:color="auto" w:fill="auto"/>
          </w:tcPr>
          <w:p w:rsidR="006A74AF" w:rsidRPr="00752FD6" w:rsidRDefault="006A74AF" w:rsidP="00D7033C">
            <w:pPr>
              <w:spacing w:before="80" w:after="80"/>
              <w:jc w:val="center"/>
              <w:rPr>
                <w:rFonts w:ascii="Arial" w:hAnsi="Arial" w:cs="Arial"/>
                <w:sz w:val="22"/>
                <w:szCs w:val="22"/>
              </w:rPr>
            </w:pP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Mental Capacity Act</w:t>
            </w:r>
          </w:p>
        </w:tc>
        <w:tc>
          <w:tcPr>
            <w:tcW w:w="851" w:type="dxa"/>
            <w:shd w:val="clear" w:color="auto" w:fill="auto"/>
          </w:tcPr>
          <w:p w:rsidR="006A74AF" w:rsidRPr="00752FD6" w:rsidRDefault="006F6120" w:rsidP="00D7033C">
            <w:pPr>
              <w:spacing w:before="80" w:after="80"/>
              <w:jc w:val="center"/>
              <w:rPr>
                <w:rFonts w:ascii="Arial" w:hAnsi="Arial" w:cs="Arial"/>
                <w:sz w:val="22"/>
                <w:szCs w:val="22"/>
              </w:rPr>
            </w:pPr>
            <w:r>
              <w:rPr>
                <w:rFonts w:ascii="Arial" w:hAnsi="Arial" w:cs="Arial"/>
                <w:sz w:val="22"/>
                <w:szCs w:val="22"/>
              </w:rPr>
              <w:t>n/a</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w:t>
            </w:r>
          </w:p>
        </w:tc>
        <w:tc>
          <w:tcPr>
            <w:tcW w:w="6520" w:type="dxa"/>
            <w:shd w:val="clear" w:color="auto" w:fill="auto"/>
          </w:tcPr>
          <w:p w:rsidR="006A74AF" w:rsidRPr="00752FD6" w:rsidRDefault="006A74AF" w:rsidP="00D7033C">
            <w:pPr>
              <w:spacing w:before="80" w:after="80"/>
              <w:rPr>
                <w:rFonts w:ascii="Arial" w:hAnsi="Arial" w:cs="Arial"/>
                <w:sz w:val="22"/>
                <w:szCs w:val="22"/>
              </w:rPr>
            </w:pPr>
            <w:r>
              <w:rPr>
                <w:rFonts w:ascii="Arial" w:hAnsi="Arial" w:cs="Arial"/>
                <w:sz w:val="22"/>
                <w:szCs w:val="22"/>
              </w:rPr>
              <w:t>CCG</w:t>
            </w:r>
            <w:r w:rsidRPr="00752FD6">
              <w:rPr>
                <w:rFonts w:ascii="Arial" w:hAnsi="Arial" w:cs="Arial"/>
                <w:sz w:val="22"/>
                <w:szCs w:val="22"/>
              </w:rPr>
              <w:t xml:space="preserve">  Equality Impact Assessment</w:t>
            </w:r>
          </w:p>
        </w:tc>
        <w:tc>
          <w:tcPr>
            <w:tcW w:w="851" w:type="dxa"/>
            <w:shd w:val="clear" w:color="auto" w:fill="auto"/>
          </w:tcPr>
          <w:p w:rsidR="006A74AF" w:rsidRPr="00752FD6" w:rsidRDefault="006F6120" w:rsidP="00D7033C">
            <w:pPr>
              <w:spacing w:before="80" w:after="80"/>
              <w:jc w:val="center"/>
              <w:rPr>
                <w:rFonts w:ascii="Arial" w:hAnsi="Arial" w:cs="Arial"/>
                <w:sz w:val="22"/>
                <w:szCs w:val="22"/>
              </w:rPr>
            </w:pPr>
            <w:r>
              <w:rPr>
                <w:rFonts w:ascii="Arial" w:hAnsi="Arial" w:cs="Arial"/>
                <w:sz w:val="22"/>
                <w:szCs w:val="22"/>
              </w:rPr>
              <w:t>n/a</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Human Rights Act 1998</w:t>
            </w:r>
          </w:p>
        </w:tc>
        <w:tc>
          <w:tcPr>
            <w:tcW w:w="851" w:type="dxa"/>
            <w:shd w:val="clear" w:color="auto" w:fill="auto"/>
          </w:tcPr>
          <w:p w:rsidR="006A74AF" w:rsidRPr="00752FD6" w:rsidRDefault="006F6120" w:rsidP="00D7033C">
            <w:pPr>
              <w:spacing w:before="80" w:after="80"/>
              <w:jc w:val="center"/>
              <w:rPr>
                <w:rFonts w:ascii="Arial" w:hAnsi="Arial" w:cs="Arial"/>
                <w:sz w:val="22"/>
                <w:szCs w:val="22"/>
              </w:rPr>
            </w:pPr>
            <w:r>
              <w:rPr>
                <w:rFonts w:ascii="Arial" w:hAnsi="Arial" w:cs="Arial"/>
                <w:sz w:val="22"/>
                <w:szCs w:val="22"/>
              </w:rPr>
              <w:t>n/a</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Health and Safety at Work Act 1974</w:t>
            </w:r>
          </w:p>
        </w:tc>
        <w:tc>
          <w:tcPr>
            <w:tcW w:w="851" w:type="dxa"/>
            <w:shd w:val="clear" w:color="auto" w:fill="auto"/>
          </w:tcPr>
          <w:p w:rsidR="006A74AF" w:rsidRPr="00752FD6" w:rsidRDefault="006F6120" w:rsidP="00D7033C">
            <w:pPr>
              <w:spacing w:before="80" w:after="80"/>
              <w:jc w:val="center"/>
              <w:rPr>
                <w:rFonts w:ascii="Arial" w:hAnsi="Arial" w:cs="Arial"/>
                <w:sz w:val="22"/>
                <w:szCs w:val="22"/>
              </w:rPr>
            </w:pPr>
            <w:r>
              <w:rPr>
                <w:rFonts w:ascii="Arial" w:hAnsi="Arial" w:cs="Arial"/>
                <w:sz w:val="22"/>
                <w:szCs w:val="22"/>
              </w:rPr>
              <w:t>n/a</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851" w:type="dxa"/>
            <w:shd w:val="clear" w:color="auto" w:fill="auto"/>
          </w:tcPr>
          <w:p w:rsidR="006A74AF" w:rsidRPr="00752FD6" w:rsidRDefault="006F6120" w:rsidP="00D7033C">
            <w:pPr>
              <w:spacing w:before="80" w:after="80"/>
              <w:jc w:val="center"/>
              <w:rPr>
                <w:rFonts w:ascii="Arial" w:hAnsi="Arial" w:cs="Arial"/>
                <w:sz w:val="22"/>
                <w:szCs w:val="22"/>
              </w:rPr>
            </w:pPr>
            <w:r>
              <w:rPr>
                <w:rFonts w:ascii="Arial" w:hAnsi="Arial" w:cs="Arial"/>
                <w:sz w:val="22"/>
                <w:szCs w:val="22"/>
              </w:rPr>
              <w:t>Y</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Default="006A74AF" w:rsidP="00D7033C">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6A74AF" w:rsidRPr="00752FD6" w:rsidRDefault="00CC6527" w:rsidP="00D7033C">
            <w:pPr>
              <w:spacing w:before="80" w:after="80"/>
              <w:rPr>
                <w:rFonts w:ascii="Arial" w:hAnsi="Arial" w:cs="Arial"/>
                <w:sz w:val="22"/>
                <w:szCs w:val="22"/>
              </w:rPr>
            </w:pPr>
            <w:hyperlink r:id="rId15" w:history="1">
              <w:r w:rsidR="006A74AF" w:rsidRPr="00727EAA">
                <w:rPr>
                  <w:rStyle w:val="Hyperlink"/>
                  <w:rFonts w:ascii="Arial" w:hAnsi="Arial" w:cs="Arial"/>
                  <w:sz w:val="22"/>
                  <w:szCs w:val="22"/>
                </w:rPr>
                <w:t>www.dh.gov.uk/en/Publicationsandstatistics/Publications/PublicationsPolicyAndGuidance/DH_113613</w:t>
              </w:r>
            </w:hyperlink>
          </w:p>
        </w:tc>
        <w:tc>
          <w:tcPr>
            <w:tcW w:w="851" w:type="dxa"/>
            <w:shd w:val="clear" w:color="auto" w:fill="auto"/>
          </w:tcPr>
          <w:p w:rsidR="006A74AF" w:rsidRPr="00752FD6" w:rsidRDefault="006F6120" w:rsidP="00D7033C">
            <w:pPr>
              <w:spacing w:before="80" w:after="80"/>
              <w:jc w:val="center"/>
              <w:rPr>
                <w:rFonts w:ascii="Arial" w:hAnsi="Arial" w:cs="Arial"/>
                <w:sz w:val="22"/>
                <w:szCs w:val="22"/>
              </w:rPr>
            </w:pPr>
            <w:r>
              <w:rPr>
                <w:rFonts w:ascii="Arial" w:hAnsi="Arial" w:cs="Arial"/>
                <w:sz w:val="22"/>
                <w:szCs w:val="22"/>
              </w:rPr>
              <w:t>Y</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bl>
    <w:p w:rsidR="00DC3218" w:rsidRDefault="00DC3218" w:rsidP="00D7033C">
      <w:pPr>
        <w:rPr>
          <w:rFonts w:ascii="Arial" w:hAnsi="Arial" w:cs="Arial"/>
          <w:b/>
          <w:bCs/>
          <w:sz w:val="22"/>
          <w:szCs w:val="22"/>
        </w:rPr>
      </w:pPr>
    </w:p>
    <w:sectPr w:rsidR="00DC3218" w:rsidSect="00DD7564">
      <w:footerReference w:type="default" r:id="rId16"/>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28E" w:rsidRDefault="003D728E">
      <w:r>
        <w:separator/>
      </w:r>
    </w:p>
  </w:endnote>
  <w:endnote w:type="continuationSeparator" w:id="0">
    <w:p w:rsidR="003D728E" w:rsidRDefault="003D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CF6" w:rsidRDefault="00551CF6" w:rsidP="00DC3218">
    <w:pPr>
      <w:pStyle w:val="Footer"/>
      <w:jc w:val="right"/>
    </w:pPr>
    <w:r>
      <w:rPr>
        <w:noProof/>
      </w:rPr>
      <w:drawing>
        <wp:inline distT="0" distB="0" distL="0" distR="0" wp14:anchorId="5911262E" wp14:editId="01F28789">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5046378F" wp14:editId="30CE49E9">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28E" w:rsidRDefault="003D728E">
      <w:r>
        <w:separator/>
      </w:r>
    </w:p>
  </w:footnote>
  <w:footnote w:type="continuationSeparator" w:id="0">
    <w:p w:rsidR="003D728E" w:rsidRDefault="003D72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6304"/>
    <w:multiLevelType w:val="hybridMultilevel"/>
    <w:tmpl w:val="B4AE13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D852E8"/>
    <w:multiLevelType w:val="hybridMultilevel"/>
    <w:tmpl w:val="BBA64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F45EB"/>
    <w:multiLevelType w:val="hybridMultilevel"/>
    <w:tmpl w:val="D29058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A74CBA"/>
    <w:multiLevelType w:val="hybridMultilevel"/>
    <w:tmpl w:val="12ACBC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422EE3"/>
    <w:multiLevelType w:val="hybridMultilevel"/>
    <w:tmpl w:val="2A0A4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382C40"/>
    <w:multiLevelType w:val="hybridMultilevel"/>
    <w:tmpl w:val="8864C8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3864D01"/>
    <w:multiLevelType w:val="hybridMultilevel"/>
    <w:tmpl w:val="C90A3E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3A941056"/>
    <w:multiLevelType w:val="hybridMultilevel"/>
    <w:tmpl w:val="D408B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E5347B6"/>
    <w:multiLevelType w:val="hybridMultilevel"/>
    <w:tmpl w:val="C8608240"/>
    <w:lvl w:ilvl="0" w:tplc="FBC20B82">
      <w:start w:val="1"/>
      <w:numFmt w:val="decimal"/>
      <w:lvlText w:val="%1."/>
      <w:lvlJc w:val="left"/>
      <w:pPr>
        <w:ind w:left="720" w:hanging="360"/>
      </w:pPr>
      <w:rPr>
        <w:color w:val="1F497D"/>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0">
    <w:nsid w:val="4D660D2E"/>
    <w:multiLevelType w:val="hybridMultilevel"/>
    <w:tmpl w:val="8BDC125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12">
    <w:nsid w:val="5A53654E"/>
    <w:multiLevelType w:val="hybridMultilevel"/>
    <w:tmpl w:val="42FAE0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2D66FB5"/>
    <w:multiLevelType w:val="hybridMultilevel"/>
    <w:tmpl w:val="7F4283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4376B02"/>
    <w:multiLevelType w:val="hybridMultilevel"/>
    <w:tmpl w:val="3852F26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BC93D7B"/>
    <w:multiLevelType w:val="hybridMultilevel"/>
    <w:tmpl w:val="AA540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481D6B"/>
    <w:multiLevelType w:val="hybridMultilevel"/>
    <w:tmpl w:val="6666DC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03E5601"/>
    <w:multiLevelType w:val="hybridMultilevel"/>
    <w:tmpl w:val="21BCB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74203F95"/>
    <w:multiLevelType w:val="hybridMultilevel"/>
    <w:tmpl w:val="EEEA51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1"/>
  </w:num>
  <w:num w:numId="3">
    <w:abstractNumId w:val="4"/>
  </w:num>
  <w:num w:numId="4">
    <w:abstractNumId w:val="3"/>
  </w:num>
  <w:num w:numId="5">
    <w:abstractNumId w:val="2"/>
  </w:num>
  <w:num w:numId="6">
    <w:abstractNumId w:val="1"/>
  </w:num>
  <w:num w:numId="7">
    <w:abstractNumId w:val="15"/>
  </w:num>
  <w:num w:numId="8">
    <w:abstractNumId w:val="13"/>
  </w:num>
  <w:num w:numId="9">
    <w:abstractNumId w:val="14"/>
  </w:num>
  <w:num w:numId="10">
    <w:abstractNumId w:val="5"/>
  </w:num>
  <w:num w:numId="11">
    <w:abstractNumId w:val="16"/>
  </w:num>
  <w:num w:numId="12">
    <w:abstractNumId w:val="18"/>
  </w:num>
  <w:num w:numId="13">
    <w:abstractNumId w:val="6"/>
  </w:num>
  <w:num w:numId="14">
    <w:abstractNumId w:val="10"/>
  </w:num>
  <w:num w:numId="15">
    <w:abstractNumId w:val="0"/>
  </w:num>
  <w:num w:numId="16">
    <w:abstractNumId w:val="17"/>
  </w:num>
  <w:num w:numId="17">
    <w:abstractNumId w:val="7"/>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4514"/>
    <w:rsid w:val="000553ED"/>
    <w:rsid w:val="00060BE3"/>
    <w:rsid w:val="00062ABA"/>
    <w:rsid w:val="00067D66"/>
    <w:rsid w:val="000804F5"/>
    <w:rsid w:val="00086901"/>
    <w:rsid w:val="00091E11"/>
    <w:rsid w:val="000920DD"/>
    <w:rsid w:val="00095E6B"/>
    <w:rsid w:val="000B1D82"/>
    <w:rsid w:val="000B1EEB"/>
    <w:rsid w:val="000B4521"/>
    <w:rsid w:val="000C440F"/>
    <w:rsid w:val="000D62C7"/>
    <w:rsid w:val="000E4269"/>
    <w:rsid w:val="00101E52"/>
    <w:rsid w:val="00105599"/>
    <w:rsid w:val="00105BD8"/>
    <w:rsid w:val="00112B21"/>
    <w:rsid w:val="001154A6"/>
    <w:rsid w:val="00120909"/>
    <w:rsid w:val="001209C1"/>
    <w:rsid w:val="00121A76"/>
    <w:rsid w:val="00124B07"/>
    <w:rsid w:val="00132B3D"/>
    <w:rsid w:val="00136A3D"/>
    <w:rsid w:val="00146F56"/>
    <w:rsid w:val="0015293E"/>
    <w:rsid w:val="00157D2B"/>
    <w:rsid w:val="00176D4A"/>
    <w:rsid w:val="00180438"/>
    <w:rsid w:val="00180D44"/>
    <w:rsid w:val="00185707"/>
    <w:rsid w:val="00190670"/>
    <w:rsid w:val="00193741"/>
    <w:rsid w:val="00197B68"/>
    <w:rsid w:val="001A4E90"/>
    <w:rsid w:val="001B3A86"/>
    <w:rsid w:val="001B6258"/>
    <w:rsid w:val="001D6104"/>
    <w:rsid w:val="001D78A2"/>
    <w:rsid w:val="001E773A"/>
    <w:rsid w:val="001F21BE"/>
    <w:rsid w:val="001F59F0"/>
    <w:rsid w:val="001F6597"/>
    <w:rsid w:val="00200CED"/>
    <w:rsid w:val="00213BC1"/>
    <w:rsid w:val="002141E5"/>
    <w:rsid w:val="00216C8C"/>
    <w:rsid w:val="00231A40"/>
    <w:rsid w:val="00231D43"/>
    <w:rsid w:val="00243672"/>
    <w:rsid w:val="00246031"/>
    <w:rsid w:val="00246D3A"/>
    <w:rsid w:val="0025514C"/>
    <w:rsid w:val="00256406"/>
    <w:rsid w:val="00261AB5"/>
    <w:rsid w:val="002626F4"/>
    <w:rsid w:val="0026660D"/>
    <w:rsid w:val="00266FF1"/>
    <w:rsid w:val="002700D2"/>
    <w:rsid w:val="00282EB7"/>
    <w:rsid w:val="00285B93"/>
    <w:rsid w:val="00285C31"/>
    <w:rsid w:val="00286998"/>
    <w:rsid w:val="002A1F94"/>
    <w:rsid w:val="002A3C39"/>
    <w:rsid w:val="002A651D"/>
    <w:rsid w:val="002B63BC"/>
    <w:rsid w:val="002C0EB3"/>
    <w:rsid w:val="002C17C1"/>
    <w:rsid w:val="002E0A15"/>
    <w:rsid w:val="002E26B9"/>
    <w:rsid w:val="002E7820"/>
    <w:rsid w:val="002F445D"/>
    <w:rsid w:val="002F47B6"/>
    <w:rsid w:val="00301655"/>
    <w:rsid w:val="00303B76"/>
    <w:rsid w:val="00312796"/>
    <w:rsid w:val="003225BA"/>
    <w:rsid w:val="00326AB8"/>
    <w:rsid w:val="00332E64"/>
    <w:rsid w:val="0034307E"/>
    <w:rsid w:val="00352FE9"/>
    <w:rsid w:val="00363C1F"/>
    <w:rsid w:val="0036628F"/>
    <w:rsid w:val="00366F7D"/>
    <w:rsid w:val="00376E43"/>
    <w:rsid w:val="00380FCF"/>
    <w:rsid w:val="00384979"/>
    <w:rsid w:val="00394F30"/>
    <w:rsid w:val="003A03CB"/>
    <w:rsid w:val="003B0A06"/>
    <w:rsid w:val="003B626C"/>
    <w:rsid w:val="003C6569"/>
    <w:rsid w:val="003D2887"/>
    <w:rsid w:val="003D3E08"/>
    <w:rsid w:val="003D489F"/>
    <w:rsid w:val="003D728E"/>
    <w:rsid w:val="003E4361"/>
    <w:rsid w:val="003F6D7A"/>
    <w:rsid w:val="003F6DF9"/>
    <w:rsid w:val="00406064"/>
    <w:rsid w:val="00420D54"/>
    <w:rsid w:val="00423F06"/>
    <w:rsid w:val="004337A4"/>
    <w:rsid w:val="00434363"/>
    <w:rsid w:val="0043664F"/>
    <w:rsid w:val="00441E7A"/>
    <w:rsid w:val="00447394"/>
    <w:rsid w:val="00450490"/>
    <w:rsid w:val="00454EA5"/>
    <w:rsid w:val="00456662"/>
    <w:rsid w:val="00457AAE"/>
    <w:rsid w:val="00462810"/>
    <w:rsid w:val="00464A6D"/>
    <w:rsid w:val="00466602"/>
    <w:rsid w:val="00470C33"/>
    <w:rsid w:val="004756D3"/>
    <w:rsid w:val="004822A5"/>
    <w:rsid w:val="00490D15"/>
    <w:rsid w:val="004A5EE0"/>
    <w:rsid w:val="004A75B1"/>
    <w:rsid w:val="004B29A9"/>
    <w:rsid w:val="004B4F56"/>
    <w:rsid w:val="004C5FA2"/>
    <w:rsid w:val="004C677C"/>
    <w:rsid w:val="004C6F5C"/>
    <w:rsid w:val="004D0321"/>
    <w:rsid w:val="004D7118"/>
    <w:rsid w:val="004E7A80"/>
    <w:rsid w:val="004F2E71"/>
    <w:rsid w:val="004F3209"/>
    <w:rsid w:val="004F64DF"/>
    <w:rsid w:val="00500C51"/>
    <w:rsid w:val="0050668F"/>
    <w:rsid w:val="005109BE"/>
    <w:rsid w:val="00517C3A"/>
    <w:rsid w:val="0052360E"/>
    <w:rsid w:val="0052687C"/>
    <w:rsid w:val="00532C2C"/>
    <w:rsid w:val="00540287"/>
    <w:rsid w:val="00541F74"/>
    <w:rsid w:val="00551CF6"/>
    <w:rsid w:val="00562641"/>
    <w:rsid w:val="00562E19"/>
    <w:rsid w:val="005633D4"/>
    <w:rsid w:val="00567797"/>
    <w:rsid w:val="0057544B"/>
    <w:rsid w:val="0057654D"/>
    <w:rsid w:val="005847E8"/>
    <w:rsid w:val="00585083"/>
    <w:rsid w:val="005875AF"/>
    <w:rsid w:val="00587A7C"/>
    <w:rsid w:val="00591E40"/>
    <w:rsid w:val="00593311"/>
    <w:rsid w:val="005973A0"/>
    <w:rsid w:val="005A0236"/>
    <w:rsid w:val="005A36F7"/>
    <w:rsid w:val="005A625B"/>
    <w:rsid w:val="005E01FA"/>
    <w:rsid w:val="005F0C84"/>
    <w:rsid w:val="005F11AA"/>
    <w:rsid w:val="005F195A"/>
    <w:rsid w:val="005F5C0F"/>
    <w:rsid w:val="0060216B"/>
    <w:rsid w:val="00604967"/>
    <w:rsid w:val="00607C7F"/>
    <w:rsid w:val="006203A2"/>
    <w:rsid w:val="00625124"/>
    <w:rsid w:val="006468ED"/>
    <w:rsid w:val="006569A3"/>
    <w:rsid w:val="00657CC2"/>
    <w:rsid w:val="00664815"/>
    <w:rsid w:val="0067295A"/>
    <w:rsid w:val="00675C73"/>
    <w:rsid w:val="0068471B"/>
    <w:rsid w:val="0068496F"/>
    <w:rsid w:val="0069645B"/>
    <w:rsid w:val="0069733F"/>
    <w:rsid w:val="006A2E19"/>
    <w:rsid w:val="006A74AF"/>
    <w:rsid w:val="006A788A"/>
    <w:rsid w:val="006A7D61"/>
    <w:rsid w:val="006B060C"/>
    <w:rsid w:val="006B7C64"/>
    <w:rsid w:val="006C03B7"/>
    <w:rsid w:val="006C1DEF"/>
    <w:rsid w:val="006C5536"/>
    <w:rsid w:val="006D2FBF"/>
    <w:rsid w:val="006D535E"/>
    <w:rsid w:val="006E2F1F"/>
    <w:rsid w:val="006F1162"/>
    <w:rsid w:val="006F45C7"/>
    <w:rsid w:val="006F5C8A"/>
    <w:rsid w:val="006F6120"/>
    <w:rsid w:val="006F7B59"/>
    <w:rsid w:val="0070365F"/>
    <w:rsid w:val="00710714"/>
    <w:rsid w:val="00712365"/>
    <w:rsid w:val="00716CAF"/>
    <w:rsid w:val="00730C39"/>
    <w:rsid w:val="0073457C"/>
    <w:rsid w:val="007351D1"/>
    <w:rsid w:val="00736E79"/>
    <w:rsid w:val="00740BB8"/>
    <w:rsid w:val="00746637"/>
    <w:rsid w:val="00752F56"/>
    <w:rsid w:val="00752FD6"/>
    <w:rsid w:val="007542CB"/>
    <w:rsid w:val="007559C0"/>
    <w:rsid w:val="00765D56"/>
    <w:rsid w:val="007673BA"/>
    <w:rsid w:val="0077428E"/>
    <w:rsid w:val="00775657"/>
    <w:rsid w:val="00775E08"/>
    <w:rsid w:val="00777C4C"/>
    <w:rsid w:val="007818CA"/>
    <w:rsid w:val="007927F8"/>
    <w:rsid w:val="007943EA"/>
    <w:rsid w:val="007A1CE6"/>
    <w:rsid w:val="007A356A"/>
    <w:rsid w:val="007A7384"/>
    <w:rsid w:val="007B20A8"/>
    <w:rsid w:val="007B2FB2"/>
    <w:rsid w:val="007C1372"/>
    <w:rsid w:val="007C626B"/>
    <w:rsid w:val="007C7176"/>
    <w:rsid w:val="007D373C"/>
    <w:rsid w:val="007D696B"/>
    <w:rsid w:val="007E2B49"/>
    <w:rsid w:val="007E6A63"/>
    <w:rsid w:val="007F216E"/>
    <w:rsid w:val="007F26DD"/>
    <w:rsid w:val="007F26FE"/>
    <w:rsid w:val="007F5413"/>
    <w:rsid w:val="00803AA5"/>
    <w:rsid w:val="008254CA"/>
    <w:rsid w:val="00831338"/>
    <w:rsid w:val="00840F53"/>
    <w:rsid w:val="00841F6F"/>
    <w:rsid w:val="00845E6F"/>
    <w:rsid w:val="00846C25"/>
    <w:rsid w:val="00852744"/>
    <w:rsid w:val="00852BCF"/>
    <w:rsid w:val="00866065"/>
    <w:rsid w:val="00866EFA"/>
    <w:rsid w:val="00866FF8"/>
    <w:rsid w:val="00876BA5"/>
    <w:rsid w:val="00882C25"/>
    <w:rsid w:val="00891846"/>
    <w:rsid w:val="00891EDC"/>
    <w:rsid w:val="0089366A"/>
    <w:rsid w:val="008964B0"/>
    <w:rsid w:val="008A57B4"/>
    <w:rsid w:val="008C70FB"/>
    <w:rsid w:val="008D12EA"/>
    <w:rsid w:val="008D6A39"/>
    <w:rsid w:val="008E206C"/>
    <w:rsid w:val="008F140F"/>
    <w:rsid w:val="008F677B"/>
    <w:rsid w:val="008F721F"/>
    <w:rsid w:val="00905151"/>
    <w:rsid w:val="00907378"/>
    <w:rsid w:val="009119AD"/>
    <w:rsid w:val="0091643D"/>
    <w:rsid w:val="0091688E"/>
    <w:rsid w:val="00920543"/>
    <w:rsid w:val="00923556"/>
    <w:rsid w:val="009269E7"/>
    <w:rsid w:val="009306C6"/>
    <w:rsid w:val="00936BC2"/>
    <w:rsid w:val="0094097A"/>
    <w:rsid w:val="00946B7B"/>
    <w:rsid w:val="00953DAC"/>
    <w:rsid w:val="00960460"/>
    <w:rsid w:val="00961032"/>
    <w:rsid w:val="009615DA"/>
    <w:rsid w:val="009646FA"/>
    <w:rsid w:val="00975B74"/>
    <w:rsid w:val="009846C1"/>
    <w:rsid w:val="00995D16"/>
    <w:rsid w:val="009A0C1E"/>
    <w:rsid w:val="009B25F1"/>
    <w:rsid w:val="009B32B5"/>
    <w:rsid w:val="009C33D4"/>
    <w:rsid w:val="009D14DD"/>
    <w:rsid w:val="009D4815"/>
    <w:rsid w:val="009E0D79"/>
    <w:rsid w:val="009E7323"/>
    <w:rsid w:val="009F5819"/>
    <w:rsid w:val="00A01B48"/>
    <w:rsid w:val="00A03A97"/>
    <w:rsid w:val="00A07A07"/>
    <w:rsid w:val="00A1183A"/>
    <w:rsid w:val="00A14275"/>
    <w:rsid w:val="00A17708"/>
    <w:rsid w:val="00A20848"/>
    <w:rsid w:val="00A31B98"/>
    <w:rsid w:val="00A31E5A"/>
    <w:rsid w:val="00A35F42"/>
    <w:rsid w:val="00A40291"/>
    <w:rsid w:val="00A45F00"/>
    <w:rsid w:val="00A52AAC"/>
    <w:rsid w:val="00A531CD"/>
    <w:rsid w:val="00A57269"/>
    <w:rsid w:val="00A646B0"/>
    <w:rsid w:val="00A66F25"/>
    <w:rsid w:val="00A74848"/>
    <w:rsid w:val="00A773EC"/>
    <w:rsid w:val="00A77DA9"/>
    <w:rsid w:val="00A83BD9"/>
    <w:rsid w:val="00A860CA"/>
    <w:rsid w:val="00A862EF"/>
    <w:rsid w:val="00A873BF"/>
    <w:rsid w:val="00A87ACE"/>
    <w:rsid w:val="00A9668F"/>
    <w:rsid w:val="00A96FB0"/>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10FD4"/>
    <w:rsid w:val="00B23C91"/>
    <w:rsid w:val="00B31017"/>
    <w:rsid w:val="00B349FF"/>
    <w:rsid w:val="00B363A4"/>
    <w:rsid w:val="00B40742"/>
    <w:rsid w:val="00B41D76"/>
    <w:rsid w:val="00B54373"/>
    <w:rsid w:val="00B55AF0"/>
    <w:rsid w:val="00B55E86"/>
    <w:rsid w:val="00B60D87"/>
    <w:rsid w:val="00B66E1A"/>
    <w:rsid w:val="00B70B42"/>
    <w:rsid w:val="00B74845"/>
    <w:rsid w:val="00B76561"/>
    <w:rsid w:val="00B76881"/>
    <w:rsid w:val="00B7767F"/>
    <w:rsid w:val="00B847DA"/>
    <w:rsid w:val="00B8770E"/>
    <w:rsid w:val="00B90280"/>
    <w:rsid w:val="00B93457"/>
    <w:rsid w:val="00B961A5"/>
    <w:rsid w:val="00B97B0B"/>
    <w:rsid w:val="00BA763E"/>
    <w:rsid w:val="00BB4739"/>
    <w:rsid w:val="00BB5C36"/>
    <w:rsid w:val="00BB7DF9"/>
    <w:rsid w:val="00BC24D2"/>
    <w:rsid w:val="00BC27AF"/>
    <w:rsid w:val="00BC4508"/>
    <w:rsid w:val="00BC5CEC"/>
    <w:rsid w:val="00BC6D92"/>
    <w:rsid w:val="00BE2812"/>
    <w:rsid w:val="00BE6E0D"/>
    <w:rsid w:val="00BE7009"/>
    <w:rsid w:val="00BF4C1F"/>
    <w:rsid w:val="00BF64D8"/>
    <w:rsid w:val="00C053D3"/>
    <w:rsid w:val="00C0569D"/>
    <w:rsid w:val="00C07D8B"/>
    <w:rsid w:val="00C20949"/>
    <w:rsid w:val="00C31229"/>
    <w:rsid w:val="00C523B4"/>
    <w:rsid w:val="00C52D50"/>
    <w:rsid w:val="00C628C9"/>
    <w:rsid w:val="00C703B6"/>
    <w:rsid w:val="00C74EC1"/>
    <w:rsid w:val="00C7588E"/>
    <w:rsid w:val="00C85824"/>
    <w:rsid w:val="00C86CC4"/>
    <w:rsid w:val="00C965C4"/>
    <w:rsid w:val="00CA3315"/>
    <w:rsid w:val="00CA64C1"/>
    <w:rsid w:val="00CB4EE8"/>
    <w:rsid w:val="00CC6527"/>
    <w:rsid w:val="00CD079D"/>
    <w:rsid w:val="00CD319C"/>
    <w:rsid w:val="00CD4F1D"/>
    <w:rsid w:val="00CE07E5"/>
    <w:rsid w:val="00CE160D"/>
    <w:rsid w:val="00CF258F"/>
    <w:rsid w:val="00CF5F75"/>
    <w:rsid w:val="00D00EFA"/>
    <w:rsid w:val="00D25017"/>
    <w:rsid w:val="00D3494B"/>
    <w:rsid w:val="00D35D4A"/>
    <w:rsid w:val="00D41C63"/>
    <w:rsid w:val="00D450C3"/>
    <w:rsid w:val="00D4597C"/>
    <w:rsid w:val="00D52206"/>
    <w:rsid w:val="00D655CC"/>
    <w:rsid w:val="00D6660C"/>
    <w:rsid w:val="00D7033C"/>
    <w:rsid w:val="00D76A89"/>
    <w:rsid w:val="00D803BA"/>
    <w:rsid w:val="00D91037"/>
    <w:rsid w:val="00D921A3"/>
    <w:rsid w:val="00DA584B"/>
    <w:rsid w:val="00DA6818"/>
    <w:rsid w:val="00DA75DE"/>
    <w:rsid w:val="00DC2203"/>
    <w:rsid w:val="00DC3218"/>
    <w:rsid w:val="00DC358F"/>
    <w:rsid w:val="00DC46DB"/>
    <w:rsid w:val="00DD1E33"/>
    <w:rsid w:val="00DD27F1"/>
    <w:rsid w:val="00DD3E42"/>
    <w:rsid w:val="00DD689C"/>
    <w:rsid w:val="00DD7564"/>
    <w:rsid w:val="00DE6E0E"/>
    <w:rsid w:val="00DF00F8"/>
    <w:rsid w:val="00DF3185"/>
    <w:rsid w:val="00DF3E42"/>
    <w:rsid w:val="00E24870"/>
    <w:rsid w:val="00E2557D"/>
    <w:rsid w:val="00E320A8"/>
    <w:rsid w:val="00E43FD9"/>
    <w:rsid w:val="00E46EFA"/>
    <w:rsid w:val="00E47C0B"/>
    <w:rsid w:val="00E5159C"/>
    <w:rsid w:val="00E538AF"/>
    <w:rsid w:val="00E550FE"/>
    <w:rsid w:val="00E617F9"/>
    <w:rsid w:val="00E637D8"/>
    <w:rsid w:val="00E67668"/>
    <w:rsid w:val="00E7471C"/>
    <w:rsid w:val="00E75A46"/>
    <w:rsid w:val="00E857C3"/>
    <w:rsid w:val="00E921F2"/>
    <w:rsid w:val="00E94BFF"/>
    <w:rsid w:val="00E9685C"/>
    <w:rsid w:val="00EA1089"/>
    <w:rsid w:val="00EA285F"/>
    <w:rsid w:val="00EB6E0A"/>
    <w:rsid w:val="00EC03DC"/>
    <w:rsid w:val="00ED0665"/>
    <w:rsid w:val="00ED2BBB"/>
    <w:rsid w:val="00ED44C9"/>
    <w:rsid w:val="00ED6017"/>
    <w:rsid w:val="00EF1A15"/>
    <w:rsid w:val="00EF3C43"/>
    <w:rsid w:val="00EF524B"/>
    <w:rsid w:val="00F008CD"/>
    <w:rsid w:val="00F05335"/>
    <w:rsid w:val="00F12864"/>
    <w:rsid w:val="00F24DA5"/>
    <w:rsid w:val="00F3113F"/>
    <w:rsid w:val="00F32730"/>
    <w:rsid w:val="00F3308A"/>
    <w:rsid w:val="00F3716D"/>
    <w:rsid w:val="00F37D18"/>
    <w:rsid w:val="00F40B1F"/>
    <w:rsid w:val="00F45C7E"/>
    <w:rsid w:val="00F51B57"/>
    <w:rsid w:val="00F524C7"/>
    <w:rsid w:val="00F52EF1"/>
    <w:rsid w:val="00F55731"/>
    <w:rsid w:val="00F55EFB"/>
    <w:rsid w:val="00F6631C"/>
    <w:rsid w:val="00F667BC"/>
    <w:rsid w:val="00F72F91"/>
    <w:rsid w:val="00F768A3"/>
    <w:rsid w:val="00F85FD3"/>
    <w:rsid w:val="00F906E5"/>
    <w:rsid w:val="00F9086D"/>
    <w:rsid w:val="00F9292B"/>
    <w:rsid w:val="00FA3BC7"/>
    <w:rsid w:val="00FB10F2"/>
    <w:rsid w:val="00FB47ED"/>
    <w:rsid w:val="00FB4DB6"/>
    <w:rsid w:val="00FB69A8"/>
    <w:rsid w:val="00FB7D2A"/>
    <w:rsid w:val="00FC2818"/>
    <w:rsid w:val="00FC3546"/>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1"/>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2"/>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1"/>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2"/>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 w:id="213131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s://www.covalentcpm.com/lowRes/big_yellow_triangle.pn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https://www.covalentcpm.com/lowRes/big_green_circle.p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dh.gov.uk/en/Publicationsandstatistics/Publications/PublicationsPolicyAndGuidance/DH_113613" TargetMode="External"/><Relationship Id="rId10" Type="http://schemas.openxmlformats.org/officeDocument/2006/relationships/image" Target="cid:image004.jpg@01D1748E.09DDBD8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s://www.covalentcpm.com/lowRes/big_red_octagon.pn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3834</Words>
  <Characters>20131</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23918</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Helen Askham</cp:lastModifiedBy>
  <cp:revision>2</cp:revision>
  <cp:lastPrinted>2011-06-01T15:50:00Z</cp:lastPrinted>
  <dcterms:created xsi:type="dcterms:W3CDTF">2016-03-04T15:09:00Z</dcterms:created>
  <dcterms:modified xsi:type="dcterms:W3CDTF">2016-03-04T15:09:00Z</dcterms:modified>
</cp:coreProperties>
</file>