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bookmarkStart w:id="0" w:name="_GoBack"/>
      <w:bookmarkEnd w:id="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6C7823">
                              <w:rPr>
                                <w:rFonts w:ascii="Calibri" w:hAnsi="Calibri"/>
                                <w:b/>
                                <w:sz w:val="22"/>
                                <w:szCs w:val="22"/>
                              </w:rPr>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6C7823">
                        <w:rPr>
                          <w:rFonts w:ascii="Calibri" w:hAnsi="Calibri"/>
                          <w:b/>
                          <w:sz w:val="22"/>
                          <w:szCs w:val="22"/>
                        </w:rPr>
                        <w:t xml:space="preserve"> 11</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172A75">
                              <w:rPr>
                                <w:rFonts w:ascii="Calibri" w:hAnsi="Calibri"/>
                                <w:sz w:val="22"/>
                                <w:szCs w:val="22"/>
                              </w:rPr>
                              <w:tab/>
                            </w:r>
                            <w:r w:rsidR="00172A75">
                              <w:rPr>
                                <w:rFonts w:ascii="Calibri" w:hAnsi="Calibri"/>
                                <w:sz w:val="22"/>
                                <w:szCs w:val="22"/>
                              </w:rPr>
                              <w:tab/>
                              <w:t>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172A75">
                              <w:rPr>
                                <w:rFonts w:ascii="Calibri" w:hAnsi="Calibri"/>
                                <w:sz w:val="22"/>
                                <w:szCs w:val="22"/>
                              </w:rPr>
                              <w:tab/>
                            </w:r>
                            <w:r w:rsidR="00035AD7">
                              <w:rPr>
                                <w:rFonts w:ascii="Calibri" w:hAnsi="Calibri"/>
                                <w:sz w:val="22"/>
                                <w:szCs w:val="22"/>
                              </w:rPr>
                              <w:t>1</w:t>
                            </w:r>
                            <w:r w:rsidR="00F07AA3">
                              <w:rPr>
                                <w:rFonts w:ascii="Calibri" w:hAnsi="Calibri"/>
                                <w:sz w:val="22"/>
                                <w:szCs w:val="22"/>
                              </w:rPr>
                              <w:t>2</w:t>
                            </w:r>
                            <w:r w:rsidR="00172A75">
                              <w:rPr>
                                <w:rFonts w:ascii="Calibri" w:hAnsi="Calibri"/>
                                <w:sz w:val="22"/>
                                <w:szCs w:val="22"/>
                              </w:rPr>
                              <w:t xml:space="preserve"> </w:t>
                            </w:r>
                            <w:r w:rsidR="00F07AA3">
                              <w:rPr>
                                <w:rFonts w:ascii="Calibri" w:hAnsi="Calibri"/>
                                <w:sz w:val="22"/>
                                <w:szCs w:val="22"/>
                              </w:rPr>
                              <w:t>September</w:t>
                            </w:r>
                            <w:r w:rsidR="00172A75">
                              <w:rPr>
                                <w:rFonts w:ascii="Calibri" w:hAnsi="Calibri"/>
                                <w:sz w:val="22"/>
                                <w:szCs w:val="22"/>
                              </w:rPr>
                              <w:t xml:space="preserve">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172A75">
                              <w:rPr>
                                <w:rFonts w:ascii="Calibri" w:hAnsi="Calibri"/>
                                <w:sz w:val="22"/>
                                <w:szCs w:val="22"/>
                              </w:rPr>
                              <w:tab/>
                            </w:r>
                            <w:r w:rsidR="00172A75">
                              <w:rPr>
                                <w:rFonts w:ascii="Calibri" w:hAnsi="Calibri"/>
                                <w:sz w:val="22"/>
                                <w:szCs w:val="22"/>
                              </w:rPr>
                              <w:tab/>
                            </w:r>
                            <w:r w:rsidR="00172A75">
                              <w:rPr>
                                <w:rFonts w:ascii="Calibri" w:hAnsi="Calibri"/>
                                <w:sz w:val="22"/>
                                <w:szCs w:val="22"/>
                              </w:rPr>
                              <w:tab/>
                              <w:t>Finance Report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172A75">
                              <w:rPr>
                                <w:rFonts w:ascii="Calibri" w:hAnsi="Calibri"/>
                                <w:sz w:val="22"/>
                                <w:szCs w:val="22"/>
                              </w:rPr>
                              <w:tab/>
                            </w:r>
                            <w:r w:rsidR="00172A75">
                              <w:rPr>
                                <w:rFonts w:ascii="Calibri" w:hAnsi="Calibri"/>
                                <w:sz w:val="22"/>
                                <w:szCs w:val="22"/>
                              </w:rPr>
                              <w:tab/>
                              <w:t>Laura Whitton, Chief Finance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172A75">
                        <w:rPr>
                          <w:rFonts w:ascii="Calibri" w:hAnsi="Calibri"/>
                          <w:sz w:val="22"/>
                          <w:szCs w:val="22"/>
                        </w:rPr>
                        <w:tab/>
                      </w:r>
                      <w:r w:rsidR="00172A75">
                        <w:rPr>
                          <w:rFonts w:ascii="Calibri" w:hAnsi="Calibri"/>
                          <w:sz w:val="22"/>
                          <w:szCs w:val="22"/>
                        </w:rPr>
                        <w:tab/>
                        <w:t>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172A75">
                        <w:rPr>
                          <w:rFonts w:ascii="Calibri" w:hAnsi="Calibri"/>
                          <w:sz w:val="22"/>
                          <w:szCs w:val="22"/>
                        </w:rPr>
                        <w:tab/>
                      </w:r>
                      <w:r w:rsidR="00035AD7">
                        <w:rPr>
                          <w:rFonts w:ascii="Calibri" w:hAnsi="Calibri"/>
                          <w:sz w:val="22"/>
                          <w:szCs w:val="22"/>
                        </w:rPr>
                        <w:t>1</w:t>
                      </w:r>
                      <w:r w:rsidR="00F07AA3">
                        <w:rPr>
                          <w:rFonts w:ascii="Calibri" w:hAnsi="Calibri"/>
                          <w:sz w:val="22"/>
                          <w:szCs w:val="22"/>
                        </w:rPr>
                        <w:t>2</w:t>
                      </w:r>
                      <w:r w:rsidR="00172A75">
                        <w:rPr>
                          <w:rFonts w:ascii="Calibri" w:hAnsi="Calibri"/>
                          <w:sz w:val="22"/>
                          <w:szCs w:val="22"/>
                        </w:rPr>
                        <w:t xml:space="preserve"> </w:t>
                      </w:r>
                      <w:r w:rsidR="00F07AA3">
                        <w:rPr>
                          <w:rFonts w:ascii="Calibri" w:hAnsi="Calibri"/>
                          <w:sz w:val="22"/>
                          <w:szCs w:val="22"/>
                        </w:rPr>
                        <w:t>September</w:t>
                      </w:r>
                      <w:r w:rsidR="00172A75">
                        <w:rPr>
                          <w:rFonts w:ascii="Calibri" w:hAnsi="Calibri"/>
                          <w:sz w:val="22"/>
                          <w:szCs w:val="22"/>
                        </w:rPr>
                        <w:t xml:space="preserve">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172A75">
                        <w:rPr>
                          <w:rFonts w:ascii="Calibri" w:hAnsi="Calibri"/>
                          <w:sz w:val="22"/>
                          <w:szCs w:val="22"/>
                        </w:rPr>
                        <w:tab/>
                      </w:r>
                      <w:r w:rsidR="00172A75">
                        <w:rPr>
                          <w:rFonts w:ascii="Calibri" w:hAnsi="Calibri"/>
                          <w:sz w:val="22"/>
                          <w:szCs w:val="22"/>
                        </w:rPr>
                        <w:tab/>
                      </w:r>
                      <w:r w:rsidR="00172A75">
                        <w:rPr>
                          <w:rFonts w:ascii="Calibri" w:hAnsi="Calibri"/>
                          <w:sz w:val="22"/>
                          <w:szCs w:val="22"/>
                        </w:rPr>
                        <w:tab/>
                        <w:t>Finance Report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172A75">
                        <w:rPr>
                          <w:rFonts w:ascii="Calibri" w:hAnsi="Calibri"/>
                          <w:sz w:val="22"/>
                          <w:szCs w:val="22"/>
                        </w:rPr>
                        <w:tab/>
                      </w:r>
                      <w:r w:rsidR="00172A75">
                        <w:rPr>
                          <w:rFonts w:ascii="Calibri" w:hAnsi="Calibri"/>
                          <w:sz w:val="22"/>
                          <w:szCs w:val="22"/>
                        </w:rPr>
                        <w:tab/>
                        <w:t>Laura Whitton, Chief Finance Officer</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DC041C">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3E2DF5">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172A75">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DC041C">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3E2DF5">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172A75">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7035"/>
        <w:gridCol w:w="1973"/>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ED276A">
            <w:pPr>
              <w:pStyle w:val="NoSpacing"/>
              <w:rPr>
                <w:rFonts w:cs="Calibri"/>
                <w:b/>
                <w:sz w:val="20"/>
                <w:szCs w:val="20"/>
              </w:rPr>
            </w:pPr>
          </w:p>
        </w:tc>
        <w:tc>
          <w:tcPr>
            <w:tcW w:w="3817" w:type="pct"/>
            <w:gridSpan w:val="2"/>
            <w:shd w:val="clear" w:color="auto" w:fill="auto"/>
          </w:tcPr>
          <w:p w:rsidR="002054A0" w:rsidRPr="000D1B0D" w:rsidRDefault="00F07AA3" w:rsidP="00F07AA3">
            <w:pPr>
              <w:pStyle w:val="Default"/>
              <w:jc w:val="both"/>
              <w:rPr>
                <w:rFonts w:ascii="Calibri" w:hAnsi="Calibri" w:cs="Calibri"/>
                <w:sz w:val="20"/>
                <w:szCs w:val="20"/>
              </w:rPr>
            </w:pPr>
            <w:r w:rsidRPr="00F07AA3">
              <w:rPr>
                <w:rFonts w:ascii="Calibri" w:hAnsi="Calibri" w:cs="Calibri"/>
                <w:sz w:val="20"/>
                <w:szCs w:val="20"/>
              </w:rPr>
              <w:t>To provide an update on the financial position as at July 2019 and the financial risks that need to be managed in the remainder of the year.</w:t>
            </w: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Default="00BD3456" w:rsidP="000D1B0D">
            <w:pPr>
              <w:pStyle w:val="Default"/>
              <w:jc w:val="both"/>
              <w:rPr>
                <w:rFonts w:ascii="Calibri" w:hAnsi="Calibri" w:cs="Calibri"/>
                <w:sz w:val="20"/>
                <w:szCs w:val="20"/>
              </w:rPr>
            </w:pPr>
            <w:r>
              <w:rPr>
                <w:rFonts w:ascii="Calibri" w:hAnsi="Calibri" w:cs="Calibri"/>
                <w:sz w:val="20"/>
                <w:szCs w:val="20"/>
              </w:rPr>
              <w:t>To note</w:t>
            </w:r>
            <w:r w:rsidR="00B17042">
              <w:rPr>
                <w:rFonts w:ascii="Calibri" w:hAnsi="Calibri" w:cs="Calibri"/>
                <w:sz w:val="20"/>
                <w:szCs w:val="20"/>
              </w:rPr>
              <w:t xml:space="preserve"> the</w:t>
            </w:r>
            <w:r>
              <w:rPr>
                <w:rFonts w:ascii="Calibri" w:hAnsi="Calibri" w:cs="Calibri"/>
                <w:sz w:val="20"/>
                <w:szCs w:val="20"/>
              </w:rPr>
              <w:t>:</w:t>
            </w:r>
          </w:p>
          <w:p w:rsidR="00035AD7" w:rsidRDefault="00F07AA3" w:rsidP="00F07AA3">
            <w:pPr>
              <w:pStyle w:val="Default"/>
              <w:numPr>
                <w:ilvl w:val="0"/>
                <w:numId w:val="7"/>
              </w:numPr>
              <w:jc w:val="both"/>
              <w:rPr>
                <w:rFonts w:ascii="Calibri" w:hAnsi="Calibri" w:cs="Calibri"/>
                <w:sz w:val="20"/>
                <w:szCs w:val="20"/>
              </w:rPr>
            </w:pPr>
            <w:r w:rsidRPr="00F07AA3">
              <w:rPr>
                <w:rFonts w:ascii="Calibri" w:hAnsi="Calibri" w:cs="Calibri"/>
                <w:sz w:val="20"/>
                <w:szCs w:val="20"/>
              </w:rPr>
              <w:t>The financial position as at July 2019</w:t>
            </w:r>
            <w:r w:rsidR="00B17042">
              <w:rPr>
                <w:rFonts w:ascii="Calibri" w:hAnsi="Calibri" w:cs="Calibri"/>
                <w:sz w:val="20"/>
                <w:szCs w:val="20"/>
              </w:rPr>
              <w:t xml:space="preserve">, including the </w:t>
            </w:r>
            <w:r w:rsidR="00B17042" w:rsidRPr="00035AD7">
              <w:rPr>
                <w:rFonts w:ascii="Calibri" w:hAnsi="Calibri" w:cs="Calibri"/>
                <w:sz w:val="20"/>
                <w:szCs w:val="20"/>
              </w:rPr>
              <w:t>QIPP</w:t>
            </w:r>
            <w:r w:rsidR="00B17042">
              <w:rPr>
                <w:rFonts w:ascii="Calibri" w:hAnsi="Calibri" w:cs="Calibri"/>
                <w:sz w:val="20"/>
                <w:szCs w:val="20"/>
              </w:rPr>
              <w:t xml:space="preserve"> position</w:t>
            </w:r>
          </w:p>
          <w:p w:rsidR="009D4EDC" w:rsidRPr="000D1B0D" w:rsidRDefault="00F07AA3" w:rsidP="00F07AA3">
            <w:pPr>
              <w:pStyle w:val="Default"/>
              <w:numPr>
                <w:ilvl w:val="0"/>
                <w:numId w:val="7"/>
              </w:numPr>
              <w:jc w:val="both"/>
              <w:rPr>
                <w:rFonts w:ascii="Calibri" w:hAnsi="Calibri" w:cs="Calibri"/>
                <w:sz w:val="20"/>
                <w:szCs w:val="20"/>
              </w:rPr>
            </w:pPr>
            <w:r w:rsidRPr="00F07AA3">
              <w:rPr>
                <w:rFonts w:ascii="Calibri" w:hAnsi="Calibri" w:cs="Calibri"/>
                <w:sz w:val="20"/>
                <w:szCs w:val="20"/>
              </w:rPr>
              <w:t>The financial risks that need to be managed in the remainder of the year and the actions being taken to mitigate them.</w:t>
            </w:r>
          </w:p>
        </w:tc>
      </w:tr>
      <w:tr w:rsidR="009D4EDC" w:rsidRPr="000D1B0D" w:rsidTr="00144ED4">
        <w:tc>
          <w:tcPr>
            <w:tcW w:w="1183" w:type="pct"/>
            <w:shd w:val="clear" w:color="auto" w:fill="auto"/>
          </w:tcPr>
          <w:p w:rsidR="009D4EDC" w:rsidRPr="00046B77" w:rsidRDefault="00711DA9" w:rsidP="00F07AA3">
            <w:pPr>
              <w:pStyle w:val="Default"/>
              <w:rPr>
                <w:rFonts w:ascii="Calibri" w:hAnsi="Calibri" w:cs="Calibri"/>
                <w:i/>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tc>
        <w:tc>
          <w:tcPr>
            <w:tcW w:w="3817" w:type="pct"/>
            <w:gridSpan w:val="2"/>
            <w:shd w:val="clear" w:color="auto" w:fill="auto"/>
          </w:tcPr>
          <w:p w:rsidR="00144ED4" w:rsidRPr="000D1B0D" w:rsidRDefault="00BD3456" w:rsidP="00F07AA3">
            <w:pPr>
              <w:pStyle w:val="Default"/>
              <w:jc w:val="both"/>
              <w:rPr>
                <w:rFonts w:ascii="Calibri" w:hAnsi="Calibri" w:cs="Calibri"/>
                <w:sz w:val="20"/>
                <w:szCs w:val="20"/>
              </w:rPr>
            </w:pPr>
            <w:r>
              <w:rPr>
                <w:rFonts w:ascii="Calibri" w:hAnsi="Calibri" w:cs="Calibri"/>
                <w:sz w:val="20"/>
                <w:szCs w:val="20"/>
              </w:rPr>
              <w:t xml:space="preserve">A more detailed version of </w:t>
            </w:r>
            <w:r w:rsidR="0001061C">
              <w:rPr>
                <w:rFonts w:ascii="Calibri" w:hAnsi="Calibri" w:cs="Calibri"/>
                <w:sz w:val="20"/>
                <w:szCs w:val="20"/>
              </w:rPr>
              <w:t xml:space="preserve">the </w:t>
            </w:r>
            <w:r w:rsidR="00F07AA3">
              <w:rPr>
                <w:rFonts w:ascii="Calibri" w:hAnsi="Calibri" w:cs="Calibri"/>
                <w:sz w:val="20"/>
                <w:szCs w:val="20"/>
              </w:rPr>
              <w:t xml:space="preserve">financial </w:t>
            </w:r>
            <w:r w:rsidR="0001061C">
              <w:rPr>
                <w:rFonts w:ascii="Calibri" w:hAnsi="Calibri" w:cs="Calibri"/>
                <w:sz w:val="20"/>
                <w:szCs w:val="20"/>
              </w:rPr>
              <w:t>position</w:t>
            </w:r>
            <w:r>
              <w:rPr>
                <w:rFonts w:ascii="Calibri" w:hAnsi="Calibri" w:cs="Calibri"/>
                <w:sz w:val="20"/>
                <w:szCs w:val="20"/>
              </w:rPr>
              <w:t xml:space="preserve"> was taken to and discussed at the Delivery Assurance Committee on the</w:t>
            </w:r>
            <w:r w:rsidR="00DB2A0C">
              <w:rPr>
                <w:rFonts w:ascii="Calibri" w:hAnsi="Calibri" w:cs="Calibri"/>
                <w:sz w:val="20"/>
                <w:szCs w:val="20"/>
              </w:rPr>
              <w:t xml:space="preserve"> 4</w:t>
            </w:r>
            <w:r w:rsidRPr="00BD3456">
              <w:rPr>
                <w:rFonts w:ascii="Calibri" w:hAnsi="Calibri" w:cs="Calibri"/>
                <w:sz w:val="20"/>
                <w:szCs w:val="20"/>
                <w:vertAlign w:val="superscript"/>
              </w:rPr>
              <w:t>th</w:t>
            </w:r>
            <w:r>
              <w:rPr>
                <w:rFonts w:ascii="Calibri" w:hAnsi="Calibri" w:cs="Calibri"/>
                <w:sz w:val="20"/>
                <w:szCs w:val="20"/>
              </w:rPr>
              <w:t xml:space="preserve"> </w:t>
            </w:r>
            <w:r w:rsidR="00F07AA3">
              <w:rPr>
                <w:rFonts w:ascii="Calibri" w:hAnsi="Calibri" w:cs="Calibri"/>
                <w:sz w:val="20"/>
                <w:szCs w:val="20"/>
              </w:rPr>
              <w:t>September</w:t>
            </w:r>
            <w:r>
              <w:rPr>
                <w:rFonts w:ascii="Calibri" w:hAnsi="Calibri" w:cs="Calibri"/>
                <w:sz w:val="20"/>
                <w:szCs w:val="20"/>
              </w:rPr>
              <w:t xml:space="preserve"> 2019.</w:t>
            </w:r>
            <w:r w:rsidR="00763B57">
              <w:rPr>
                <w:rFonts w:ascii="Calibri" w:hAnsi="Calibri" w:cs="Calibri"/>
                <w:sz w:val="20"/>
                <w:szCs w:val="20"/>
              </w:rPr>
              <w:t xml:space="preserve"> </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193053" w:rsidRDefault="00193053" w:rsidP="00763B57">
            <w:pPr>
              <w:pStyle w:val="Default"/>
              <w:jc w:val="both"/>
              <w:rPr>
                <w:rFonts w:ascii="Calibri" w:hAnsi="Calibri" w:cs="Calibri"/>
                <w:sz w:val="20"/>
                <w:szCs w:val="20"/>
              </w:rPr>
            </w:pPr>
            <w:r w:rsidRPr="00193053">
              <w:rPr>
                <w:rFonts w:ascii="Calibri" w:hAnsi="Calibri" w:cs="Calibri"/>
                <w:sz w:val="20"/>
                <w:szCs w:val="20"/>
              </w:rPr>
              <w:t xml:space="preserve">CCG-BAF.3005 Instability in partnership finances or services/costs leads to unaffordable consequences for the CCG  within the current year </w:t>
            </w:r>
          </w:p>
          <w:p w:rsidR="00144ED4" w:rsidRPr="000D1B0D" w:rsidRDefault="00ED276A" w:rsidP="00763B57">
            <w:pPr>
              <w:pStyle w:val="Default"/>
              <w:jc w:val="both"/>
              <w:rPr>
                <w:rFonts w:ascii="Calibri" w:hAnsi="Calibri" w:cs="Calibri"/>
                <w:sz w:val="20"/>
                <w:szCs w:val="20"/>
              </w:rPr>
            </w:pPr>
            <w:r w:rsidRPr="0063469B">
              <w:rPr>
                <w:rFonts w:ascii="Calibri" w:hAnsi="Calibri" w:cs="Calibri"/>
                <w:sz w:val="20"/>
                <w:szCs w:val="20"/>
              </w:rPr>
              <w:t xml:space="preserve">The risk associated with the deliverability of the </w:t>
            </w:r>
            <w:r w:rsidR="00763B57">
              <w:rPr>
                <w:rFonts w:ascii="Calibri" w:hAnsi="Calibri" w:cs="Calibri"/>
                <w:sz w:val="20"/>
                <w:szCs w:val="20"/>
              </w:rPr>
              <w:t xml:space="preserve">system wide </w:t>
            </w:r>
            <w:r w:rsidRPr="0063469B">
              <w:rPr>
                <w:rFonts w:ascii="Calibri" w:hAnsi="Calibri" w:cs="Calibri"/>
                <w:sz w:val="20"/>
                <w:szCs w:val="20"/>
              </w:rPr>
              <w:t>QIPP schemes is included on the CCGs risk register</w:t>
            </w: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054A0" w:rsidRPr="000D1B0D" w:rsidRDefault="00BD3456" w:rsidP="000D1B0D">
            <w:pPr>
              <w:pStyle w:val="Default"/>
              <w:jc w:val="both"/>
              <w:rPr>
                <w:rFonts w:ascii="Calibri" w:hAnsi="Calibri" w:cs="Calibri"/>
                <w:sz w:val="20"/>
                <w:szCs w:val="20"/>
              </w:rPr>
            </w:pPr>
            <w:r>
              <w:rPr>
                <w:rFonts w:ascii="Calibri" w:hAnsi="Calibri" w:cs="Calibri"/>
                <w:sz w:val="20"/>
                <w:szCs w:val="20"/>
              </w:rPr>
              <w:t>None</w:t>
            </w:r>
          </w:p>
        </w:tc>
      </w:tr>
      <w:tr w:rsidR="00ED276A"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Are you implementing a new system, data sharing arrangement, project, service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BD3456" w:rsidP="00AB4FF6">
                <w:pPr>
                  <w:pStyle w:val="Default"/>
                  <w:rPr>
                    <w:rFonts w:ascii="Calibri" w:hAnsi="Calibri" w:cs="Calibri"/>
                    <w:b/>
                    <w:sz w:val="20"/>
                    <w:szCs w:val="20"/>
                  </w:rPr>
                </w:pPr>
                <w:r>
                  <w:rPr>
                    <w:rFonts w:ascii="Calibri" w:hAnsi="Calibri" w:cs="Calibri"/>
                    <w:b/>
                    <w:sz w:val="20"/>
                    <w:szCs w:val="20"/>
                  </w:rPr>
                  <w:t>No</w:t>
                </w:r>
              </w:p>
            </w:tc>
          </w:sdtContent>
        </w:sdt>
      </w:tr>
      <w:tr w:rsidR="00ED276A"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tc>
          <w:tcPr>
            <w:tcW w:w="851" w:type="pct"/>
            <w:shd w:val="clear" w:color="auto" w:fill="auto"/>
          </w:tcPr>
          <w:p w:rsidR="002C32CC" w:rsidRPr="00AB4FF6" w:rsidRDefault="002C32CC" w:rsidP="00AB4FF6">
            <w:pPr>
              <w:pStyle w:val="Default"/>
              <w:rPr>
                <w:rFonts w:ascii="Calibri" w:hAnsi="Calibri" w:cs="Calibri"/>
                <w:b/>
                <w:sz w:val="20"/>
                <w:szCs w:val="20"/>
              </w:rPr>
            </w:pPr>
          </w:p>
        </w:tc>
      </w:tr>
      <w:tr w:rsidR="00ED276A"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p>
        </w:tc>
        <w:sdt>
          <w:sdtPr>
            <w:rPr>
              <w:rFonts w:ascii="Calibri" w:hAnsi="Calibri" w:cs="Calibri"/>
              <w:b/>
              <w:sz w:val="20"/>
              <w:szCs w:val="20"/>
            </w:rPr>
            <w:alias w:val="Auto check"/>
            <w:tag w:val="Auto check"/>
            <w:id w:val="-1097321276"/>
            <w:placeholder>
              <w:docPart w:val="C4AB961EECCF4A3AA4054559838E24CC"/>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BD3456" w:rsidP="00AB4FF6">
                <w:pPr>
                  <w:pStyle w:val="Default"/>
                  <w:rPr>
                    <w:rFonts w:ascii="Calibri" w:hAnsi="Calibri" w:cs="Calibri"/>
                    <w:b/>
                    <w:sz w:val="20"/>
                    <w:szCs w:val="20"/>
                  </w:rPr>
                </w:pPr>
                <w:r>
                  <w:rPr>
                    <w:rFonts w:ascii="Calibri" w:hAnsi="Calibri" w:cs="Calibri"/>
                    <w:b/>
                    <w:sz w:val="20"/>
                    <w:szCs w:val="20"/>
                  </w:rPr>
                  <w:t>No</w:t>
                </w:r>
              </w:p>
            </w:tc>
          </w:sdtContent>
        </w:sdt>
      </w:tr>
      <w:tr w:rsidR="00ED276A"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tc>
          <w:tcPr>
            <w:tcW w:w="851" w:type="pct"/>
            <w:shd w:val="clear" w:color="auto" w:fill="auto"/>
          </w:tcPr>
          <w:p w:rsidR="002C32CC" w:rsidRPr="00AB4FF6" w:rsidRDefault="002C32CC" w:rsidP="00AB4FF6">
            <w:pPr>
              <w:pStyle w:val="Default"/>
              <w:rPr>
                <w:rFonts w:ascii="Calibri" w:hAnsi="Calibri" w:cs="Calibri"/>
                <w:b/>
                <w:sz w:val="20"/>
                <w:szCs w:val="20"/>
              </w:rPr>
            </w:pPr>
          </w:p>
        </w:tc>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AB645B" w:rsidRDefault="00AB645B" w:rsidP="00E73B61">
            <w:pPr>
              <w:pStyle w:val="Default"/>
              <w:jc w:val="both"/>
              <w:rPr>
                <w:rFonts w:ascii="Calibri" w:hAnsi="Calibri" w:cs="Calibri"/>
                <w:sz w:val="20"/>
                <w:szCs w:val="20"/>
              </w:rPr>
            </w:pP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BD3456">
                  <w:rPr>
                    <w:rFonts w:ascii="MS Gothic" w:eastAsia="MS Gothic" w:hAnsi="MS Gothic" w:cs="Calibri" w:hint="eastAsia"/>
                    <w:sz w:val="20"/>
                    <w:szCs w:val="20"/>
                  </w:rPr>
                  <w:t>☒</w:t>
                </w:r>
              </w:sdtContent>
            </w:sdt>
          </w:p>
          <w:p w:rsidR="00AB645B" w:rsidRPr="00AB645B" w:rsidRDefault="00AB645B" w:rsidP="00E73B61">
            <w:pPr>
              <w:pStyle w:val="Default"/>
              <w:jc w:val="both"/>
              <w:rPr>
                <w:rFonts w:ascii="Calibri" w:hAnsi="Calibri" w:cs="Calibri"/>
                <w:sz w:val="20"/>
                <w:szCs w:val="20"/>
              </w:rPr>
            </w:pPr>
          </w:p>
        </w:tc>
      </w:tr>
      <w:tr w:rsidR="00473CC5" w:rsidRPr="000D1B0D" w:rsidTr="007B59A2">
        <w:trPr>
          <w:trHeight w:val="567"/>
        </w:trPr>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Default="00473CC5" w:rsidP="009D4EDC">
            <w:pPr>
              <w:pStyle w:val="Default"/>
              <w:rPr>
                <w:rFonts w:ascii="Calibri" w:hAnsi="Calibri" w:cs="Calibri"/>
                <w:i/>
                <w:sz w:val="20"/>
                <w:szCs w:val="20"/>
              </w:rPr>
            </w:pPr>
          </w:p>
          <w:p w:rsidR="004F635B" w:rsidRPr="00F300A1" w:rsidRDefault="004F635B" w:rsidP="009D4EDC">
            <w:pPr>
              <w:pStyle w:val="Default"/>
              <w:rPr>
                <w:rFonts w:ascii="Calibri" w:hAnsi="Calibri" w:cs="Calibri"/>
                <w:i/>
                <w:sz w:val="20"/>
                <w:szCs w:val="20"/>
              </w:rPr>
            </w:pPr>
          </w:p>
        </w:tc>
        <w:tc>
          <w:tcPr>
            <w:tcW w:w="3817" w:type="pct"/>
            <w:gridSpan w:val="2"/>
            <w:shd w:val="clear" w:color="auto" w:fill="auto"/>
          </w:tcPr>
          <w:p w:rsidR="00C3728B" w:rsidRDefault="00C3728B" w:rsidP="000D1B0D">
            <w:pPr>
              <w:pStyle w:val="Default"/>
              <w:jc w:val="both"/>
              <w:rPr>
                <w:rFonts w:ascii="Calibri" w:hAnsi="Calibri" w:cs="Calibri"/>
                <w:sz w:val="20"/>
                <w:szCs w:val="20"/>
              </w:rPr>
            </w:pPr>
          </w:p>
          <w:p w:rsidR="00603475" w:rsidRDefault="00603475" w:rsidP="00603475">
            <w:pPr>
              <w:jc w:val="both"/>
              <w:rPr>
                <w:rFonts w:asciiTheme="minorHAnsi" w:hAnsiTheme="minorHAnsi" w:cs="Arial"/>
                <w:color w:val="000000"/>
                <w:sz w:val="20"/>
                <w:lang w:eastAsia="en-GB"/>
              </w:rPr>
            </w:pPr>
            <w:r>
              <w:rPr>
                <w:rFonts w:asciiTheme="minorHAnsi" w:hAnsiTheme="minorHAnsi" w:cs="Arial"/>
                <w:color w:val="000000"/>
                <w:sz w:val="20"/>
                <w:lang w:eastAsia="en-GB"/>
              </w:rPr>
              <w:t>As at month 4 t</w:t>
            </w:r>
            <w:r w:rsidRPr="00B01F1C">
              <w:rPr>
                <w:rFonts w:asciiTheme="minorHAnsi" w:hAnsiTheme="minorHAnsi" w:cs="Arial"/>
                <w:color w:val="000000"/>
                <w:sz w:val="20"/>
                <w:lang w:eastAsia="en-GB"/>
              </w:rPr>
              <w:t>he CCG is on track to achieve both its planned operating position (Health £nil (break-even) + ASC £nil (break-even)) and its N</w:t>
            </w:r>
            <w:r>
              <w:rPr>
                <w:rFonts w:asciiTheme="minorHAnsi" w:hAnsiTheme="minorHAnsi" w:cs="Arial"/>
                <w:color w:val="000000"/>
                <w:sz w:val="20"/>
                <w:lang w:eastAsia="en-GB"/>
              </w:rPr>
              <w:t xml:space="preserve">HSE/I Mandated Surplus (£8,147k). </w:t>
            </w:r>
          </w:p>
          <w:p w:rsidR="00603475" w:rsidRDefault="00603475" w:rsidP="000D1B0D">
            <w:pPr>
              <w:pStyle w:val="Default"/>
              <w:jc w:val="both"/>
              <w:rPr>
                <w:rFonts w:ascii="Calibri" w:hAnsi="Calibri" w:cs="Calibri"/>
                <w:sz w:val="20"/>
                <w:szCs w:val="20"/>
              </w:rPr>
            </w:pPr>
          </w:p>
          <w:p w:rsidR="00603475" w:rsidRDefault="00603475" w:rsidP="000D1B0D">
            <w:pPr>
              <w:pStyle w:val="Default"/>
              <w:jc w:val="both"/>
              <w:rPr>
                <w:rFonts w:ascii="Calibri" w:hAnsi="Calibri" w:cs="Calibri"/>
                <w:sz w:val="20"/>
                <w:szCs w:val="20"/>
              </w:rPr>
            </w:pPr>
            <w:r>
              <w:rPr>
                <w:rFonts w:ascii="Calibri" w:hAnsi="Calibri" w:cs="Calibri"/>
                <w:sz w:val="20"/>
                <w:szCs w:val="20"/>
              </w:rPr>
              <w:t>The table below shows the CCGs performance against each of its key indicators.</w:t>
            </w:r>
          </w:p>
          <w:p w:rsidR="00603475" w:rsidRDefault="00603475" w:rsidP="000D1B0D">
            <w:pPr>
              <w:pStyle w:val="Default"/>
              <w:jc w:val="both"/>
              <w:rPr>
                <w:rFonts w:ascii="Calibri" w:hAnsi="Calibri" w:cs="Calibri"/>
                <w:sz w:val="20"/>
                <w:szCs w:val="20"/>
              </w:rPr>
            </w:pPr>
          </w:p>
          <w:p w:rsidR="00603475" w:rsidRDefault="00603475" w:rsidP="000D1B0D">
            <w:pPr>
              <w:pStyle w:val="Default"/>
              <w:jc w:val="both"/>
              <w:rPr>
                <w:rFonts w:ascii="Calibri" w:hAnsi="Calibri" w:cs="Calibri"/>
                <w:sz w:val="20"/>
                <w:szCs w:val="20"/>
              </w:rPr>
            </w:pPr>
          </w:p>
          <w:p w:rsidR="00603475" w:rsidRPr="00C3728B" w:rsidRDefault="00603475" w:rsidP="000D1B0D">
            <w:pPr>
              <w:pStyle w:val="Default"/>
              <w:jc w:val="both"/>
              <w:rPr>
                <w:rFonts w:ascii="Calibri" w:hAnsi="Calibri" w:cs="Calibri"/>
                <w:sz w:val="20"/>
                <w:szCs w:val="20"/>
              </w:rPr>
            </w:pPr>
          </w:p>
          <w:tbl>
            <w:tblPr>
              <w:tblW w:w="8289" w:type="dxa"/>
              <w:tblLook w:val="04A0" w:firstRow="1" w:lastRow="0" w:firstColumn="1" w:lastColumn="0" w:noHBand="0" w:noVBand="1"/>
            </w:tblPr>
            <w:tblGrid>
              <w:gridCol w:w="4244"/>
              <w:gridCol w:w="1399"/>
              <w:gridCol w:w="1361"/>
              <w:gridCol w:w="1002"/>
              <w:gridCol w:w="283"/>
            </w:tblGrid>
            <w:tr w:rsidR="00DB2A0C" w:rsidRPr="00D37168" w:rsidTr="00DB2A0C">
              <w:trPr>
                <w:trHeight w:val="825"/>
              </w:trPr>
              <w:tc>
                <w:tcPr>
                  <w:tcW w:w="4244" w:type="dxa"/>
                  <w:tcBorders>
                    <w:top w:val="single" w:sz="4" w:space="0" w:color="auto"/>
                    <w:left w:val="single" w:sz="4" w:space="0" w:color="auto"/>
                    <w:bottom w:val="single" w:sz="4" w:space="0" w:color="auto"/>
                    <w:right w:val="nil"/>
                  </w:tcBorders>
                  <w:shd w:val="clear" w:color="auto" w:fill="auto"/>
                  <w:noWrap/>
                  <w:vAlign w:val="center"/>
                  <w:hideMark/>
                </w:tcPr>
                <w:p w:rsidR="00DB2A0C" w:rsidRPr="00D37168" w:rsidRDefault="00DB2A0C" w:rsidP="00C3728B">
                  <w:pPr>
                    <w:rPr>
                      <w:rFonts w:asciiTheme="minorHAnsi" w:hAnsiTheme="minorHAnsi" w:cs="Arial"/>
                      <w:b/>
                      <w:bCs/>
                      <w:color w:val="000000"/>
                      <w:sz w:val="20"/>
                      <w:lang w:eastAsia="en-GB"/>
                    </w:rPr>
                  </w:pPr>
                  <w:r w:rsidRPr="00D37168">
                    <w:rPr>
                      <w:rFonts w:asciiTheme="minorHAnsi" w:hAnsiTheme="minorHAnsi" w:cs="Arial"/>
                      <w:b/>
                      <w:bCs/>
                      <w:color w:val="000000"/>
                      <w:sz w:val="20"/>
                      <w:lang w:eastAsia="en-GB"/>
                    </w:rPr>
                    <w:t xml:space="preserve">Key Performance Indicators </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b/>
                      <w:bCs/>
                      <w:color w:val="000000"/>
                      <w:sz w:val="20"/>
                      <w:lang w:eastAsia="en-GB"/>
                    </w:rPr>
                  </w:pPr>
                  <w:r w:rsidRPr="00D37168">
                    <w:rPr>
                      <w:rFonts w:asciiTheme="minorHAnsi" w:hAnsiTheme="minorHAnsi" w:cs="Arial"/>
                      <w:b/>
                      <w:bCs/>
                      <w:color w:val="000000"/>
                      <w:sz w:val="20"/>
                      <w:lang w:eastAsia="en-GB"/>
                    </w:rPr>
                    <w:t>Classification</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b/>
                      <w:bCs/>
                      <w:color w:val="000000"/>
                      <w:sz w:val="20"/>
                      <w:lang w:eastAsia="en-GB"/>
                    </w:rPr>
                  </w:pPr>
                  <w:r w:rsidRPr="00D37168">
                    <w:rPr>
                      <w:rFonts w:asciiTheme="minorHAnsi" w:hAnsiTheme="minorHAnsi" w:cs="Arial"/>
                      <w:b/>
                      <w:bCs/>
                      <w:color w:val="000000"/>
                      <w:sz w:val="20"/>
                      <w:lang w:eastAsia="en-GB"/>
                    </w:rPr>
                    <w:t xml:space="preserve">Table </w:t>
                  </w:r>
                </w:p>
              </w:tc>
              <w:tc>
                <w:tcPr>
                  <w:tcW w:w="12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B2A0C" w:rsidRPr="00D37168" w:rsidRDefault="00DB2A0C" w:rsidP="00D37168">
                  <w:pPr>
                    <w:jc w:val="center"/>
                    <w:rPr>
                      <w:rFonts w:asciiTheme="minorHAnsi" w:hAnsiTheme="minorHAnsi" w:cs="Arial"/>
                      <w:b/>
                      <w:bCs/>
                      <w:color w:val="000000"/>
                      <w:sz w:val="20"/>
                      <w:lang w:eastAsia="en-GB"/>
                    </w:rPr>
                  </w:pPr>
                  <w:r w:rsidRPr="00D37168">
                    <w:rPr>
                      <w:rFonts w:asciiTheme="minorHAnsi" w:hAnsiTheme="minorHAnsi" w:cs="Arial"/>
                      <w:b/>
                      <w:bCs/>
                      <w:color w:val="000000"/>
                      <w:sz w:val="20"/>
                      <w:lang w:eastAsia="en-GB"/>
                    </w:rPr>
                    <w:t>Outturn</w:t>
                  </w:r>
                </w:p>
              </w:tc>
            </w:tr>
            <w:tr w:rsidR="00DB2A0C" w:rsidRPr="00D37168" w:rsidTr="00DE3799">
              <w:trPr>
                <w:trHeight w:val="607"/>
              </w:trPr>
              <w:tc>
                <w:tcPr>
                  <w:tcW w:w="4244" w:type="dxa"/>
                  <w:tcBorders>
                    <w:top w:val="nil"/>
                    <w:left w:val="single" w:sz="4" w:space="0" w:color="auto"/>
                    <w:bottom w:val="nil"/>
                    <w:right w:val="nil"/>
                  </w:tcBorders>
                  <w:shd w:val="clear" w:color="auto" w:fill="auto"/>
                  <w:noWrap/>
                  <w:vAlign w:val="center"/>
                  <w:hideMark/>
                </w:tcPr>
                <w:p w:rsidR="00DB2A0C" w:rsidRPr="00D37168" w:rsidRDefault="00DB2A0C"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NHS Operating Position (Plan = breakeven)</w:t>
                  </w:r>
                </w:p>
              </w:tc>
              <w:tc>
                <w:tcPr>
                  <w:tcW w:w="1399" w:type="dxa"/>
                  <w:tcBorders>
                    <w:top w:val="nil"/>
                    <w:left w:val="single" w:sz="4" w:space="0" w:color="auto"/>
                    <w:bottom w:val="nil"/>
                    <w:right w:val="single" w:sz="4" w:space="0" w:color="auto"/>
                  </w:tcBorders>
                  <w:shd w:val="clear" w:color="auto" w:fill="auto"/>
                  <w:noWrap/>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Operational</w:t>
                  </w:r>
                </w:p>
              </w:tc>
              <w:tc>
                <w:tcPr>
                  <w:tcW w:w="1361" w:type="dxa"/>
                  <w:tcBorders>
                    <w:top w:val="nil"/>
                    <w:left w:val="nil"/>
                    <w:bottom w:val="nil"/>
                    <w:right w:val="single" w:sz="4" w:space="0" w:color="auto"/>
                  </w:tcBorders>
                  <w:shd w:val="clear" w:color="auto" w:fill="auto"/>
                  <w:noWrap/>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1</w:t>
                  </w:r>
                </w:p>
              </w:tc>
              <w:tc>
                <w:tcPr>
                  <w:tcW w:w="1002" w:type="dxa"/>
                  <w:tcBorders>
                    <w:top w:val="nil"/>
                    <w:left w:val="nil"/>
                    <w:bottom w:val="nil"/>
                    <w:right w:val="nil"/>
                  </w:tcBorders>
                  <w:shd w:val="clear" w:color="auto" w:fill="auto"/>
                  <w:noWrap/>
                  <w:vAlign w:val="center"/>
                  <w:hideMark/>
                </w:tcPr>
                <w:p w:rsidR="00DB2A0C" w:rsidRPr="00D37168" w:rsidRDefault="00DB2A0C"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283" w:type="dxa"/>
                  <w:tcBorders>
                    <w:top w:val="single" w:sz="4" w:space="0" w:color="auto"/>
                    <w:left w:val="nil"/>
                    <w:bottom w:val="nil"/>
                    <w:right w:val="single" w:sz="4" w:space="0" w:color="auto"/>
                  </w:tcBorders>
                  <w:shd w:val="clear" w:color="auto" w:fill="auto"/>
                  <w:noWrap/>
                  <w:vAlign w:val="center"/>
                  <w:hideMark/>
                </w:tcPr>
                <w:p w:rsidR="00DB2A0C" w:rsidRPr="00D37168" w:rsidRDefault="00DB2A0C"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r w:rsidR="00DB2A0C" w:rsidRPr="00D37168" w:rsidTr="00DE3799">
              <w:trPr>
                <w:trHeight w:val="427"/>
              </w:trPr>
              <w:tc>
                <w:tcPr>
                  <w:tcW w:w="4244" w:type="dxa"/>
                  <w:tcBorders>
                    <w:top w:val="nil"/>
                    <w:left w:val="single" w:sz="4" w:space="0" w:color="auto"/>
                    <w:bottom w:val="nil"/>
                    <w:right w:val="single" w:sz="4" w:space="0" w:color="000000"/>
                  </w:tcBorders>
                  <w:shd w:val="clear" w:color="auto" w:fill="auto"/>
                  <w:vAlign w:val="center"/>
                  <w:hideMark/>
                </w:tcPr>
                <w:p w:rsidR="00DB2A0C" w:rsidRPr="00D37168" w:rsidRDefault="00DB2A0C"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Adult Social Care (ASC) Partnership Agreement (Plan = breakeven)</w:t>
                  </w:r>
                </w:p>
              </w:tc>
              <w:tc>
                <w:tcPr>
                  <w:tcW w:w="1399" w:type="dxa"/>
                  <w:tcBorders>
                    <w:top w:val="nil"/>
                    <w:left w:val="nil"/>
                    <w:bottom w:val="nil"/>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Operational</w:t>
                  </w:r>
                </w:p>
              </w:tc>
              <w:tc>
                <w:tcPr>
                  <w:tcW w:w="1361" w:type="dxa"/>
                  <w:tcBorders>
                    <w:top w:val="nil"/>
                    <w:left w:val="nil"/>
                    <w:bottom w:val="nil"/>
                    <w:right w:val="single" w:sz="4" w:space="0" w:color="auto"/>
                  </w:tcBorders>
                  <w:shd w:val="clear" w:color="auto" w:fill="auto"/>
                  <w:vAlign w:val="center"/>
                  <w:hideMark/>
                </w:tcPr>
                <w:p w:rsidR="00DB2A0C" w:rsidRPr="00D37168" w:rsidRDefault="00DB2A0C" w:rsidP="00DB2A0C">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1</w:t>
                  </w:r>
                </w:p>
              </w:tc>
              <w:tc>
                <w:tcPr>
                  <w:tcW w:w="1002" w:type="dxa"/>
                  <w:tcBorders>
                    <w:top w:val="nil"/>
                    <w:left w:val="nil"/>
                    <w:bottom w:val="nil"/>
                    <w:right w:val="nil"/>
                  </w:tcBorders>
                  <w:shd w:val="clear" w:color="auto" w:fill="auto"/>
                  <w:noWrap/>
                  <w:vAlign w:val="center"/>
                  <w:hideMark/>
                </w:tcPr>
                <w:p w:rsidR="00DB2A0C" w:rsidRPr="00D37168" w:rsidRDefault="00DB2A0C"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283" w:type="dxa"/>
                  <w:tcBorders>
                    <w:top w:val="nil"/>
                    <w:left w:val="nil"/>
                    <w:bottom w:val="nil"/>
                    <w:right w:val="single" w:sz="4" w:space="0" w:color="auto"/>
                  </w:tcBorders>
                  <w:shd w:val="clear" w:color="auto" w:fill="auto"/>
                  <w:noWrap/>
                  <w:vAlign w:val="center"/>
                  <w:hideMark/>
                </w:tcPr>
                <w:p w:rsidR="00DB2A0C" w:rsidRPr="00D37168" w:rsidRDefault="00DB2A0C"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r w:rsidR="00DB2A0C" w:rsidRPr="00D37168" w:rsidTr="00DE3799">
              <w:trPr>
                <w:trHeight w:val="788"/>
              </w:trPr>
              <w:tc>
                <w:tcPr>
                  <w:tcW w:w="4244" w:type="dxa"/>
                  <w:tcBorders>
                    <w:top w:val="nil"/>
                    <w:left w:val="single" w:sz="4" w:space="0" w:color="auto"/>
                    <w:bottom w:val="nil"/>
                    <w:right w:val="single" w:sz="4" w:space="0" w:color="000000"/>
                  </w:tcBorders>
                  <w:shd w:val="clear" w:color="auto" w:fill="auto"/>
                  <w:vAlign w:val="center"/>
                  <w:hideMark/>
                </w:tcPr>
                <w:p w:rsidR="00DB2A0C" w:rsidRPr="00D37168" w:rsidRDefault="00DB2A0C"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NHSE Mandated Surplus (Reported surplus = £8.147m surplus</w:t>
                  </w:r>
                </w:p>
              </w:tc>
              <w:tc>
                <w:tcPr>
                  <w:tcW w:w="1399" w:type="dxa"/>
                  <w:tcBorders>
                    <w:top w:val="nil"/>
                    <w:left w:val="nil"/>
                    <w:bottom w:val="nil"/>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Statutory</w:t>
                  </w:r>
                </w:p>
              </w:tc>
              <w:tc>
                <w:tcPr>
                  <w:tcW w:w="1361" w:type="dxa"/>
                  <w:tcBorders>
                    <w:top w:val="nil"/>
                    <w:left w:val="nil"/>
                    <w:bottom w:val="nil"/>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1</w:t>
                  </w:r>
                </w:p>
              </w:tc>
              <w:tc>
                <w:tcPr>
                  <w:tcW w:w="1002" w:type="dxa"/>
                  <w:tcBorders>
                    <w:top w:val="nil"/>
                    <w:left w:val="nil"/>
                    <w:bottom w:val="nil"/>
                    <w:right w:val="nil"/>
                  </w:tcBorders>
                  <w:shd w:val="clear" w:color="auto" w:fill="auto"/>
                  <w:noWrap/>
                  <w:vAlign w:val="center"/>
                  <w:hideMark/>
                </w:tcPr>
                <w:p w:rsidR="00DB2A0C" w:rsidRPr="00D37168" w:rsidRDefault="00DB2A0C"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283" w:type="dxa"/>
                  <w:tcBorders>
                    <w:top w:val="nil"/>
                    <w:left w:val="nil"/>
                    <w:bottom w:val="nil"/>
                    <w:right w:val="single" w:sz="4" w:space="0" w:color="auto"/>
                  </w:tcBorders>
                  <w:shd w:val="clear" w:color="auto" w:fill="auto"/>
                  <w:noWrap/>
                  <w:vAlign w:val="center"/>
                  <w:hideMark/>
                </w:tcPr>
                <w:p w:rsidR="00DB2A0C" w:rsidRPr="00D37168" w:rsidRDefault="00DB2A0C"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r w:rsidR="00DB2A0C" w:rsidRPr="00D37168" w:rsidTr="00DE3799">
              <w:trPr>
                <w:trHeight w:val="431"/>
              </w:trPr>
              <w:tc>
                <w:tcPr>
                  <w:tcW w:w="4244" w:type="dxa"/>
                  <w:tcBorders>
                    <w:top w:val="nil"/>
                    <w:left w:val="single" w:sz="4" w:space="0" w:color="auto"/>
                    <w:bottom w:val="nil"/>
                    <w:right w:val="single" w:sz="4" w:space="0" w:color="000000"/>
                  </w:tcBorders>
                  <w:shd w:val="clear" w:color="auto" w:fill="auto"/>
                  <w:vAlign w:val="center"/>
                  <w:hideMark/>
                </w:tcPr>
                <w:p w:rsidR="00DB2A0C" w:rsidRDefault="00DB2A0C"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Capital resource use does not exceed the amount specified in Directions</w:t>
                  </w:r>
                </w:p>
                <w:p w:rsidR="00B01F1C" w:rsidRPr="00D37168" w:rsidRDefault="00B01F1C" w:rsidP="00D37168">
                  <w:pPr>
                    <w:rPr>
                      <w:rFonts w:asciiTheme="minorHAnsi" w:hAnsiTheme="minorHAnsi" w:cs="Arial"/>
                      <w:color w:val="000000"/>
                      <w:sz w:val="20"/>
                      <w:lang w:eastAsia="en-GB"/>
                    </w:rPr>
                  </w:pPr>
                </w:p>
              </w:tc>
              <w:tc>
                <w:tcPr>
                  <w:tcW w:w="1399" w:type="dxa"/>
                  <w:tcBorders>
                    <w:top w:val="nil"/>
                    <w:left w:val="nil"/>
                    <w:bottom w:val="nil"/>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Statutory</w:t>
                  </w:r>
                </w:p>
              </w:tc>
              <w:tc>
                <w:tcPr>
                  <w:tcW w:w="1361" w:type="dxa"/>
                  <w:tcBorders>
                    <w:top w:val="nil"/>
                    <w:left w:val="nil"/>
                    <w:bottom w:val="nil"/>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w:t>
                  </w:r>
                </w:p>
              </w:tc>
              <w:tc>
                <w:tcPr>
                  <w:tcW w:w="1002" w:type="dxa"/>
                  <w:tcBorders>
                    <w:top w:val="nil"/>
                    <w:left w:val="nil"/>
                    <w:bottom w:val="nil"/>
                    <w:right w:val="nil"/>
                  </w:tcBorders>
                  <w:shd w:val="clear" w:color="auto" w:fill="auto"/>
                  <w:noWrap/>
                  <w:vAlign w:val="center"/>
                  <w:hideMark/>
                </w:tcPr>
                <w:p w:rsidR="00DB2A0C" w:rsidRPr="00D37168" w:rsidRDefault="00DB2A0C"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283" w:type="dxa"/>
                  <w:tcBorders>
                    <w:top w:val="nil"/>
                    <w:left w:val="nil"/>
                    <w:bottom w:val="nil"/>
                    <w:right w:val="single" w:sz="4" w:space="0" w:color="auto"/>
                  </w:tcBorders>
                  <w:shd w:val="clear" w:color="auto" w:fill="auto"/>
                  <w:noWrap/>
                  <w:vAlign w:val="center"/>
                  <w:hideMark/>
                </w:tcPr>
                <w:p w:rsidR="00DB2A0C" w:rsidRPr="00D37168" w:rsidRDefault="00DB2A0C"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r w:rsidR="00DB2A0C" w:rsidRPr="00D37168" w:rsidTr="00DE3799">
              <w:trPr>
                <w:trHeight w:val="495"/>
              </w:trPr>
              <w:tc>
                <w:tcPr>
                  <w:tcW w:w="4244" w:type="dxa"/>
                  <w:tcBorders>
                    <w:top w:val="nil"/>
                    <w:left w:val="single" w:sz="4" w:space="0" w:color="auto"/>
                    <w:bottom w:val="nil"/>
                    <w:right w:val="single" w:sz="4" w:space="0" w:color="000000"/>
                  </w:tcBorders>
                  <w:shd w:val="clear" w:color="auto" w:fill="auto"/>
                  <w:vAlign w:val="center"/>
                  <w:hideMark/>
                </w:tcPr>
                <w:p w:rsidR="00DB2A0C" w:rsidRPr="00D37168" w:rsidRDefault="00DB2A0C"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Manage cash within 1.25% of monthly drawdown (or &lt;£250k, whichever is the greater)</w:t>
                  </w:r>
                </w:p>
              </w:tc>
              <w:tc>
                <w:tcPr>
                  <w:tcW w:w="1399" w:type="dxa"/>
                  <w:tcBorders>
                    <w:top w:val="nil"/>
                    <w:left w:val="nil"/>
                    <w:bottom w:val="nil"/>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Operational</w:t>
                  </w:r>
                </w:p>
              </w:tc>
              <w:tc>
                <w:tcPr>
                  <w:tcW w:w="1361" w:type="dxa"/>
                  <w:tcBorders>
                    <w:top w:val="nil"/>
                    <w:left w:val="nil"/>
                    <w:bottom w:val="nil"/>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w:t>
                  </w:r>
                </w:p>
              </w:tc>
              <w:tc>
                <w:tcPr>
                  <w:tcW w:w="1002" w:type="dxa"/>
                  <w:tcBorders>
                    <w:top w:val="nil"/>
                    <w:left w:val="nil"/>
                    <w:bottom w:val="nil"/>
                    <w:right w:val="nil"/>
                  </w:tcBorders>
                  <w:shd w:val="clear" w:color="auto" w:fill="auto"/>
                  <w:noWrap/>
                  <w:vAlign w:val="center"/>
                  <w:hideMark/>
                </w:tcPr>
                <w:p w:rsidR="00DB2A0C" w:rsidRPr="00D37168" w:rsidRDefault="00DB2A0C"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283" w:type="dxa"/>
                  <w:tcBorders>
                    <w:top w:val="nil"/>
                    <w:left w:val="nil"/>
                    <w:bottom w:val="nil"/>
                    <w:right w:val="single" w:sz="4" w:space="0" w:color="auto"/>
                  </w:tcBorders>
                  <w:shd w:val="clear" w:color="auto" w:fill="auto"/>
                  <w:noWrap/>
                  <w:vAlign w:val="center"/>
                  <w:hideMark/>
                </w:tcPr>
                <w:p w:rsidR="00DB2A0C" w:rsidRPr="00D37168" w:rsidRDefault="00DB2A0C"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r w:rsidR="00DB2A0C" w:rsidRPr="00D37168" w:rsidTr="00DB2A0C">
              <w:trPr>
                <w:trHeight w:val="825"/>
              </w:trPr>
              <w:tc>
                <w:tcPr>
                  <w:tcW w:w="4244" w:type="dxa"/>
                  <w:tcBorders>
                    <w:top w:val="nil"/>
                    <w:left w:val="single" w:sz="4" w:space="0" w:color="auto"/>
                    <w:bottom w:val="single" w:sz="4" w:space="0" w:color="auto"/>
                    <w:right w:val="single" w:sz="4" w:space="0" w:color="000000"/>
                  </w:tcBorders>
                  <w:shd w:val="clear" w:color="auto" w:fill="auto"/>
                  <w:vAlign w:val="center"/>
                  <w:hideMark/>
                </w:tcPr>
                <w:p w:rsidR="00B01F1C" w:rsidRDefault="00B01F1C" w:rsidP="00D37168">
                  <w:pPr>
                    <w:rPr>
                      <w:rFonts w:asciiTheme="minorHAnsi" w:hAnsiTheme="minorHAnsi" w:cs="Arial"/>
                      <w:color w:val="000000"/>
                      <w:sz w:val="20"/>
                      <w:lang w:eastAsia="en-GB"/>
                    </w:rPr>
                  </w:pPr>
                </w:p>
                <w:p w:rsidR="00B01F1C" w:rsidRDefault="00B01F1C" w:rsidP="00D37168">
                  <w:pPr>
                    <w:rPr>
                      <w:rFonts w:asciiTheme="minorHAnsi" w:hAnsiTheme="minorHAnsi" w:cs="Arial"/>
                      <w:color w:val="000000"/>
                      <w:sz w:val="20"/>
                      <w:lang w:eastAsia="en-GB"/>
                    </w:rPr>
                  </w:pPr>
                  <w:r>
                    <w:rPr>
                      <w:rFonts w:asciiTheme="minorHAnsi" w:hAnsiTheme="minorHAnsi" w:cs="Arial"/>
                      <w:color w:val="000000"/>
                      <w:sz w:val="20"/>
                      <w:lang w:eastAsia="en-GB"/>
                    </w:rPr>
                    <w:t>Mental Health Investment Standard</w:t>
                  </w:r>
                </w:p>
                <w:p w:rsidR="00B01F1C" w:rsidRDefault="00B01F1C" w:rsidP="00D37168">
                  <w:pPr>
                    <w:rPr>
                      <w:rFonts w:asciiTheme="minorHAnsi" w:hAnsiTheme="minorHAnsi" w:cs="Arial"/>
                      <w:color w:val="000000"/>
                      <w:sz w:val="20"/>
                      <w:lang w:eastAsia="en-GB"/>
                    </w:rPr>
                  </w:pPr>
                </w:p>
                <w:p w:rsidR="00DB2A0C" w:rsidRDefault="00DB2A0C"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 xml:space="preserve">BPPC – </w:t>
                  </w:r>
                  <w:r w:rsidR="00390412">
                    <w:rPr>
                      <w:rFonts w:asciiTheme="minorHAnsi" w:hAnsiTheme="minorHAnsi" w:cs="Arial"/>
                      <w:color w:val="000000"/>
                      <w:sz w:val="20"/>
                      <w:lang w:eastAsia="en-GB"/>
                    </w:rPr>
                    <w:t xml:space="preserve">95% </w:t>
                  </w:r>
                  <w:r w:rsidRPr="00D37168">
                    <w:rPr>
                      <w:rFonts w:asciiTheme="minorHAnsi" w:hAnsiTheme="minorHAnsi" w:cs="Arial"/>
                      <w:color w:val="000000"/>
                      <w:sz w:val="20"/>
                      <w:lang w:eastAsia="en-GB"/>
                    </w:rPr>
                    <w:t>number/value paid within 30 days</w:t>
                  </w:r>
                </w:p>
                <w:p w:rsidR="00B01F1C" w:rsidRPr="00D37168" w:rsidRDefault="00B01F1C" w:rsidP="00D37168">
                  <w:pPr>
                    <w:rPr>
                      <w:rFonts w:asciiTheme="minorHAnsi" w:hAnsiTheme="minorHAnsi" w:cs="Arial"/>
                      <w:color w:val="000000"/>
                      <w:sz w:val="20"/>
                      <w:lang w:eastAsia="en-GB"/>
                    </w:rPr>
                  </w:pPr>
                </w:p>
              </w:tc>
              <w:tc>
                <w:tcPr>
                  <w:tcW w:w="1399" w:type="dxa"/>
                  <w:tcBorders>
                    <w:top w:val="nil"/>
                    <w:left w:val="nil"/>
                    <w:bottom w:val="single" w:sz="4" w:space="0" w:color="auto"/>
                    <w:right w:val="single" w:sz="4" w:space="0" w:color="auto"/>
                  </w:tcBorders>
                  <w:shd w:val="clear" w:color="auto" w:fill="auto"/>
                  <w:vAlign w:val="center"/>
                  <w:hideMark/>
                </w:tcPr>
                <w:p w:rsidR="00B01F1C" w:rsidRDefault="00B01F1C" w:rsidP="00D37168">
                  <w:pPr>
                    <w:jc w:val="center"/>
                    <w:rPr>
                      <w:rFonts w:asciiTheme="minorHAnsi" w:hAnsiTheme="minorHAnsi" w:cs="Arial"/>
                      <w:color w:val="000000"/>
                      <w:sz w:val="20"/>
                      <w:lang w:eastAsia="en-GB"/>
                    </w:rPr>
                  </w:pPr>
                </w:p>
                <w:p w:rsidR="00B01F1C" w:rsidRDefault="00B01F1C" w:rsidP="00D37168">
                  <w:pPr>
                    <w:jc w:val="center"/>
                    <w:rPr>
                      <w:rFonts w:asciiTheme="minorHAnsi" w:hAnsiTheme="minorHAnsi" w:cs="Arial"/>
                      <w:color w:val="000000"/>
                      <w:sz w:val="20"/>
                      <w:lang w:eastAsia="en-GB"/>
                    </w:rPr>
                  </w:pPr>
                  <w:r>
                    <w:rPr>
                      <w:rFonts w:asciiTheme="minorHAnsi" w:hAnsiTheme="minorHAnsi" w:cs="Arial"/>
                      <w:color w:val="000000"/>
                      <w:sz w:val="20"/>
                      <w:lang w:eastAsia="en-GB"/>
                    </w:rPr>
                    <w:t>Statutory</w:t>
                  </w:r>
                </w:p>
                <w:p w:rsidR="00B01F1C" w:rsidRDefault="00B01F1C" w:rsidP="00D37168">
                  <w:pPr>
                    <w:jc w:val="center"/>
                    <w:rPr>
                      <w:rFonts w:asciiTheme="minorHAnsi" w:hAnsiTheme="minorHAnsi" w:cs="Arial"/>
                      <w:color w:val="000000"/>
                      <w:sz w:val="20"/>
                      <w:lang w:eastAsia="en-GB"/>
                    </w:rPr>
                  </w:pPr>
                </w:p>
                <w:p w:rsidR="00DB2A0C"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Operational</w:t>
                  </w:r>
                </w:p>
                <w:p w:rsidR="00B01F1C" w:rsidRPr="00D37168" w:rsidRDefault="00B01F1C" w:rsidP="00D37168">
                  <w:pPr>
                    <w:jc w:val="center"/>
                    <w:rPr>
                      <w:rFonts w:asciiTheme="minorHAnsi" w:hAnsiTheme="minorHAnsi" w:cs="Arial"/>
                      <w:color w:val="000000"/>
                      <w:sz w:val="20"/>
                      <w:lang w:eastAsia="en-GB"/>
                    </w:rPr>
                  </w:pPr>
                </w:p>
              </w:tc>
              <w:tc>
                <w:tcPr>
                  <w:tcW w:w="1361" w:type="dxa"/>
                  <w:tcBorders>
                    <w:top w:val="nil"/>
                    <w:left w:val="nil"/>
                    <w:bottom w:val="single" w:sz="4" w:space="0" w:color="auto"/>
                    <w:right w:val="single" w:sz="4" w:space="0" w:color="auto"/>
                  </w:tcBorders>
                  <w:shd w:val="clear" w:color="auto" w:fill="auto"/>
                  <w:vAlign w:val="center"/>
                  <w:hideMark/>
                </w:tcPr>
                <w:p w:rsidR="00B01F1C" w:rsidRDefault="00B01F1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w:t>
                  </w:r>
                </w:p>
                <w:p w:rsidR="00B01F1C" w:rsidRDefault="00B01F1C" w:rsidP="00D37168">
                  <w:pPr>
                    <w:jc w:val="center"/>
                    <w:rPr>
                      <w:rFonts w:asciiTheme="minorHAnsi" w:hAnsiTheme="minorHAnsi" w:cs="Arial"/>
                      <w:color w:val="000000"/>
                      <w:sz w:val="20"/>
                      <w:lang w:eastAsia="en-GB"/>
                    </w:rPr>
                  </w:pPr>
                </w:p>
                <w:p w:rsidR="00DB2A0C" w:rsidRPr="00D37168" w:rsidRDefault="00DC591C" w:rsidP="00D37168">
                  <w:pPr>
                    <w:jc w:val="center"/>
                    <w:rPr>
                      <w:rFonts w:asciiTheme="minorHAnsi" w:hAnsiTheme="minorHAnsi" w:cs="Arial"/>
                      <w:color w:val="000000"/>
                      <w:sz w:val="20"/>
                      <w:lang w:eastAsia="en-GB"/>
                    </w:rPr>
                  </w:pPr>
                  <w:r>
                    <w:rPr>
                      <w:rFonts w:asciiTheme="minorHAnsi" w:hAnsiTheme="minorHAnsi" w:cs="Arial"/>
                      <w:color w:val="000000"/>
                      <w:sz w:val="20"/>
                      <w:lang w:eastAsia="en-GB"/>
                    </w:rPr>
                    <w:t>2</w:t>
                  </w:r>
                </w:p>
              </w:tc>
              <w:tc>
                <w:tcPr>
                  <w:tcW w:w="1002" w:type="dxa"/>
                  <w:tcBorders>
                    <w:top w:val="nil"/>
                    <w:left w:val="nil"/>
                    <w:bottom w:val="single" w:sz="4" w:space="0" w:color="auto"/>
                    <w:right w:val="nil"/>
                  </w:tcBorders>
                  <w:shd w:val="clear" w:color="auto" w:fill="auto"/>
                  <w:noWrap/>
                  <w:vAlign w:val="center"/>
                  <w:hideMark/>
                </w:tcPr>
                <w:p w:rsidR="00B01F1C" w:rsidRDefault="00B01F1C" w:rsidP="00D37168">
                  <w:pPr>
                    <w:jc w:val="center"/>
                    <w:rPr>
                      <w:rFonts w:asciiTheme="minorHAnsi" w:hAnsiTheme="minorHAnsi" w:cs="Arial"/>
                      <w:sz w:val="20"/>
                      <w:lang w:eastAsia="en-GB"/>
                    </w:rPr>
                  </w:pPr>
                </w:p>
                <w:p w:rsidR="00B01F1C" w:rsidRDefault="00B01F1C" w:rsidP="00D37168">
                  <w:pPr>
                    <w:jc w:val="center"/>
                    <w:rPr>
                      <w:rFonts w:asciiTheme="minorHAnsi" w:hAnsiTheme="minorHAnsi" w:cs="Arial"/>
                      <w:sz w:val="20"/>
                      <w:lang w:eastAsia="en-GB"/>
                    </w:rPr>
                  </w:pPr>
                  <w:r>
                    <w:rPr>
                      <w:rFonts w:asciiTheme="minorHAnsi" w:hAnsiTheme="minorHAnsi" w:cs="Arial"/>
                      <w:sz w:val="20"/>
                      <w:lang w:eastAsia="en-GB"/>
                    </w:rPr>
                    <w:t>Green</w:t>
                  </w:r>
                </w:p>
                <w:p w:rsidR="00B01F1C" w:rsidRDefault="00B01F1C" w:rsidP="00D37168">
                  <w:pPr>
                    <w:jc w:val="center"/>
                    <w:rPr>
                      <w:rFonts w:asciiTheme="minorHAnsi" w:hAnsiTheme="minorHAnsi" w:cs="Arial"/>
                      <w:sz w:val="20"/>
                      <w:lang w:eastAsia="en-GB"/>
                    </w:rPr>
                  </w:pPr>
                </w:p>
                <w:p w:rsidR="00DB2A0C" w:rsidRDefault="00DB2A0C"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p w:rsidR="00B01F1C" w:rsidRPr="00D37168" w:rsidRDefault="00B01F1C" w:rsidP="00D37168">
                  <w:pPr>
                    <w:jc w:val="center"/>
                    <w:rPr>
                      <w:rFonts w:asciiTheme="minorHAnsi" w:hAnsiTheme="minorHAnsi" w:cs="Arial"/>
                      <w:sz w:val="20"/>
                      <w:lang w:eastAsia="en-GB"/>
                    </w:rPr>
                  </w:pPr>
                </w:p>
              </w:tc>
              <w:tc>
                <w:tcPr>
                  <w:tcW w:w="283" w:type="dxa"/>
                  <w:tcBorders>
                    <w:top w:val="nil"/>
                    <w:left w:val="nil"/>
                    <w:bottom w:val="single" w:sz="4" w:space="0" w:color="auto"/>
                    <w:right w:val="single" w:sz="4" w:space="0" w:color="auto"/>
                  </w:tcBorders>
                  <w:shd w:val="clear" w:color="auto" w:fill="auto"/>
                  <w:noWrap/>
                  <w:vAlign w:val="center"/>
                  <w:hideMark/>
                </w:tcPr>
                <w:p w:rsidR="00DB2A0C" w:rsidRPr="00D37168" w:rsidRDefault="00DB2A0C"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bl>
          <w:p w:rsidR="00246EFA" w:rsidRDefault="00246EFA" w:rsidP="000D1B0D">
            <w:pPr>
              <w:pStyle w:val="Default"/>
              <w:jc w:val="both"/>
              <w:rPr>
                <w:rFonts w:ascii="Calibri" w:hAnsi="Calibri" w:cs="Calibri"/>
                <w:sz w:val="20"/>
                <w:szCs w:val="20"/>
              </w:rPr>
            </w:pPr>
          </w:p>
          <w:p w:rsidR="00B01F1C" w:rsidRDefault="00205CF1" w:rsidP="00B01F1C">
            <w:pPr>
              <w:jc w:val="both"/>
              <w:rPr>
                <w:rFonts w:asciiTheme="minorHAnsi" w:hAnsiTheme="minorHAnsi" w:cs="Arial"/>
                <w:color w:val="000000"/>
                <w:sz w:val="20"/>
                <w:lang w:eastAsia="en-GB"/>
              </w:rPr>
            </w:pPr>
            <w:r>
              <w:rPr>
                <w:rFonts w:asciiTheme="minorHAnsi" w:hAnsiTheme="minorHAnsi" w:cs="Arial"/>
                <w:color w:val="000000"/>
                <w:sz w:val="20"/>
                <w:lang w:eastAsia="en-GB"/>
              </w:rPr>
              <w:t xml:space="preserve">The key points to draw to the </w:t>
            </w:r>
            <w:r w:rsidR="008022DB">
              <w:rPr>
                <w:rFonts w:asciiTheme="minorHAnsi" w:hAnsiTheme="minorHAnsi" w:cs="Arial"/>
                <w:color w:val="000000"/>
                <w:sz w:val="20"/>
                <w:lang w:eastAsia="en-GB"/>
              </w:rPr>
              <w:t xml:space="preserve">attention of the </w:t>
            </w:r>
            <w:r>
              <w:rPr>
                <w:rFonts w:asciiTheme="minorHAnsi" w:hAnsiTheme="minorHAnsi" w:cs="Arial"/>
                <w:color w:val="000000"/>
                <w:sz w:val="20"/>
                <w:lang w:eastAsia="en-GB"/>
              </w:rPr>
              <w:t>Governing B</w:t>
            </w:r>
            <w:r w:rsidR="008022DB">
              <w:rPr>
                <w:rFonts w:asciiTheme="minorHAnsi" w:hAnsiTheme="minorHAnsi" w:cs="Arial"/>
                <w:color w:val="000000"/>
                <w:sz w:val="20"/>
                <w:lang w:eastAsia="en-GB"/>
              </w:rPr>
              <w:t xml:space="preserve">ody </w:t>
            </w:r>
            <w:r>
              <w:rPr>
                <w:rFonts w:asciiTheme="minorHAnsi" w:hAnsiTheme="minorHAnsi" w:cs="Arial"/>
                <w:color w:val="000000"/>
                <w:sz w:val="20"/>
                <w:lang w:eastAsia="en-GB"/>
              </w:rPr>
              <w:t xml:space="preserve">are:- </w:t>
            </w:r>
            <w:r w:rsidR="00B01F1C" w:rsidRPr="00B01F1C">
              <w:rPr>
                <w:rFonts w:asciiTheme="minorHAnsi" w:hAnsiTheme="minorHAnsi" w:cs="Arial"/>
                <w:color w:val="000000"/>
                <w:sz w:val="20"/>
                <w:lang w:eastAsia="en-GB"/>
              </w:rPr>
              <w:t xml:space="preserve"> </w:t>
            </w:r>
          </w:p>
          <w:p w:rsidR="00686C41" w:rsidRPr="008022DB" w:rsidRDefault="00686C41" w:rsidP="00B01F1C">
            <w:pPr>
              <w:jc w:val="both"/>
              <w:rPr>
                <w:rFonts w:asciiTheme="minorHAnsi" w:hAnsiTheme="minorHAnsi" w:cstheme="minorHAnsi"/>
                <w:color w:val="000000"/>
                <w:sz w:val="20"/>
                <w:lang w:eastAsia="en-GB"/>
              </w:rPr>
            </w:pPr>
          </w:p>
          <w:p w:rsidR="00686C41" w:rsidRPr="008022DB" w:rsidRDefault="00686C41" w:rsidP="00686C41">
            <w:pPr>
              <w:jc w:val="both"/>
              <w:rPr>
                <w:rFonts w:asciiTheme="minorHAnsi" w:hAnsiTheme="minorHAnsi" w:cstheme="minorHAnsi"/>
                <w:color w:val="000000"/>
                <w:sz w:val="20"/>
                <w:lang w:eastAsia="en-GB"/>
              </w:rPr>
            </w:pPr>
            <w:r w:rsidRPr="008022DB">
              <w:rPr>
                <w:rFonts w:asciiTheme="minorHAnsi" w:hAnsiTheme="minorHAnsi" w:cstheme="minorHAnsi"/>
                <w:b/>
                <w:color w:val="000000"/>
                <w:sz w:val="20"/>
                <w:lang w:eastAsia="en-GB"/>
              </w:rPr>
              <w:t xml:space="preserve">- Budget Movements : </w:t>
            </w:r>
            <w:r w:rsidRPr="008022DB">
              <w:rPr>
                <w:rFonts w:asciiTheme="minorHAnsi" w:hAnsiTheme="minorHAnsi" w:cstheme="minorHAnsi"/>
                <w:color w:val="000000"/>
                <w:sz w:val="20"/>
                <w:lang w:eastAsia="en-GB"/>
              </w:rPr>
              <w:t>Since the last meeting, the budgets have been amended to reflect:-</w:t>
            </w:r>
            <w:r w:rsidRPr="008022DB">
              <w:rPr>
                <w:rFonts w:asciiTheme="minorHAnsi" w:hAnsiTheme="minorHAnsi" w:cstheme="minorHAnsi"/>
                <w:color w:val="000000"/>
                <w:sz w:val="20"/>
                <w:lang w:eastAsia="en-GB"/>
              </w:rPr>
              <w:tab/>
            </w:r>
            <w:r w:rsidRPr="008022DB">
              <w:rPr>
                <w:rFonts w:asciiTheme="minorHAnsi" w:hAnsiTheme="minorHAnsi" w:cstheme="minorHAnsi"/>
                <w:color w:val="000000"/>
                <w:sz w:val="20"/>
                <w:lang w:eastAsia="en-GB"/>
              </w:rPr>
              <w:tab/>
            </w:r>
            <w:r w:rsidRPr="008022DB">
              <w:rPr>
                <w:rFonts w:asciiTheme="minorHAnsi" w:hAnsiTheme="minorHAnsi" w:cstheme="minorHAnsi"/>
                <w:color w:val="000000"/>
                <w:sz w:val="20"/>
                <w:lang w:eastAsia="en-GB"/>
              </w:rPr>
              <w:tab/>
            </w:r>
          </w:p>
          <w:p w:rsidR="00686C41" w:rsidRPr="008022DB" w:rsidRDefault="00686C41" w:rsidP="00686C41">
            <w:pPr>
              <w:ind w:left="551" w:hanging="283"/>
              <w:jc w:val="both"/>
              <w:rPr>
                <w:rFonts w:asciiTheme="minorHAnsi" w:hAnsiTheme="minorHAnsi" w:cstheme="minorHAnsi"/>
                <w:color w:val="000000"/>
                <w:sz w:val="20"/>
                <w:lang w:eastAsia="en-GB"/>
              </w:rPr>
            </w:pPr>
            <w:r w:rsidRPr="008022DB">
              <w:rPr>
                <w:rFonts w:asciiTheme="minorHAnsi" w:hAnsiTheme="minorHAnsi" w:cstheme="minorHAnsi"/>
                <w:color w:val="000000"/>
                <w:sz w:val="20"/>
                <w:lang w:eastAsia="en-GB"/>
              </w:rPr>
              <w:t>(i)</w:t>
            </w:r>
            <w:r w:rsidR="00B90A59">
              <w:rPr>
                <w:rFonts w:asciiTheme="minorHAnsi" w:hAnsiTheme="minorHAnsi" w:cstheme="minorHAnsi"/>
                <w:color w:val="000000"/>
                <w:sz w:val="20"/>
                <w:lang w:eastAsia="en-GB"/>
              </w:rPr>
              <w:t xml:space="preserve">  </w:t>
            </w:r>
            <w:r w:rsidRPr="008022DB">
              <w:rPr>
                <w:rFonts w:asciiTheme="minorHAnsi" w:hAnsiTheme="minorHAnsi" w:cstheme="minorHAnsi"/>
                <w:color w:val="000000"/>
                <w:sz w:val="20"/>
                <w:lang w:eastAsia="en-GB"/>
              </w:rPr>
              <w:t xml:space="preserve"> agreed contract values</w:t>
            </w:r>
            <w:r w:rsidRPr="008022DB">
              <w:rPr>
                <w:rFonts w:asciiTheme="minorHAnsi" w:hAnsiTheme="minorHAnsi" w:cstheme="minorHAnsi"/>
                <w:color w:val="000000"/>
                <w:sz w:val="20"/>
                <w:lang w:eastAsia="en-GB"/>
              </w:rPr>
              <w:tab/>
            </w:r>
            <w:r w:rsidRPr="008022DB">
              <w:rPr>
                <w:rFonts w:asciiTheme="minorHAnsi" w:hAnsiTheme="minorHAnsi" w:cstheme="minorHAnsi"/>
                <w:color w:val="000000"/>
                <w:sz w:val="20"/>
                <w:lang w:eastAsia="en-GB"/>
              </w:rPr>
              <w:tab/>
            </w:r>
            <w:r w:rsidRPr="008022DB">
              <w:rPr>
                <w:rFonts w:asciiTheme="minorHAnsi" w:hAnsiTheme="minorHAnsi" w:cstheme="minorHAnsi"/>
                <w:color w:val="000000"/>
                <w:sz w:val="20"/>
                <w:lang w:eastAsia="en-GB"/>
              </w:rPr>
              <w:tab/>
            </w:r>
            <w:r w:rsidRPr="008022DB">
              <w:rPr>
                <w:rFonts w:asciiTheme="minorHAnsi" w:hAnsiTheme="minorHAnsi" w:cstheme="minorHAnsi"/>
                <w:color w:val="000000"/>
                <w:sz w:val="20"/>
                <w:lang w:eastAsia="en-GB"/>
              </w:rPr>
              <w:tab/>
            </w:r>
          </w:p>
          <w:p w:rsidR="00686C41" w:rsidRPr="008022DB" w:rsidRDefault="00686C41" w:rsidP="00686C41">
            <w:pPr>
              <w:ind w:left="551" w:hanging="283"/>
              <w:jc w:val="both"/>
              <w:rPr>
                <w:rFonts w:asciiTheme="minorHAnsi" w:hAnsiTheme="minorHAnsi" w:cstheme="minorHAnsi"/>
                <w:color w:val="000000"/>
                <w:sz w:val="20"/>
                <w:lang w:eastAsia="en-GB"/>
              </w:rPr>
            </w:pPr>
            <w:r w:rsidRPr="008022DB">
              <w:rPr>
                <w:rFonts w:asciiTheme="minorHAnsi" w:hAnsiTheme="minorHAnsi" w:cstheme="minorHAnsi"/>
                <w:color w:val="000000"/>
                <w:sz w:val="20"/>
                <w:lang w:eastAsia="en-GB"/>
              </w:rPr>
              <w:t xml:space="preserve">(ii) </w:t>
            </w:r>
            <w:r w:rsidR="00B90A59">
              <w:rPr>
                <w:rFonts w:asciiTheme="minorHAnsi" w:hAnsiTheme="minorHAnsi" w:cstheme="minorHAnsi"/>
                <w:color w:val="000000"/>
                <w:sz w:val="20"/>
                <w:lang w:eastAsia="en-GB"/>
              </w:rPr>
              <w:t xml:space="preserve"> </w:t>
            </w:r>
            <w:r w:rsidRPr="008022DB">
              <w:rPr>
                <w:rFonts w:asciiTheme="minorHAnsi" w:hAnsiTheme="minorHAnsi" w:cstheme="minorHAnsi"/>
                <w:color w:val="000000"/>
                <w:sz w:val="20"/>
                <w:lang w:eastAsia="en-GB"/>
              </w:rPr>
              <w:t>allocations notified to the CCG</w:t>
            </w:r>
            <w:r w:rsidRPr="008022DB">
              <w:rPr>
                <w:rFonts w:asciiTheme="minorHAnsi" w:hAnsiTheme="minorHAnsi" w:cstheme="minorHAnsi"/>
                <w:color w:val="000000"/>
                <w:sz w:val="20"/>
                <w:lang w:eastAsia="en-GB"/>
              </w:rPr>
              <w:tab/>
            </w:r>
            <w:r w:rsidRPr="008022DB">
              <w:rPr>
                <w:rFonts w:asciiTheme="minorHAnsi" w:hAnsiTheme="minorHAnsi" w:cstheme="minorHAnsi"/>
                <w:color w:val="000000"/>
                <w:sz w:val="20"/>
                <w:lang w:eastAsia="en-GB"/>
              </w:rPr>
              <w:tab/>
            </w:r>
            <w:r w:rsidRPr="008022DB">
              <w:rPr>
                <w:rFonts w:asciiTheme="minorHAnsi" w:hAnsiTheme="minorHAnsi" w:cstheme="minorHAnsi"/>
                <w:color w:val="000000"/>
                <w:sz w:val="20"/>
                <w:lang w:eastAsia="en-GB"/>
              </w:rPr>
              <w:tab/>
            </w:r>
            <w:r w:rsidRPr="008022DB">
              <w:rPr>
                <w:rFonts w:asciiTheme="minorHAnsi" w:hAnsiTheme="minorHAnsi" w:cstheme="minorHAnsi"/>
                <w:color w:val="000000"/>
                <w:sz w:val="20"/>
                <w:lang w:eastAsia="en-GB"/>
              </w:rPr>
              <w:tab/>
            </w:r>
          </w:p>
          <w:p w:rsidR="008022DB" w:rsidRPr="008022DB" w:rsidRDefault="00686C41" w:rsidP="00686C41">
            <w:pPr>
              <w:pStyle w:val="Default"/>
              <w:tabs>
                <w:tab w:val="left" w:pos="412"/>
              </w:tabs>
              <w:ind w:left="551" w:hanging="283"/>
              <w:jc w:val="both"/>
              <w:rPr>
                <w:rFonts w:asciiTheme="minorHAnsi" w:hAnsiTheme="minorHAnsi" w:cstheme="minorHAnsi"/>
                <w:sz w:val="20"/>
                <w:szCs w:val="20"/>
              </w:rPr>
            </w:pPr>
            <w:r w:rsidRPr="008022DB">
              <w:rPr>
                <w:rFonts w:asciiTheme="minorHAnsi" w:hAnsiTheme="minorHAnsi" w:cstheme="minorHAnsi"/>
                <w:sz w:val="20"/>
                <w:szCs w:val="20"/>
              </w:rPr>
              <w:t xml:space="preserve">(iii) </w:t>
            </w:r>
            <w:r w:rsidR="008022DB" w:rsidRPr="00686C41">
              <w:rPr>
                <w:rFonts w:asciiTheme="minorHAnsi" w:hAnsiTheme="minorHAnsi" w:cstheme="minorHAnsi"/>
                <w:sz w:val="20"/>
                <w:szCs w:val="20"/>
              </w:rPr>
              <w:t>transfers to reflect agreed QIPP schemes e.g. Primary care efficiencies</w:t>
            </w:r>
          </w:p>
          <w:p w:rsidR="00B90A59" w:rsidRDefault="008022DB" w:rsidP="00B90A59">
            <w:pPr>
              <w:pStyle w:val="Default"/>
              <w:tabs>
                <w:tab w:val="left" w:pos="412"/>
              </w:tabs>
              <w:ind w:left="551" w:hanging="283"/>
              <w:jc w:val="both"/>
              <w:rPr>
                <w:rFonts w:asciiTheme="minorHAnsi" w:hAnsiTheme="minorHAnsi" w:cstheme="minorHAnsi"/>
                <w:sz w:val="20"/>
                <w:szCs w:val="20"/>
              </w:rPr>
            </w:pPr>
            <w:r w:rsidRPr="008022DB">
              <w:rPr>
                <w:rFonts w:asciiTheme="minorHAnsi" w:hAnsiTheme="minorHAnsi" w:cstheme="minorHAnsi"/>
                <w:sz w:val="20"/>
                <w:szCs w:val="20"/>
              </w:rPr>
              <w:t>(iv)</w:t>
            </w:r>
            <w:r w:rsidR="00686C41" w:rsidRPr="008022DB">
              <w:rPr>
                <w:rFonts w:asciiTheme="minorHAnsi" w:hAnsiTheme="minorHAnsi" w:cstheme="minorHAnsi"/>
                <w:sz w:val="20"/>
                <w:szCs w:val="20"/>
              </w:rPr>
              <w:tab/>
            </w:r>
            <w:r w:rsidRPr="00686C41">
              <w:rPr>
                <w:rFonts w:asciiTheme="minorHAnsi" w:hAnsiTheme="minorHAnsi" w:cstheme="minorHAnsi"/>
                <w:sz w:val="20"/>
                <w:szCs w:val="20"/>
              </w:rPr>
              <w:t xml:space="preserve">estimates </w:t>
            </w:r>
            <w:r w:rsidR="00B90A59">
              <w:rPr>
                <w:rFonts w:asciiTheme="minorHAnsi" w:hAnsiTheme="minorHAnsi" w:cstheme="minorHAnsi"/>
                <w:sz w:val="20"/>
                <w:szCs w:val="20"/>
              </w:rPr>
              <w:t xml:space="preserve">that </w:t>
            </w:r>
            <w:r w:rsidRPr="00686C41">
              <w:rPr>
                <w:rFonts w:asciiTheme="minorHAnsi" w:hAnsiTheme="minorHAnsi" w:cstheme="minorHAnsi"/>
                <w:sz w:val="20"/>
                <w:szCs w:val="20"/>
              </w:rPr>
              <w:t xml:space="preserve">were made as part of the year end process, </w:t>
            </w:r>
            <w:r w:rsidR="00B90A59">
              <w:rPr>
                <w:rFonts w:asciiTheme="minorHAnsi" w:hAnsiTheme="minorHAnsi" w:cstheme="minorHAnsi"/>
                <w:sz w:val="20"/>
                <w:szCs w:val="20"/>
              </w:rPr>
              <w:t xml:space="preserve">with </w:t>
            </w:r>
            <w:r w:rsidRPr="00686C41">
              <w:rPr>
                <w:rFonts w:asciiTheme="minorHAnsi" w:hAnsiTheme="minorHAnsi" w:cstheme="minorHAnsi"/>
                <w:sz w:val="20"/>
                <w:szCs w:val="20"/>
              </w:rPr>
              <w:t>any significant differences</w:t>
            </w:r>
            <w:r w:rsidR="00B90A59">
              <w:rPr>
                <w:rFonts w:asciiTheme="minorHAnsi" w:hAnsiTheme="minorHAnsi" w:cstheme="minorHAnsi"/>
                <w:sz w:val="20"/>
                <w:szCs w:val="20"/>
              </w:rPr>
              <w:t xml:space="preserve"> between the estimate and actual</w:t>
            </w:r>
            <w:r w:rsidRPr="00686C41">
              <w:rPr>
                <w:rFonts w:asciiTheme="minorHAnsi" w:hAnsiTheme="minorHAnsi" w:cstheme="minorHAnsi"/>
                <w:sz w:val="20"/>
                <w:szCs w:val="20"/>
              </w:rPr>
              <w:t xml:space="preserve"> </w:t>
            </w:r>
            <w:r w:rsidR="00B90A59">
              <w:rPr>
                <w:rFonts w:asciiTheme="minorHAnsi" w:hAnsiTheme="minorHAnsi" w:cstheme="minorHAnsi"/>
                <w:sz w:val="20"/>
                <w:szCs w:val="20"/>
              </w:rPr>
              <w:t>being</w:t>
            </w:r>
            <w:r w:rsidRPr="00686C41">
              <w:rPr>
                <w:rFonts w:asciiTheme="minorHAnsi" w:hAnsiTheme="minorHAnsi" w:cstheme="minorHAnsi"/>
                <w:sz w:val="20"/>
                <w:szCs w:val="20"/>
              </w:rPr>
              <w:t xml:space="preserve"> transferred to reserves so as to mo</w:t>
            </w:r>
            <w:r w:rsidR="00B90A59">
              <w:rPr>
                <w:rFonts w:asciiTheme="minorHAnsi" w:hAnsiTheme="minorHAnsi" w:cstheme="minorHAnsi"/>
                <w:sz w:val="20"/>
                <w:szCs w:val="20"/>
              </w:rPr>
              <w:t>re appropriately reflect the in-</w:t>
            </w:r>
            <w:r w:rsidRPr="00686C41">
              <w:rPr>
                <w:rFonts w:asciiTheme="minorHAnsi" w:hAnsiTheme="minorHAnsi" w:cstheme="minorHAnsi"/>
                <w:sz w:val="20"/>
                <w:szCs w:val="20"/>
              </w:rPr>
              <w:t>year position against budget lines</w:t>
            </w:r>
          </w:p>
          <w:p w:rsidR="00B90A59" w:rsidRDefault="00B90A59" w:rsidP="00B90A59">
            <w:pPr>
              <w:pStyle w:val="Default"/>
              <w:tabs>
                <w:tab w:val="left" w:pos="412"/>
              </w:tabs>
              <w:ind w:left="551" w:hanging="283"/>
              <w:jc w:val="both"/>
              <w:rPr>
                <w:rFonts w:asciiTheme="minorHAnsi" w:hAnsiTheme="minorHAnsi" w:cstheme="minorHAnsi"/>
                <w:sz w:val="20"/>
                <w:szCs w:val="20"/>
              </w:rPr>
            </w:pPr>
          </w:p>
          <w:p w:rsidR="00F07AA3" w:rsidRPr="00B90A59" w:rsidRDefault="00205CF1" w:rsidP="00B90A59">
            <w:pPr>
              <w:pStyle w:val="Default"/>
              <w:ind w:left="268" w:hanging="283"/>
              <w:jc w:val="both"/>
              <w:rPr>
                <w:rFonts w:asciiTheme="minorHAnsi" w:hAnsiTheme="minorHAnsi" w:cstheme="minorHAnsi"/>
                <w:sz w:val="20"/>
                <w:szCs w:val="20"/>
              </w:rPr>
            </w:pPr>
            <w:r>
              <w:rPr>
                <w:rFonts w:asciiTheme="minorHAnsi" w:hAnsiTheme="minorHAnsi"/>
                <w:b/>
                <w:bCs/>
                <w:sz w:val="20"/>
                <w:szCs w:val="20"/>
              </w:rPr>
              <w:t xml:space="preserve">- </w:t>
            </w:r>
            <w:r w:rsidR="00686C41">
              <w:rPr>
                <w:rFonts w:asciiTheme="minorHAnsi" w:hAnsiTheme="minorHAnsi"/>
                <w:b/>
                <w:bCs/>
                <w:sz w:val="20"/>
                <w:szCs w:val="20"/>
              </w:rPr>
              <w:t xml:space="preserve">Material Variances against Budget </w:t>
            </w:r>
            <w:r w:rsidRPr="00B01F1C">
              <w:rPr>
                <w:rFonts w:asciiTheme="minorHAnsi" w:hAnsiTheme="minorHAnsi"/>
                <w:b/>
                <w:bCs/>
                <w:sz w:val="20"/>
                <w:szCs w:val="20"/>
              </w:rPr>
              <w:t>:</w:t>
            </w:r>
            <w:r w:rsidRPr="00B01F1C">
              <w:rPr>
                <w:rFonts w:asciiTheme="minorHAnsi" w:hAnsiTheme="minorHAnsi"/>
                <w:sz w:val="20"/>
                <w:szCs w:val="20"/>
              </w:rPr>
              <w:t xml:space="preserve">  </w:t>
            </w:r>
          </w:p>
          <w:p w:rsidR="00205CF1" w:rsidRPr="00F07AA3" w:rsidRDefault="00205CF1" w:rsidP="00F07AA3">
            <w:pPr>
              <w:pStyle w:val="Default"/>
              <w:tabs>
                <w:tab w:val="left" w:pos="412"/>
              </w:tabs>
              <w:jc w:val="both"/>
              <w:rPr>
                <w:rFonts w:asciiTheme="minorHAnsi" w:hAnsiTheme="minorHAnsi"/>
                <w:b/>
                <w:bCs/>
                <w:sz w:val="20"/>
                <w:szCs w:val="20"/>
              </w:rPr>
            </w:pPr>
          </w:p>
          <w:p w:rsidR="00331A93" w:rsidRPr="00331A93" w:rsidRDefault="00331A93" w:rsidP="00E01410">
            <w:pPr>
              <w:pStyle w:val="Default"/>
              <w:numPr>
                <w:ilvl w:val="0"/>
                <w:numId w:val="7"/>
              </w:numPr>
              <w:tabs>
                <w:tab w:val="left" w:pos="368"/>
              </w:tabs>
              <w:jc w:val="both"/>
              <w:rPr>
                <w:rFonts w:asciiTheme="minorHAnsi" w:hAnsiTheme="minorHAnsi" w:cs="Calibri"/>
                <w:sz w:val="20"/>
                <w:szCs w:val="20"/>
              </w:rPr>
            </w:pPr>
            <w:r w:rsidRPr="00EE180C">
              <w:rPr>
                <w:rFonts w:asciiTheme="minorHAnsi" w:hAnsiTheme="minorHAnsi"/>
                <w:b/>
                <w:sz w:val="20"/>
                <w:szCs w:val="20"/>
              </w:rPr>
              <w:t xml:space="preserve">Hull </w:t>
            </w:r>
            <w:r w:rsidR="00EE180C" w:rsidRPr="00EE180C">
              <w:rPr>
                <w:rFonts w:asciiTheme="minorHAnsi" w:hAnsiTheme="minorHAnsi"/>
                <w:b/>
                <w:sz w:val="20"/>
                <w:szCs w:val="20"/>
              </w:rPr>
              <w:t>University Teaching Hospital</w:t>
            </w:r>
            <w:r w:rsidRPr="00EE180C">
              <w:rPr>
                <w:rFonts w:asciiTheme="minorHAnsi" w:hAnsiTheme="minorHAnsi"/>
                <w:b/>
                <w:sz w:val="20"/>
                <w:szCs w:val="20"/>
              </w:rPr>
              <w:t>;</w:t>
            </w:r>
            <w:r w:rsidRPr="00B01F1C">
              <w:rPr>
                <w:rFonts w:asciiTheme="minorHAnsi" w:hAnsiTheme="minorHAnsi"/>
                <w:sz w:val="20"/>
                <w:szCs w:val="20"/>
              </w:rPr>
              <w:t xml:space="preserve"> In month 3 there was a significant overtrade in </w:t>
            </w:r>
            <w:r w:rsidR="009A5226" w:rsidRPr="00B01F1C">
              <w:rPr>
                <w:rFonts w:asciiTheme="minorHAnsi" w:hAnsiTheme="minorHAnsi"/>
                <w:sz w:val="20"/>
                <w:szCs w:val="20"/>
              </w:rPr>
              <w:t>non-elective</w:t>
            </w:r>
            <w:r w:rsidRPr="00B01F1C">
              <w:rPr>
                <w:rFonts w:asciiTheme="minorHAnsi" w:hAnsiTheme="minorHAnsi"/>
                <w:sz w:val="20"/>
                <w:szCs w:val="20"/>
              </w:rPr>
              <w:t xml:space="preserve"> activity within the following specialities; neurosurgery, vascular, urology &amp; clinical haematology.</w:t>
            </w:r>
          </w:p>
          <w:p w:rsidR="00331A93" w:rsidRPr="00331A93" w:rsidRDefault="00331A93" w:rsidP="00E01410">
            <w:pPr>
              <w:pStyle w:val="Default"/>
              <w:tabs>
                <w:tab w:val="left" w:pos="368"/>
              </w:tabs>
              <w:ind w:left="720"/>
              <w:jc w:val="both"/>
              <w:rPr>
                <w:rFonts w:asciiTheme="minorHAnsi" w:hAnsiTheme="minorHAnsi" w:cs="Calibri"/>
                <w:sz w:val="20"/>
                <w:szCs w:val="20"/>
              </w:rPr>
            </w:pPr>
          </w:p>
          <w:p w:rsidR="00B01F1C" w:rsidRPr="00331A93" w:rsidRDefault="00B01F1C" w:rsidP="00E01410">
            <w:pPr>
              <w:pStyle w:val="Default"/>
              <w:numPr>
                <w:ilvl w:val="0"/>
                <w:numId w:val="7"/>
              </w:numPr>
              <w:tabs>
                <w:tab w:val="left" w:pos="368"/>
              </w:tabs>
              <w:jc w:val="both"/>
              <w:rPr>
                <w:rFonts w:asciiTheme="minorHAnsi" w:hAnsiTheme="minorHAnsi" w:cs="Calibri"/>
                <w:sz w:val="20"/>
                <w:szCs w:val="20"/>
              </w:rPr>
            </w:pPr>
            <w:r w:rsidRPr="00EE180C">
              <w:rPr>
                <w:rFonts w:asciiTheme="minorHAnsi" w:hAnsiTheme="minorHAnsi"/>
                <w:b/>
                <w:sz w:val="20"/>
                <w:szCs w:val="20"/>
              </w:rPr>
              <w:t>St Hugh's;</w:t>
            </w:r>
            <w:r w:rsidRPr="00B01F1C">
              <w:rPr>
                <w:rFonts w:asciiTheme="minorHAnsi" w:hAnsiTheme="minorHAnsi"/>
                <w:sz w:val="20"/>
                <w:szCs w:val="20"/>
              </w:rPr>
              <w:t xml:space="preserve"> Activity has continued to be considerably higher than planned leading to a significant over trade year to date. This is primarily due to the transfer of long wait patients from NLAG. We are expecting to see further activity overtrades but not at the high levels seen at the start of the year.</w:t>
            </w:r>
          </w:p>
          <w:p w:rsidR="00331A93" w:rsidRPr="00F07AA3" w:rsidRDefault="00331A93" w:rsidP="00E01410">
            <w:pPr>
              <w:pStyle w:val="Default"/>
              <w:tabs>
                <w:tab w:val="left" w:pos="368"/>
              </w:tabs>
              <w:ind w:left="720"/>
              <w:jc w:val="both"/>
              <w:rPr>
                <w:rFonts w:asciiTheme="minorHAnsi" w:hAnsiTheme="minorHAnsi" w:cs="Calibri"/>
                <w:sz w:val="20"/>
                <w:szCs w:val="20"/>
              </w:rPr>
            </w:pPr>
          </w:p>
          <w:p w:rsidR="00F07AA3" w:rsidRPr="00331A93" w:rsidRDefault="00F07AA3" w:rsidP="00E01410">
            <w:pPr>
              <w:pStyle w:val="ListParagraph"/>
              <w:numPr>
                <w:ilvl w:val="0"/>
                <w:numId w:val="7"/>
              </w:numPr>
              <w:tabs>
                <w:tab w:val="left" w:pos="368"/>
              </w:tabs>
              <w:jc w:val="both"/>
              <w:rPr>
                <w:rFonts w:asciiTheme="minorHAnsi" w:hAnsiTheme="minorHAnsi" w:cs="Arial"/>
                <w:sz w:val="20"/>
                <w:lang w:eastAsia="en-GB"/>
              </w:rPr>
            </w:pPr>
            <w:r w:rsidRPr="00EE180C">
              <w:rPr>
                <w:rFonts w:asciiTheme="minorHAnsi" w:hAnsiTheme="minorHAnsi" w:cs="Arial"/>
                <w:b/>
                <w:sz w:val="20"/>
                <w:lang w:eastAsia="en-GB"/>
              </w:rPr>
              <w:t>New Medica - Ophthalmology;</w:t>
            </w:r>
            <w:r w:rsidRPr="00331A93">
              <w:rPr>
                <w:rFonts w:asciiTheme="minorHAnsi" w:hAnsiTheme="minorHAnsi" w:cs="Arial"/>
                <w:sz w:val="20"/>
                <w:lang w:eastAsia="en-GB"/>
              </w:rPr>
              <w:t xml:space="preserve"> The activity overtrade in the first few months of the year was due to a backlog of cataracts as a result of premises issues in quarter four of 18/19. In month 3 we have seen an increase in complex procedures. It is expected that activity will fall back to normal levels going forward, but it is being closely monitored and regular meetings have been set up with the provider.</w:t>
            </w:r>
          </w:p>
          <w:p w:rsidR="00F07AA3" w:rsidRPr="00331A93" w:rsidRDefault="00331A93" w:rsidP="00E01410">
            <w:pPr>
              <w:pStyle w:val="Default"/>
              <w:numPr>
                <w:ilvl w:val="0"/>
                <w:numId w:val="7"/>
              </w:numPr>
              <w:tabs>
                <w:tab w:val="left" w:pos="368"/>
              </w:tabs>
              <w:jc w:val="both"/>
              <w:rPr>
                <w:rFonts w:asciiTheme="minorHAnsi" w:hAnsiTheme="minorHAnsi" w:cs="Calibri"/>
                <w:sz w:val="20"/>
                <w:szCs w:val="20"/>
              </w:rPr>
            </w:pPr>
            <w:r w:rsidRPr="00EE180C">
              <w:rPr>
                <w:rFonts w:asciiTheme="minorHAnsi" w:hAnsiTheme="minorHAnsi"/>
                <w:b/>
                <w:sz w:val="20"/>
                <w:szCs w:val="20"/>
              </w:rPr>
              <w:t>Other Non Acute;</w:t>
            </w:r>
            <w:r w:rsidRPr="00B01F1C">
              <w:rPr>
                <w:rFonts w:asciiTheme="minorHAnsi" w:hAnsiTheme="minorHAnsi"/>
                <w:sz w:val="20"/>
                <w:szCs w:val="20"/>
              </w:rPr>
              <w:t xml:space="preserve"> </w:t>
            </w:r>
            <w:r w:rsidR="00805FAF">
              <w:rPr>
                <w:rFonts w:asciiTheme="minorHAnsi" w:hAnsiTheme="minorHAnsi"/>
                <w:sz w:val="20"/>
                <w:szCs w:val="20"/>
              </w:rPr>
              <w:t>R</w:t>
            </w:r>
            <w:r w:rsidRPr="00B01F1C">
              <w:rPr>
                <w:rFonts w:asciiTheme="minorHAnsi" w:hAnsiTheme="minorHAnsi"/>
                <w:sz w:val="20"/>
                <w:szCs w:val="20"/>
              </w:rPr>
              <w:t>echarge for occupancy</w:t>
            </w:r>
            <w:r w:rsidR="00805FAF">
              <w:rPr>
                <w:rFonts w:asciiTheme="minorHAnsi" w:hAnsiTheme="minorHAnsi"/>
                <w:sz w:val="20"/>
                <w:szCs w:val="20"/>
              </w:rPr>
              <w:t xml:space="preserve"> by providers</w:t>
            </w:r>
            <w:r w:rsidRPr="00B01F1C">
              <w:rPr>
                <w:rFonts w:asciiTheme="minorHAnsi" w:hAnsiTheme="minorHAnsi"/>
                <w:sz w:val="20"/>
                <w:szCs w:val="20"/>
              </w:rPr>
              <w:t xml:space="preserve"> at </w:t>
            </w:r>
            <w:r w:rsidR="00805FAF">
              <w:rPr>
                <w:rFonts w:asciiTheme="minorHAnsi" w:hAnsiTheme="minorHAnsi"/>
                <w:sz w:val="20"/>
                <w:szCs w:val="20"/>
              </w:rPr>
              <w:t xml:space="preserve">the </w:t>
            </w:r>
            <w:r w:rsidRPr="00B01F1C">
              <w:rPr>
                <w:rFonts w:asciiTheme="minorHAnsi" w:hAnsiTheme="minorHAnsi"/>
                <w:sz w:val="20"/>
                <w:szCs w:val="20"/>
              </w:rPr>
              <w:t>Cromwell Road Premises</w:t>
            </w:r>
            <w:r w:rsidR="00805FAF">
              <w:rPr>
                <w:rFonts w:asciiTheme="minorHAnsi" w:hAnsiTheme="minorHAnsi"/>
                <w:sz w:val="20"/>
                <w:szCs w:val="20"/>
              </w:rPr>
              <w:t xml:space="preserve"> has now started, this income was not built into the budget but forms part of the CCGs Primary Care Premises QIPP plans.</w:t>
            </w:r>
          </w:p>
          <w:p w:rsidR="00331A93" w:rsidRPr="00331A93" w:rsidRDefault="00331A93" w:rsidP="00E01410">
            <w:pPr>
              <w:pStyle w:val="Default"/>
              <w:tabs>
                <w:tab w:val="left" w:pos="368"/>
              </w:tabs>
              <w:ind w:left="720"/>
              <w:jc w:val="both"/>
              <w:rPr>
                <w:rFonts w:asciiTheme="minorHAnsi" w:hAnsiTheme="minorHAnsi" w:cs="Calibri"/>
                <w:sz w:val="20"/>
                <w:szCs w:val="20"/>
              </w:rPr>
            </w:pPr>
          </w:p>
          <w:p w:rsidR="00331A93" w:rsidRPr="00331A93" w:rsidRDefault="00331A93" w:rsidP="00E01410">
            <w:pPr>
              <w:pStyle w:val="Default"/>
              <w:numPr>
                <w:ilvl w:val="0"/>
                <w:numId w:val="7"/>
              </w:numPr>
              <w:tabs>
                <w:tab w:val="left" w:pos="368"/>
              </w:tabs>
              <w:jc w:val="both"/>
              <w:rPr>
                <w:rFonts w:asciiTheme="minorHAnsi" w:hAnsiTheme="minorHAnsi" w:cs="Calibri"/>
                <w:sz w:val="20"/>
                <w:szCs w:val="20"/>
              </w:rPr>
            </w:pPr>
            <w:r w:rsidRPr="00EE180C">
              <w:rPr>
                <w:rFonts w:asciiTheme="minorHAnsi" w:hAnsiTheme="minorHAnsi"/>
                <w:b/>
                <w:sz w:val="20"/>
                <w:szCs w:val="20"/>
              </w:rPr>
              <w:t>Other Mental Health;</w:t>
            </w:r>
            <w:r w:rsidRPr="00B01F1C">
              <w:rPr>
                <w:rFonts w:asciiTheme="minorHAnsi" w:hAnsiTheme="minorHAnsi"/>
                <w:sz w:val="20"/>
                <w:szCs w:val="20"/>
              </w:rPr>
              <w:t xml:space="preserve"> From June an additional individual is now funded from the older peoples mental health budget resulting in an increase in forecast costs of £185k. This has been offset year to date by reduced activity within mental</w:t>
            </w:r>
            <w:r>
              <w:rPr>
                <w:rFonts w:asciiTheme="minorHAnsi" w:hAnsiTheme="minorHAnsi"/>
                <w:sz w:val="20"/>
                <w:szCs w:val="20"/>
              </w:rPr>
              <w:t xml:space="preserve"> health S117.</w:t>
            </w:r>
          </w:p>
          <w:p w:rsidR="00331A93" w:rsidRPr="00331A93" w:rsidRDefault="00331A93" w:rsidP="00E01410">
            <w:pPr>
              <w:pStyle w:val="Default"/>
              <w:tabs>
                <w:tab w:val="left" w:pos="368"/>
              </w:tabs>
              <w:ind w:left="720"/>
              <w:jc w:val="both"/>
              <w:rPr>
                <w:rFonts w:asciiTheme="minorHAnsi" w:hAnsiTheme="minorHAnsi" w:cs="Calibri"/>
                <w:sz w:val="20"/>
                <w:szCs w:val="20"/>
              </w:rPr>
            </w:pPr>
          </w:p>
          <w:p w:rsidR="00331A93" w:rsidRPr="00331A93" w:rsidRDefault="00331A93" w:rsidP="00E01410">
            <w:pPr>
              <w:pStyle w:val="Default"/>
              <w:numPr>
                <w:ilvl w:val="0"/>
                <w:numId w:val="7"/>
              </w:numPr>
              <w:tabs>
                <w:tab w:val="left" w:pos="368"/>
              </w:tabs>
              <w:jc w:val="both"/>
              <w:rPr>
                <w:rFonts w:asciiTheme="minorHAnsi" w:hAnsiTheme="minorHAnsi" w:cs="Calibri"/>
                <w:sz w:val="20"/>
                <w:szCs w:val="20"/>
              </w:rPr>
            </w:pPr>
            <w:r w:rsidRPr="00EE180C">
              <w:rPr>
                <w:rFonts w:asciiTheme="minorHAnsi" w:hAnsiTheme="minorHAnsi"/>
                <w:b/>
                <w:sz w:val="20"/>
                <w:szCs w:val="20"/>
              </w:rPr>
              <w:lastRenderedPageBreak/>
              <w:t>Continuing Healthcare;</w:t>
            </w:r>
            <w:r w:rsidRPr="00B01F1C">
              <w:rPr>
                <w:rFonts w:asciiTheme="minorHAnsi" w:hAnsiTheme="minorHAnsi"/>
                <w:sz w:val="20"/>
                <w:szCs w:val="20"/>
              </w:rPr>
              <w:t xml:space="preserve"> Activity levels have continued to fall lower than plan.  This trend has continued from the end of last year and relates mainly to those over 65 with a Physical Disability.</w:t>
            </w:r>
          </w:p>
          <w:p w:rsidR="00331A93" w:rsidRPr="00331A93" w:rsidRDefault="00331A93" w:rsidP="00E01410">
            <w:pPr>
              <w:pStyle w:val="Default"/>
              <w:tabs>
                <w:tab w:val="left" w:pos="368"/>
              </w:tabs>
              <w:ind w:left="720"/>
              <w:jc w:val="both"/>
              <w:rPr>
                <w:rFonts w:asciiTheme="minorHAnsi" w:hAnsiTheme="minorHAnsi" w:cs="Calibri"/>
                <w:sz w:val="20"/>
                <w:szCs w:val="20"/>
              </w:rPr>
            </w:pPr>
          </w:p>
          <w:p w:rsidR="00331A93" w:rsidRPr="00EE180C" w:rsidRDefault="00331A93" w:rsidP="00E01410">
            <w:pPr>
              <w:pStyle w:val="Default"/>
              <w:numPr>
                <w:ilvl w:val="0"/>
                <w:numId w:val="7"/>
              </w:numPr>
              <w:tabs>
                <w:tab w:val="left" w:pos="368"/>
              </w:tabs>
              <w:jc w:val="both"/>
              <w:rPr>
                <w:rFonts w:asciiTheme="minorHAnsi" w:hAnsiTheme="minorHAnsi" w:cs="Calibri"/>
                <w:sz w:val="20"/>
                <w:szCs w:val="20"/>
              </w:rPr>
            </w:pPr>
            <w:r w:rsidRPr="00EE180C">
              <w:rPr>
                <w:rFonts w:asciiTheme="minorHAnsi" w:hAnsiTheme="minorHAnsi"/>
                <w:b/>
                <w:sz w:val="20"/>
                <w:szCs w:val="20"/>
              </w:rPr>
              <w:t>Running Costs</w:t>
            </w:r>
            <w:r w:rsidR="00EE180C" w:rsidRPr="00EE180C">
              <w:rPr>
                <w:rFonts w:asciiTheme="minorHAnsi" w:hAnsiTheme="minorHAnsi"/>
                <w:b/>
                <w:sz w:val="20"/>
                <w:szCs w:val="20"/>
              </w:rPr>
              <w:t>;</w:t>
            </w:r>
            <w:r w:rsidRPr="00B01F1C">
              <w:rPr>
                <w:rFonts w:asciiTheme="minorHAnsi" w:hAnsiTheme="minorHAnsi"/>
                <w:sz w:val="20"/>
                <w:szCs w:val="20"/>
              </w:rPr>
              <w:t xml:space="preserve"> As part of our planning and preparation to achieve the required 20% running cost savings next year. It has been agreed that where </w:t>
            </w:r>
            <w:r w:rsidR="00805FAF">
              <w:rPr>
                <w:rFonts w:asciiTheme="minorHAnsi" w:hAnsiTheme="minorHAnsi"/>
                <w:sz w:val="20"/>
                <w:szCs w:val="20"/>
              </w:rPr>
              <w:t>a post has</w:t>
            </w:r>
            <w:r w:rsidRPr="00B01F1C">
              <w:rPr>
                <w:rFonts w:asciiTheme="minorHAnsi" w:hAnsiTheme="minorHAnsi"/>
                <w:sz w:val="20"/>
                <w:szCs w:val="20"/>
              </w:rPr>
              <w:t xml:space="preserve"> been </w:t>
            </w:r>
            <w:r w:rsidR="00805FAF">
              <w:rPr>
                <w:rFonts w:asciiTheme="minorHAnsi" w:hAnsiTheme="minorHAnsi"/>
                <w:sz w:val="20"/>
                <w:szCs w:val="20"/>
              </w:rPr>
              <w:t>vacant</w:t>
            </w:r>
            <w:r w:rsidRPr="00B01F1C">
              <w:rPr>
                <w:rFonts w:asciiTheme="minorHAnsi" w:hAnsiTheme="minorHAnsi"/>
                <w:sz w:val="20"/>
                <w:szCs w:val="20"/>
              </w:rPr>
              <w:t xml:space="preserve"> for over 12 month</w:t>
            </w:r>
            <w:r w:rsidR="00805FAF">
              <w:rPr>
                <w:rFonts w:asciiTheme="minorHAnsi" w:hAnsiTheme="minorHAnsi"/>
                <w:sz w:val="20"/>
                <w:szCs w:val="20"/>
              </w:rPr>
              <w:t>s</w:t>
            </w:r>
            <w:r w:rsidRPr="00B01F1C">
              <w:rPr>
                <w:rFonts w:asciiTheme="minorHAnsi" w:hAnsiTheme="minorHAnsi"/>
                <w:sz w:val="20"/>
                <w:szCs w:val="20"/>
              </w:rPr>
              <w:t xml:space="preserve"> th</w:t>
            </w:r>
            <w:r w:rsidR="00805FAF">
              <w:rPr>
                <w:rFonts w:asciiTheme="minorHAnsi" w:hAnsiTheme="minorHAnsi"/>
                <w:sz w:val="20"/>
                <w:szCs w:val="20"/>
              </w:rPr>
              <w:t>at it is</w:t>
            </w:r>
            <w:r w:rsidRPr="00B01F1C">
              <w:rPr>
                <w:rFonts w:asciiTheme="minorHAnsi" w:hAnsiTheme="minorHAnsi"/>
                <w:sz w:val="20"/>
                <w:szCs w:val="20"/>
              </w:rPr>
              <w:t xml:space="preserve"> </w:t>
            </w:r>
            <w:r w:rsidR="00805FAF">
              <w:rPr>
                <w:rFonts w:asciiTheme="minorHAnsi" w:hAnsiTheme="minorHAnsi"/>
                <w:sz w:val="20"/>
                <w:szCs w:val="20"/>
              </w:rPr>
              <w:t>removed from the establishment</w:t>
            </w:r>
            <w:r w:rsidRPr="00B01F1C">
              <w:rPr>
                <w:rFonts w:asciiTheme="minorHAnsi" w:hAnsiTheme="minorHAnsi"/>
                <w:sz w:val="20"/>
                <w:szCs w:val="20"/>
              </w:rPr>
              <w:t>.</w:t>
            </w:r>
          </w:p>
          <w:p w:rsidR="00EE180C" w:rsidRDefault="00EE180C" w:rsidP="00E01410">
            <w:pPr>
              <w:pStyle w:val="Default"/>
              <w:tabs>
                <w:tab w:val="left" w:pos="368"/>
              </w:tabs>
              <w:jc w:val="both"/>
              <w:rPr>
                <w:rFonts w:asciiTheme="minorHAnsi" w:eastAsia="Calibri" w:hAnsiTheme="minorHAnsi" w:cs="Calibri"/>
                <w:color w:val="auto"/>
                <w:sz w:val="20"/>
                <w:szCs w:val="20"/>
                <w:lang w:eastAsia="en-US"/>
              </w:rPr>
            </w:pPr>
          </w:p>
          <w:p w:rsidR="00630987" w:rsidRDefault="00EE180C" w:rsidP="00805FAF">
            <w:pPr>
              <w:pStyle w:val="Default"/>
              <w:numPr>
                <w:ilvl w:val="0"/>
                <w:numId w:val="7"/>
              </w:numPr>
              <w:jc w:val="both"/>
              <w:rPr>
                <w:rFonts w:asciiTheme="minorHAnsi" w:hAnsiTheme="minorHAnsi"/>
                <w:sz w:val="20"/>
                <w:szCs w:val="20"/>
              </w:rPr>
            </w:pPr>
            <w:r w:rsidRPr="00805FAF">
              <w:rPr>
                <w:rFonts w:asciiTheme="minorHAnsi" w:eastAsia="Calibri" w:hAnsiTheme="minorHAnsi" w:cs="Calibri"/>
                <w:b/>
                <w:color w:val="auto"/>
                <w:sz w:val="20"/>
                <w:szCs w:val="20"/>
                <w:lang w:eastAsia="en-US"/>
              </w:rPr>
              <w:t xml:space="preserve">Adult Social Care; </w:t>
            </w:r>
            <w:r w:rsidRPr="00805FAF">
              <w:rPr>
                <w:rFonts w:asciiTheme="minorHAnsi" w:hAnsiTheme="minorHAnsi"/>
                <w:sz w:val="20"/>
                <w:szCs w:val="20"/>
              </w:rPr>
              <w:t xml:space="preserve">There is no significant overall variance in activity from planned activity, however variances within care at home services and long term care are evident.  </w:t>
            </w:r>
          </w:p>
          <w:p w:rsidR="00805FAF" w:rsidRPr="00805FAF" w:rsidRDefault="00805FAF" w:rsidP="00805FAF">
            <w:pPr>
              <w:pStyle w:val="Default"/>
              <w:tabs>
                <w:tab w:val="left" w:pos="368"/>
              </w:tabs>
              <w:ind w:left="412"/>
              <w:jc w:val="both"/>
              <w:rPr>
                <w:rFonts w:asciiTheme="minorHAnsi" w:hAnsiTheme="minorHAnsi"/>
                <w:sz w:val="20"/>
                <w:szCs w:val="20"/>
              </w:rPr>
            </w:pPr>
          </w:p>
          <w:p w:rsidR="00EE180C" w:rsidRPr="00672300" w:rsidRDefault="00EE180C" w:rsidP="00EE180C">
            <w:pPr>
              <w:pStyle w:val="Default"/>
              <w:numPr>
                <w:ilvl w:val="0"/>
                <w:numId w:val="7"/>
              </w:numPr>
              <w:tabs>
                <w:tab w:val="left" w:pos="368"/>
              </w:tabs>
              <w:jc w:val="both"/>
              <w:rPr>
                <w:rFonts w:asciiTheme="minorHAnsi" w:hAnsiTheme="minorHAnsi"/>
                <w:b/>
                <w:sz w:val="20"/>
                <w:szCs w:val="20"/>
              </w:rPr>
            </w:pPr>
            <w:r w:rsidRPr="00EE180C">
              <w:rPr>
                <w:rFonts w:asciiTheme="minorHAnsi" w:hAnsiTheme="minorHAnsi"/>
                <w:b/>
                <w:sz w:val="20"/>
                <w:szCs w:val="20"/>
              </w:rPr>
              <w:t>Allocations;</w:t>
            </w:r>
            <w:r>
              <w:rPr>
                <w:rFonts w:asciiTheme="minorHAnsi" w:hAnsiTheme="minorHAnsi"/>
                <w:b/>
                <w:sz w:val="20"/>
                <w:szCs w:val="20"/>
              </w:rPr>
              <w:t xml:space="preserve"> </w:t>
            </w:r>
            <w:r w:rsidRPr="00EE180C">
              <w:rPr>
                <w:rFonts w:asciiTheme="minorHAnsi" w:hAnsiTheme="minorHAnsi"/>
                <w:sz w:val="20"/>
                <w:szCs w:val="20"/>
              </w:rPr>
              <w:t xml:space="preserve">The </w:t>
            </w:r>
            <w:r w:rsidR="007B59A2">
              <w:rPr>
                <w:rFonts w:asciiTheme="minorHAnsi" w:hAnsiTheme="minorHAnsi"/>
                <w:sz w:val="20"/>
                <w:szCs w:val="20"/>
              </w:rPr>
              <w:t xml:space="preserve">key allocation movements the </w:t>
            </w:r>
            <w:r w:rsidRPr="00EE180C">
              <w:rPr>
                <w:rFonts w:asciiTheme="minorHAnsi" w:hAnsiTheme="minorHAnsi"/>
                <w:sz w:val="20"/>
                <w:szCs w:val="20"/>
              </w:rPr>
              <w:t>CCG has received in-year</w:t>
            </w:r>
            <w:r w:rsidR="007B59A2">
              <w:rPr>
                <w:rFonts w:asciiTheme="minorHAnsi" w:hAnsiTheme="minorHAnsi"/>
                <w:sz w:val="20"/>
                <w:szCs w:val="20"/>
              </w:rPr>
              <w:t xml:space="preserve"> are noted below.</w:t>
            </w:r>
            <w:r w:rsidRPr="00EE180C">
              <w:rPr>
                <w:rFonts w:asciiTheme="minorHAnsi" w:hAnsiTheme="minorHAnsi"/>
                <w:sz w:val="20"/>
                <w:szCs w:val="20"/>
              </w:rPr>
              <w:t xml:space="preserve"> </w:t>
            </w:r>
            <w:r w:rsidR="0026231B">
              <w:rPr>
                <w:rFonts w:asciiTheme="minorHAnsi" w:hAnsiTheme="minorHAnsi"/>
                <w:sz w:val="20"/>
                <w:szCs w:val="20"/>
              </w:rPr>
              <w:t>This allocation is ring-fenced for the following services due to be delivered in 2019/20. These funds are fully committed.</w:t>
            </w:r>
          </w:p>
          <w:p w:rsidR="00672300" w:rsidRDefault="00672300" w:rsidP="00672300">
            <w:pPr>
              <w:pStyle w:val="ListParagraph"/>
              <w:rPr>
                <w:rFonts w:asciiTheme="minorHAnsi" w:hAnsiTheme="minorHAnsi"/>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1125"/>
              <w:gridCol w:w="1701"/>
            </w:tblGrid>
            <w:tr w:rsidR="00672300" w:rsidTr="00853A43">
              <w:tc>
                <w:tcPr>
                  <w:tcW w:w="5349" w:type="dxa"/>
                </w:tcPr>
                <w:p w:rsidR="00672300" w:rsidRDefault="00672300" w:rsidP="00672300">
                  <w:pPr>
                    <w:pStyle w:val="Default"/>
                    <w:tabs>
                      <w:tab w:val="left" w:pos="368"/>
                    </w:tabs>
                    <w:jc w:val="both"/>
                    <w:rPr>
                      <w:rFonts w:asciiTheme="minorHAnsi" w:hAnsiTheme="minorHAnsi"/>
                      <w:b/>
                      <w:sz w:val="20"/>
                      <w:szCs w:val="20"/>
                    </w:rPr>
                  </w:pPr>
                </w:p>
              </w:tc>
              <w:tc>
                <w:tcPr>
                  <w:tcW w:w="1134" w:type="dxa"/>
                </w:tcPr>
                <w:p w:rsidR="00672300" w:rsidRDefault="00672300" w:rsidP="00205CF1">
                  <w:pPr>
                    <w:pStyle w:val="Default"/>
                    <w:tabs>
                      <w:tab w:val="left" w:pos="368"/>
                    </w:tabs>
                    <w:jc w:val="center"/>
                    <w:rPr>
                      <w:rFonts w:asciiTheme="minorHAnsi" w:hAnsiTheme="minorHAnsi"/>
                      <w:b/>
                      <w:sz w:val="20"/>
                      <w:szCs w:val="20"/>
                    </w:rPr>
                  </w:pPr>
                  <w:r>
                    <w:rPr>
                      <w:rFonts w:asciiTheme="minorHAnsi" w:hAnsiTheme="minorHAnsi"/>
                      <w:b/>
                      <w:sz w:val="20"/>
                      <w:szCs w:val="20"/>
                    </w:rPr>
                    <w:t>£’m</w:t>
                  </w:r>
                </w:p>
              </w:tc>
              <w:tc>
                <w:tcPr>
                  <w:tcW w:w="1721" w:type="dxa"/>
                </w:tcPr>
                <w:p w:rsidR="00672300" w:rsidRDefault="00672300" w:rsidP="00672300">
                  <w:pPr>
                    <w:pStyle w:val="Default"/>
                    <w:tabs>
                      <w:tab w:val="left" w:pos="368"/>
                    </w:tabs>
                    <w:jc w:val="both"/>
                    <w:rPr>
                      <w:rFonts w:asciiTheme="minorHAnsi" w:hAnsiTheme="minorHAnsi"/>
                      <w:b/>
                      <w:sz w:val="20"/>
                      <w:szCs w:val="20"/>
                    </w:rPr>
                  </w:pPr>
                  <w:r>
                    <w:rPr>
                      <w:rFonts w:asciiTheme="minorHAnsi" w:hAnsiTheme="minorHAnsi"/>
                      <w:b/>
                      <w:sz w:val="20"/>
                      <w:szCs w:val="20"/>
                    </w:rPr>
                    <w:t>Per Table 1</w:t>
                  </w:r>
                </w:p>
              </w:tc>
            </w:tr>
            <w:tr w:rsidR="00672300" w:rsidTr="00853A43">
              <w:tc>
                <w:tcPr>
                  <w:tcW w:w="5349" w:type="dxa"/>
                </w:tcPr>
                <w:p w:rsidR="00672300" w:rsidRDefault="00672300" w:rsidP="00672300">
                  <w:pPr>
                    <w:pStyle w:val="Default"/>
                    <w:tabs>
                      <w:tab w:val="left" w:pos="368"/>
                    </w:tabs>
                    <w:jc w:val="both"/>
                    <w:rPr>
                      <w:rFonts w:asciiTheme="minorHAnsi" w:hAnsiTheme="minorHAnsi"/>
                      <w:b/>
                      <w:sz w:val="20"/>
                      <w:szCs w:val="20"/>
                    </w:rPr>
                  </w:pPr>
                  <w:r w:rsidRPr="00B01F1C">
                    <w:rPr>
                      <w:rFonts w:asciiTheme="minorHAnsi" w:hAnsiTheme="minorHAnsi"/>
                      <w:sz w:val="20"/>
                    </w:rPr>
                    <w:t>ETTF Revenue</w:t>
                  </w:r>
                </w:p>
              </w:tc>
              <w:tc>
                <w:tcPr>
                  <w:tcW w:w="1134" w:type="dxa"/>
                </w:tcPr>
                <w:p w:rsidR="00672300" w:rsidRDefault="00672300" w:rsidP="00205CF1">
                  <w:pPr>
                    <w:pStyle w:val="Default"/>
                    <w:tabs>
                      <w:tab w:val="left" w:pos="368"/>
                    </w:tabs>
                    <w:jc w:val="center"/>
                    <w:rPr>
                      <w:rFonts w:asciiTheme="minorHAnsi" w:hAnsiTheme="minorHAnsi"/>
                      <w:b/>
                      <w:sz w:val="20"/>
                      <w:szCs w:val="20"/>
                    </w:rPr>
                  </w:pPr>
                  <w:r w:rsidRPr="00B01F1C">
                    <w:rPr>
                      <w:rFonts w:asciiTheme="minorHAnsi" w:hAnsiTheme="minorHAnsi"/>
                      <w:sz w:val="20"/>
                    </w:rPr>
                    <w:t>0.434</w:t>
                  </w:r>
                </w:p>
              </w:tc>
              <w:tc>
                <w:tcPr>
                  <w:tcW w:w="1721" w:type="dxa"/>
                </w:tcPr>
                <w:p w:rsidR="00672300" w:rsidRPr="00672300" w:rsidRDefault="00672300" w:rsidP="00672300">
                  <w:pPr>
                    <w:pStyle w:val="Default"/>
                    <w:tabs>
                      <w:tab w:val="left" w:pos="368"/>
                    </w:tabs>
                    <w:jc w:val="both"/>
                    <w:rPr>
                      <w:rFonts w:asciiTheme="minorHAnsi" w:hAnsiTheme="minorHAnsi"/>
                      <w:sz w:val="20"/>
                      <w:szCs w:val="20"/>
                    </w:rPr>
                  </w:pPr>
                  <w:r w:rsidRPr="00672300">
                    <w:rPr>
                      <w:rFonts w:asciiTheme="minorHAnsi" w:hAnsiTheme="minorHAnsi"/>
                      <w:sz w:val="20"/>
                      <w:szCs w:val="20"/>
                    </w:rPr>
                    <w:t>Primary care</w:t>
                  </w:r>
                </w:p>
              </w:tc>
            </w:tr>
            <w:tr w:rsidR="00672300" w:rsidTr="00853A43">
              <w:tc>
                <w:tcPr>
                  <w:tcW w:w="5349" w:type="dxa"/>
                </w:tcPr>
                <w:p w:rsidR="00672300" w:rsidRDefault="00672300" w:rsidP="00672300">
                  <w:pPr>
                    <w:pStyle w:val="Default"/>
                    <w:tabs>
                      <w:tab w:val="left" w:pos="368"/>
                    </w:tabs>
                    <w:jc w:val="both"/>
                    <w:rPr>
                      <w:rFonts w:asciiTheme="minorHAnsi" w:hAnsiTheme="minorHAnsi"/>
                      <w:b/>
                      <w:sz w:val="20"/>
                      <w:szCs w:val="20"/>
                    </w:rPr>
                  </w:pPr>
                  <w:r w:rsidRPr="00B01F1C">
                    <w:rPr>
                      <w:rFonts w:asciiTheme="minorHAnsi" w:hAnsiTheme="minorHAnsi"/>
                      <w:sz w:val="20"/>
                    </w:rPr>
                    <w:t>Excess Treatment Costs</w:t>
                  </w:r>
                </w:p>
              </w:tc>
              <w:tc>
                <w:tcPr>
                  <w:tcW w:w="1134" w:type="dxa"/>
                </w:tcPr>
                <w:p w:rsidR="00672300" w:rsidRDefault="00672300" w:rsidP="00205CF1">
                  <w:pPr>
                    <w:pStyle w:val="Default"/>
                    <w:tabs>
                      <w:tab w:val="left" w:pos="368"/>
                    </w:tabs>
                    <w:jc w:val="center"/>
                    <w:rPr>
                      <w:rFonts w:asciiTheme="minorHAnsi" w:hAnsiTheme="minorHAnsi"/>
                      <w:b/>
                      <w:sz w:val="20"/>
                      <w:szCs w:val="20"/>
                    </w:rPr>
                  </w:pPr>
                  <w:r w:rsidRPr="00B01F1C">
                    <w:rPr>
                      <w:rFonts w:asciiTheme="minorHAnsi" w:hAnsiTheme="minorHAnsi"/>
                      <w:sz w:val="20"/>
                    </w:rPr>
                    <w:t>(0.01</w:t>
                  </w:r>
                  <w:r w:rsidR="00205CF1">
                    <w:rPr>
                      <w:rFonts w:asciiTheme="minorHAnsi" w:hAnsiTheme="minorHAnsi"/>
                      <w:sz w:val="20"/>
                    </w:rPr>
                    <w:t>0</w:t>
                  </w:r>
                  <w:r w:rsidRPr="00B01F1C">
                    <w:rPr>
                      <w:rFonts w:asciiTheme="minorHAnsi" w:hAnsiTheme="minorHAnsi"/>
                      <w:sz w:val="20"/>
                    </w:rPr>
                    <w:t>)</w:t>
                  </w:r>
                </w:p>
              </w:tc>
              <w:tc>
                <w:tcPr>
                  <w:tcW w:w="1721" w:type="dxa"/>
                </w:tcPr>
                <w:p w:rsidR="00672300" w:rsidRPr="00672300" w:rsidRDefault="00672300" w:rsidP="00672300">
                  <w:pPr>
                    <w:pStyle w:val="Default"/>
                    <w:tabs>
                      <w:tab w:val="left" w:pos="368"/>
                    </w:tabs>
                    <w:jc w:val="both"/>
                    <w:rPr>
                      <w:rFonts w:asciiTheme="minorHAnsi" w:hAnsiTheme="minorHAnsi"/>
                      <w:sz w:val="20"/>
                      <w:szCs w:val="20"/>
                    </w:rPr>
                  </w:pPr>
                  <w:r w:rsidRPr="00672300">
                    <w:rPr>
                      <w:rFonts w:asciiTheme="minorHAnsi" w:hAnsiTheme="minorHAnsi"/>
                      <w:sz w:val="20"/>
                      <w:szCs w:val="20"/>
                    </w:rPr>
                    <w:t>Reserves</w:t>
                  </w:r>
                </w:p>
              </w:tc>
            </w:tr>
            <w:tr w:rsidR="00672300" w:rsidTr="00853A43">
              <w:tc>
                <w:tcPr>
                  <w:tcW w:w="5349" w:type="dxa"/>
                </w:tcPr>
                <w:p w:rsidR="00672300" w:rsidRDefault="00672300" w:rsidP="00672300">
                  <w:pPr>
                    <w:pStyle w:val="Default"/>
                    <w:tabs>
                      <w:tab w:val="left" w:pos="368"/>
                    </w:tabs>
                    <w:jc w:val="both"/>
                    <w:rPr>
                      <w:rFonts w:asciiTheme="minorHAnsi" w:hAnsiTheme="minorHAnsi"/>
                      <w:b/>
                      <w:sz w:val="20"/>
                      <w:szCs w:val="20"/>
                    </w:rPr>
                  </w:pPr>
                  <w:r w:rsidRPr="00B01F1C">
                    <w:rPr>
                      <w:rFonts w:asciiTheme="minorHAnsi" w:hAnsiTheme="minorHAnsi"/>
                      <w:sz w:val="20"/>
                    </w:rPr>
                    <w:t>DWP Employment Advisors in IAPT</w:t>
                  </w:r>
                </w:p>
              </w:tc>
              <w:tc>
                <w:tcPr>
                  <w:tcW w:w="1134" w:type="dxa"/>
                </w:tcPr>
                <w:p w:rsidR="00672300" w:rsidRDefault="00672300" w:rsidP="00205CF1">
                  <w:pPr>
                    <w:pStyle w:val="Default"/>
                    <w:tabs>
                      <w:tab w:val="left" w:pos="368"/>
                    </w:tabs>
                    <w:jc w:val="center"/>
                    <w:rPr>
                      <w:rFonts w:asciiTheme="minorHAnsi" w:hAnsiTheme="minorHAnsi"/>
                      <w:b/>
                      <w:sz w:val="20"/>
                      <w:szCs w:val="20"/>
                    </w:rPr>
                  </w:pPr>
                  <w:r w:rsidRPr="00B01F1C">
                    <w:rPr>
                      <w:rFonts w:asciiTheme="minorHAnsi" w:hAnsiTheme="minorHAnsi"/>
                      <w:sz w:val="20"/>
                    </w:rPr>
                    <w:t>0.092</w:t>
                  </w:r>
                </w:p>
              </w:tc>
              <w:tc>
                <w:tcPr>
                  <w:tcW w:w="1721" w:type="dxa"/>
                </w:tcPr>
                <w:p w:rsidR="00672300" w:rsidRPr="00672300" w:rsidRDefault="00672300" w:rsidP="00672300">
                  <w:pPr>
                    <w:pStyle w:val="Default"/>
                    <w:tabs>
                      <w:tab w:val="left" w:pos="368"/>
                    </w:tabs>
                    <w:jc w:val="both"/>
                    <w:rPr>
                      <w:rFonts w:asciiTheme="minorHAnsi" w:hAnsiTheme="minorHAnsi"/>
                      <w:sz w:val="20"/>
                      <w:szCs w:val="20"/>
                    </w:rPr>
                  </w:pPr>
                  <w:r w:rsidRPr="00672300">
                    <w:rPr>
                      <w:rFonts w:asciiTheme="minorHAnsi" w:hAnsiTheme="minorHAnsi"/>
                      <w:sz w:val="20"/>
                      <w:szCs w:val="20"/>
                    </w:rPr>
                    <w:t>Navigo</w:t>
                  </w:r>
                </w:p>
              </w:tc>
            </w:tr>
            <w:tr w:rsidR="00672300" w:rsidTr="00853A43">
              <w:tc>
                <w:tcPr>
                  <w:tcW w:w="5349" w:type="dxa"/>
                </w:tcPr>
                <w:p w:rsidR="00672300" w:rsidRDefault="00672300" w:rsidP="00672300">
                  <w:pPr>
                    <w:pStyle w:val="Default"/>
                    <w:tabs>
                      <w:tab w:val="left" w:pos="368"/>
                    </w:tabs>
                    <w:jc w:val="both"/>
                    <w:rPr>
                      <w:rFonts w:asciiTheme="minorHAnsi" w:hAnsiTheme="minorHAnsi"/>
                      <w:b/>
                      <w:sz w:val="20"/>
                      <w:szCs w:val="20"/>
                    </w:rPr>
                  </w:pPr>
                  <w:r w:rsidRPr="00B01F1C">
                    <w:rPr>
                      <w:rFonts w:asciiTheme="minorHAnsi" w:hAnsiTheme="minorHAnsi"/>
                      <w:sz w:val="20"/>
                    </w:rPr>
                    <w:t>Improving Access Allocations 19/20 from National Programme</w:t>
                  </w:r>
                </w:p>
              </w:tc>
              <w:tc>
                <w:tcPr>
                  <w:tcW w:w="1134" w:type="dxa"/>
                  <w:tcBorders>
                    <w:bottom w:val="single" w:sz="4" w:space="0" w:color="auto"/>
                  </w:tcBorders>
                </w:tcPr>
                <w:p w:rsidR="00672300" w:rsidRDefault="00672300" w:rsidP="00205CF1">
                  <w:pPr>
                    <w:pStyle w:val="Default"/>
                    <w:tabs>
                      <w:tab w:val="left" w:pos="368"/>
                    </w:tabs>
                    <w:jc w:val="center"/>
                    <w:rPr>
                      <w:rFonts w:asciiTheme="minorHAnsi" w:hAnsiTheme="minorHAnsi"/>
                      <w:b/>
                      <w:sz w:val="20"/>
                      <w:szCs w:val="20"/>
                    </w:rPr>
                  </w:pPr>
                  <w:r w:rsidRPr="00B01F1C">
                    <w:rPr>
                      <w:rFonts w:asciiTheme="minorHAnsi" w:hAnsiTheme="minorHAnsi"/>
                      <w:sz w:val="20"/>
                    </w:rPr>
                    <w:t>1.057</w:t>
                  </w:r>
                </w:p>
              </w:tc>
              <w:tc>
                <w:tcPr>
                  <w:tcW w:w="1721" w:type="dxa"/>
                </w:tcPr>
                <w:p w:rsidR="00672300" w:rsidRPr="00672300" w:rsidRDefault="00672300" w:rsidP="00672300">
                  <w:pPr>
                    <w:pStyle w:val="Default"/>
                    <w:tabs>
                      <w:tab w:val="left" w:pos="368"/>
                    </w:tabs>
                    <w:jc w:val="both"/>
                    <w:rPr>
                      <w:rFonts w:asciiTheme="minorHAnsi" w:hAnsiTheme="minorHAnsi"/>
                      <w:sz w:val="20"/>
                      <w:szCs w:val="20"/>
                    </w:rPr>
                  </w:pPr>
                  <w:r w:rsidRPr="00672300">
                    <w:rPr>
                      <w:rFonts w:asciiTheme="minorHAnsi" w:hAnsiTheme="minorHAnsi"/>
                      <w:sz w:val="20"/>
                      <w:szCs w:val="20"/>
                    </w:rPr>
                    <w:t>Primary care</w:t>
                  </w:r>
                </w:p>
              </w:tc>
            </w:tr>
            <w:tr w:rsidR="00672300" w:rsidTr="00853A43">
              <w:tc>
                <w:tcPr>
                  <w:tcW w:w="5349" w:type="dxa"/>
                </w:tcPr>
                <w:p w:rsidR="00672300" w:rsidRPr="00B01F1C" w:rsidRDefault="00672300" w:rsidP="00672300">
                  <w:pPr>
                    <w:pStyle w:val="Default"/>
                    <w:tabs>
                      <w:tab w:val="left" w:pos="368"/>
                    </w:tabs>
                    <w:jc w:val="both"/>
                    <w:rPr>
                      <w:rFonts w:asciiTheme="minorHAnsi" w:hAnsiTheme="minorHAnsi"/>
                      <w:sz w:val="20"/>
                    </w:rPr>
                  </w:pPr>
                </w:p>
              </w:tc>
              <w:tc>
                <w:tcPr>
                  <w:tcW w:w="1134" w:type="dxa"/>
                  <w:tcBorders>
                    <w:top w:val="single" w:sz="4" w:space="0" w:color="auto"/>
                    <w:bottom w:val="single" w:sz="4" w:space="0" w:color="auto"/>
                  </w:tcBorders>
                </w:tcPr>
                <w:p w:rsidR="00672300" w:rsidRPr="00B01F1C" w:rsidRDefault="00672300" w:rsidP="00205CF1">
                  <w:pPr>
                    <w:pStyle w:val="Default"/>
                    <w:tabs>
                      <w:tab w:val="left" w:pos="368"/>
                    </w:tabs>
                    <w:jc w:val="center"/>
                    <w:rPr>
                      <w:rFonts w:asciiTheme="minorHAnsi" w:hAnsiTheme="minorHAnsi"/>
                      <w:sz w:val="20"/>
                    </w:rPr>
                  </w:pPr>
                  <w:r>
                    <w:rPr>
                      <w:rFonts w:asciiTheme="minorHAnsi" w:hAnsiTheme="minorHAnsi"/>
                      <w:sz w:val="20"/>
                    </w:rPr>
                    <w:t>1.573</w:t>
                  </w:r>
                </w:p>
              </w:tc>
              <w:tc>
                <w:tcPr>
                  <w:tcW w:w="1721" w:type="dxa"/>
                </w:tcPr>
                <w:p w:rsidR="00672300" w:rsidRPr="00672300" w:rsidRDefault="00672300" w:rsidP="00672300">
                  <w:pPr>
                    <w:pStyle w:val="Default"/>
                    <w:tabs>
                      <w:tab w:val="left" w:pos="368"/>
                    </w:tabs>
                    <w:jc w:val="both"/>
                    <w:rPr>
                      <w:rFonts w:asciiTheme="minorHAnsi" w:hAnsiTheme="minorHAnsi"/>
                      <w:sz w:val="20"/>
                      <w:szCs w:val="20"/>
                    </w:rPr>
                  </w:pPr>
                </w:p>
              </w:tc>
            </w:tr>
          </w:tbl>
          <w:p w:rsidR="0026231B" w:rsidRDefault="0026231B" w:rsidP="00630987">
            <w:pPr>
              <w:pStyle w:val="Default"/>
              <w:tabs>
                <w:tab w:val="left" w:pos="368"/>
              </w:tabs>
              <w:ind w:left="412"/>
              <w:jc w:val="both"/>
              <w:rPr>
                <w:rFonts w:asciiTheme="minorHAnsi" w:hAnsiTheme="minorHAnsi"/>
                <w:sz w:val="20"/>
                <w:szCs w:val="20"/>
              </w:rPr>
            </w:pPr>
          </w:p>
          <w:p w:rsidR="00A21FC9" w:rsidRPr="00A21FC9" w:rsidRDefault="00A21FC9" w:rsidP="00A21FC9">
            <w:pPr>
              <w:pStyle w:val="Default"/>
              <w:numPr>
                <w:ilvl w:val="0"/>
                <w:numId w:val="7"/>
              </w:numPr>
              <w:tabs>
                <w:tab w:val="left" w:pos="126"/>
              </w:tabs>
              <w:ind w:left="409"/>
              <w:jc w:val="both"/>
              <w:rPr>
                <w:rFonts w:asciiTheme="minorHAnsi" w:hAnsiTheme="minorHAnsi"/>
                <w:b/>
                <w:sz w:val="20"/>
                <w:szCs w:val="20"/>
              </w:rPr>
            </w:pPr>
            <w:r w:rsidRPr="00A21FC9">
              <w:rPr>
                <w:rFonts w:asciiTheme="minorHAnsi" w:hAnsiTheme="minorHAnsi"/>
                <w:b/>
                <w:sz w:val="20"/>
                <w:szCs w:val="20"/>
              </w:rPr>
              <w:t>Risks &amp; mitigations</w:t>
            </w:r>
            <w:r w:rsidR="00D64192">
              <w:rPr>
                <w:rFonts w:asciiTheme="minorHAnsi" w:hAnsiTheme="minorHAnsi"/>
                <w:b/>
                <w:sz w:val="20"/>
                <w:szCs w:val="20"/>
              </w:rPr>
              <w:t>:</w:t>
            </w:r>
          </w:p>
          <w:p w:rsidR="00EE180C" w:rsidRDefault="00EE180C" w:rsidP="00630987">
            <w:pPr>
              <w:pStyle w:val="Default"/>
              <w:tabs>
                <w:tab w:val="left" w:pos="368"/>
              </w:tabs>
              <w:ind w:left="412"/>
              <w:jc w:val="both"/>
              <w:rPr>
                <w:rFonts w:asciiTheme="minorHAnsi" w:hAnsiTheme="minorHAnsi"/>
                <w:sz w:val="20"/>
                <w:szCs w:val="20"/>
              </w:rPr>
            </w:pPr>
          </w:p>
          <w:p w:rsidR="00D64192" w:rsidRDefault="00D64192" w:rsidP="00D64192">
            <w:pPr>
              <w:ind w:left="551"/>
              <w:rPr>
                <w:rFonts w:asciiTheme="minorHAnsi" w:hAnsiTheme="minorHAnsi" w:cs="Arial"/>
                <w:sz w:val="20"/>
                <w:lang w:eastAsia="en-GB"/>
              </w:rPr>
            </w:pPr>
            <w:r w:rsidRPr="00B01F1C">
              <w:rPr>
                <w:rFonts w:asciiTheme="minorHAnsi" w:hAnsiTheme="minorHAnsi" w:cs="Arial"/>
                <w:sz w:val="20"/>
                <w:lang w:eastAsia="en-GB"/>
              </w:rPr>
              <w:t xml:space="preserve">The CCG </w:t>
            </w:r>
            <w:r>
              <w:rPr>
                <w:rFonts w:asciiTheme="minorHAnsi" w:hAnsiTheme="minorHAnsi" w:cs="Arial"/>
                <w:sz w:val="20"/>
                <w:lang w:eastAsia="en-GB"/>
              </w:rPr>
              <w:t>has a number of significant risks that need</w:t>
            </w:r>
            <w:r w:rsidRPr="00B01F1C">
              <w:rPr>
                <w:rFonts w:asciiTheme="minorHAnsi" w:hAnsiTheme="minorHAnsi" w:cs="Arial"/>
                <w:sz w:val="20"/>
                <w:lang w:eastAsia="en-GB"/>
              </w:rPr>
              <w:t xml:space="preserve"> to </w:t>
            </w:r>
            <w:r>
              <w:rPr>
                <w:rFonts w:asciiTheme="minorHAnsi" w:hAnsiTheme="minorHAnsi" w:cs="Arial"/>
                <w:sz w:val="20"/>
                <w:lang w:eastAsia="en-GB"/>
              </w:rPr>
              <w:t xml:space="preserve">be </w:t>
            </w:r>
            <w:r w:rsidRPr="00B01F1C">
              <w:rPr>
                <w:rFonts w:asciiTheme="minorHAnsi" w:hAnsiTheme="minorHAnsi" w:cs="Arial"/>
                <w:sz w:val="20"/>
                <w:lang w:eastAsia="en-GB"/>
              </w:rPr>
              <w:t>manage</w:t>
            </w:r>
            <w:r>
              <w:rPr>
                <w:rFonts w:asciiTheme="minorHAnsi" w:hAnsiTheme="minorHAnsi" w:cs="Arial"/>
                <w:sz w:val="20"/>
                <w:lang w:eastAsia="en-GB"/>
              </w:rPr>
              <w:t>d in the remainder of the year, the key ones being</w:t>
            </w:r>
            <w:r w:rsidRPr="00B01F1C">
              <w:rPr>
                <w:rFonts w:asciiTheme="minorHAnsi" w:hAnsiTheme="minorHAnsi" w:cs="Arial"/>
                <w:sz w:val="20"/>
                <w:lang w:eastAsia="en-GB"/>
              </w:rPr>
              <w:t>:-</w:t>
            </w:r>
          </w:p>
          <w:p w:rsidR="00D64192" w:rsidRDefault="00D64192" w:rsidP="00D64192">
            <w:pPr>
              <w:ind w:firstLine="554"/>
              <w:rPr>
                <w:rFonts w:asciiTheme="minorHAnsi" w:hAnsiTheme="minorHAnsi" w:cs="Arial"/>
                <w:sz w:val="20"/>
                <w:lang w:eastAsia="en-GB"/>
              </w:rPr>
            </w:pPr>
          </w:p>
          <w:tbl>
            <w:tblPr>
              <w:tblW w:w="10460" w:type="dxa"/>
              <w:tblInd w:w="5" w:type="dxa"/>
              <w:tblLook w:val="04A0" w:firstRow="1" w:lastRow="0" w:firstColumn="1" w:lastColumn="0" w:noHBand="0" w:noVBand="1"/>
            </w:tblPr>
            <w:tblGrid>
              <w:gridCol w:w="9837"/>
              <w:gridCol w:w="623"/>
            </w:tblGrid>
            <w:tr w:rsidR="00D64192" w:rsidRPr="00B01F1C" w:rsidTr="0040578C">
              <w:trPr>
                <w:trHeight w:val="315"/>
              </w:trPr>
              <w:tc>
                <w:tcPr>
                  <w:tcW w:w="10460" w:type="dxa"/>
                  <w:gridSpan w:val="2"/>
                  <w:tcBorders>
                    <w:top w:val="nil"/>
                    <w:left w:val="nil"/>
                    <w:bottom w:val="nil"/>
                    <w:right w:val="nil"/>
                  </w:tcBorders>
                  <w:shd w:val="clear" w:color="auto" w:fill="auto"/>
                  <w:hideMark/>
                </w:tcPr>
                <w:p w:rsidR="00D64192" w:rsidRPr="00B01F1C" w:rsidRDefault="00D64192" w:rsidP="00D64192">
                  <w:pPr>
                    <w:ind w:firstLine="440"/>
                    <w:rPr>
                      <w:rFonts w:asciiTheme="minorHAnsi" w:hAnsiTheme="minorHAnsi" w:cs="Arial"/>
                      <w:sz w:val="20"/>
                      <w:lang w:eastAsia="en-GB"/>
                    </w:rPr>
                  </w:pPr>
                  <w:r w:rsidRPr="00B01F1C">
                    <w:rPr>
                      <w:rFonts w:asciiTheme="minorHAnsi" w:hAnsiTheme="minorHAnsi" w:cs="Arial"/>
                      <w:sz w:val="20"/>
                      <w:lang w:eastAsia="en-GB"/>
                    </w:rPr>
                    <w:t xml:space="preserve">(i)   </w:t>
                  </w:r>
                  <w:r w:rsidR="004C3306">
                    <w:rPr>
                      <w:rFonts w:asciiTheme="minorHAnsi" w:hAnsiTheme="minorHAnsi" w:cs="Arial"/>
                      <w:sz w:val="20"/>
                      <w:lang w:eastAsia="en-GB"/>
                    </w:rPr>
                    <w:t xml:space="preserve">Managing demand, in particular </w:t>
                  </w:r>
                  <w:r w:rsidRPr="00B01F1C">
                    <w:rPr>
                      <w:rFonts w:asciiTheme="minorHAnsi" w:hAnsiTheme="minorHAnsi" w:cs="Arial"/>
                      <w:sz w:val="20"/>
                      <w:lang w:eastAsia="en-GB"/>
                    </w:rPr>
                    <w:t>Acute activity being higher than planned</w:t>
                  </w:r>
                </w:p>
              </w:tc>
            </w:tr>
            <w:tr w:rsidR="00D64192" w:rsidRPr="00B01F1C" w:rsidTr="0040578C">
              <w:trPr>
                <w:gridAfter w:val="1"/>
                <w:wAfter w:w="623" w:type="dxa"/>
                <w:trHeight w:val="330"/>
              </w:trPr>
              <w:tc>
                <w:tcPr>
                  <w:tcW w:w="9837" w:type="dxa"/>
                  <w:tcBorders>
                    <w:top w:val="nil"/>
                    <w:left w:val="nil"/>
                    <w:bottom w:val="nil"/>
                    <w:right w:val="nil"/>
                  </w:tcBorders>
                  <w:shd w:val="clear" w:color="auto" w:fill="auto"/>
                  <w:hideMark/>
                </w:tcPr>
                <w:p w:rsidR="004C3306" w:rsidRDefault="00D64192" w:rsidP="004C3306">
                  <w:pPr>
                    <w:ind w:firstLine="440"/>
                    <w:jc w:val="both"/>
                    <w:rPr>
                      <w:rFonts w:asciiTheme="minorHAnsi" w:hAnsiTheme="minorHAnsi" w:cs="Arial"/>
                      <w:sz w:val="20"/>
                      <w:lang w:eastAsia="en-GB"/>
                    </w:rPr>
                  </w:pPr>
                  <w:r w:rsidRPr="00B01F1C">
                    <w:rPr>
                      <w:rFonts w:asciiTheme="minorHAnsi" w:hAnsiTheme="minorHAnsi" w:cs="Arial"/>
                      <w:sz w:val="20"/>
                      <w:lang w:eastAsia="en-GB"/>
                    </w:rPr>
                    <w:t xml:space="preserve">(ii)  Delivery of the </w:t>
                  </w:r>
                  <w:r w:rsidR="004C3306">
                    <w:rPr>
                      <w:rFonts w:asciiTheme="minorHAnsi" w:hAnsiTheme="minorHAnsi" w:cs="Arial"/>
                      <w:sz w:val="20"/>
                      <w:lang w:eastAsia="en-GB"/>
                    </w:rPr>
                    <w:t>planned savings, in particular:</w:t>
                  </w:r>
                </w:p>
                <w:p w:rsidR="00D64192" w:rsidRPr="004C3306" w:rsidRDefault="004C3306" w:rsidP="00603475">
                  <w:pPr>
                    <w:pStyle w:val="ListParagraph"/>
                    <w:numPr>
                      <w:ilvl w:val="0"/>
                      <w:numId w:val="23"/>
                    </w:numPr>
                    <w:jc w:val="both"/>
                    <w:rPr>
                      <w:rFonts w:asciiTheme="minorHAnsi" w:hAnsiTheme="minorHAnsi" w:cs="Arial"/>
                      <w:sz w:val="20"/>
                      <w:lang w:eastAsia="en-GB"/>
                    </w:rPr>
                  </w:pPr>
                  <w:r w:rsidRPr="004C3306">
                    <w:rPr>
                      <w:rFonts w:asciiTheme="minorHAnsi" w:hAnsiTheme="minorHAnsi" w:cs="Arial"/>
                      <w:sz w:val="20"/>
                      <w:lang w:eastAsia="en-GB"/>
                    </w:rPr>
                    <w:t xml:space="preserve">the </w:t>
                  </w:r>
                  <w:r w:rsidR="00D64192" w:rsidRPr="004C3306">
                    <w:rPr>
                      <w:rFonts w:asciiTheme="minorHAnsi" w:hAnsiTheme="minorHAnsi" w:cs="Arial"/>
                      <w:sz w:val="20"/>
                      <w:lang w:eastAsia="en-GB"/>
                    </w:rPr>
                    <w:t xml:space="preserve">Northern Lincolnshire and Goole FT  transformation schemes    </w:t>
                  </w:r>
                </w:p>
                <w:p w:rsidR="00D64192" w:rsidRDefault="004C3306" w:rsidP="00603475">
                  <w:pPr>
                    <w:pStyle w:val="ListParagraph"/>
                    <w:numPr>
                      <w:ilvl w:val="0"/>
                      <w:numId w:val="23"/>
                    </w:numPr>
                    <w:jc w:val="both"/>
                    <w:rPr>
                      <w:rFonts w:asciiTheme="minorHAnsi" w:hAnsiTheme="minorHAnsi" w:cs="Arial"/>
                      <w:sz w:val="20"/>
                      <w:lang w:eastAsia="en-GB"/>
                    </w:rPr>
                  </w:pPr>
                  <w:r>
                    <w:rPr>
                      <w:rFonts w:asciiTheme="minorHAnsi" w:hAnsiTheme="minorHAnsi" w:cs="Arial"/>
                      <w:sz w:val="20"/>
                      <w:lang w:eastAsia="en-GB"/>
                    </w:rPr>
                    <w:t>PCN demand management (prescribing &amp; non-elective activity)</w:t>
                  </w:r>
                </w:p>
                <w:p w:rsidR="004C3306" w:rsidRPr="00D64192" w:rsidRDefault="004C3306" w:rsidP="00603475">
                  <w:pPr>
                    <w:pStyle w:val="ListParagraph"/>
                    <w:numPr>
                      <w:ilvl w:val="0"/>
                      <w:numId w:val="23"/>
                    </w:numPr>
                    <w:jc w:val="both"/>
                    <w:rPr>
                      <w:rFonts w:asciiTheme="minorHAnsi" w:hAnsiTheme="minorHAnsi" w:cs="Arial"/>
                      <w:sz w:val="20"/>
                      <w:lang w:eastAsia="en-GB"/>
                    </w:rPr>
                  </w:pPr>
                  <w:r>
                    <w:rPr>
                      <w:rFonts w:asciiTheme="minorHAnsi" w:hAnsiTheme="minorHAnsi" w:cs="Arial"/>
                      <w:sz w:val="20"/>
                      <w:lang w:eastAsia="en-GB"/>
                    </w:rPr>
                    <w:t xml:space="preserve">Adult Social Care; </w:t>
                  </w:r>
                  <w:r w:rsidRPr="00B01F1C">
                    <w:rPr>
                      <w:rFonts w:asciiTheme="minorHAnsi" w:hAnsiTheme="minorHAnsi"/>
                      <w:sz w:val="20"/>
                      <w:szCs w:val="20"/>
                    </w:rPr>
                    <w:t>£1m savings via the Union arrangements</w:t>
                  </w:r>
                </w:p>
              </w:tc>
            </w:tr>
          </w:tbl>
          <w:p w:rsidR="000579F0" w:rsidRDefault="00703A11" w:rsidP="00D64192">
            <w:pPr>
              <w:pStyle w:val="Default"/>
              <w:tabs>
                <w:tab w:val="left" w:pos="368"/>
              </w:tabs>
              <w:jc w:val="both"/>
              <w:rPr>
                <w:rFonts w:asciiTheme="minorHAnsi" w:hAnsiTheme="minorHAnsi"/>
                <w:sz w:val="20"/>
                <w:szCs w:val="20"/>
              </w:rPr>
            </w:pPr>
            <w:r>
              <w:rPr>
                <w:rFonts w:asciiTheme="minorHAnsi" w:hAnsiTheme="minorHAnsi"/>
                <w:sz w:val="20"/>
                <w:szCs w:val="20"/>
              </w:rPr>
              <w:t xml:space="preserve">The CCGs </w:t>
            </w:r>
            <w:r w:rsidR="00BF0F58">
              <w:rPr>
                <w:rFonts w:asciiTheme="minorHAnsi" w:hAnsiTheme="minorHAnsi"/>
                <w:sz w:val="20"/>
                <w:szCs w:val="20"/>
              </w:rPr>
              <w:t xml:space="preserve">total </w:t>
            </w:r>
            <w:r>
              <w:rPr>
                <w:rFonts w:asciiTheme="minorHAnsi" w:hAnsiTheme="minorHAnsi"/>
                <w:sz w:val="20"/>
                <w:szCs w:val="20"/>
              </w:rPr>
              <w:t>risk</w:t>
            </w:r>
            <w:r w:rsidR="00BF0F58">
              <w:rPr>
                <w:rFonts w:asciiTheme="minorHAnsi" w:hAnsiTheme="minorHAnsi"/>
                <w:sz w:val="20"/>
                <w:szCs w:val="20"/>
              </w:rPr>
              <w:t xml:space="preserve"> at month 4</w:t>
            </w:r>
            <w:r>
              <w:rPr>
                <w:rFonts w:asciiTheme="minorHAnsi" w:hAnsiTheme="minorHAnsi"/>
                <w:sz w:val="20"/>
                <w:szCs w:val="20"/>
              </w:rPr>
              <w:t xml:space="preserve"> is £4.71m (£3.71m Health &amp; Adult Social Care £1.0m)</w:t>
            </w:r>
            <w:r w:rsidR="00BF0F58">
              <w:rPr>
                <w:rFonts w:asciiTheme="minorHAnsi" w:hAnsiTheme="minorHAnsi"/>
                <w:sz w:val="20"/>
                <w:szCs w:val="20"/>
              </w:rPr>
              <w:t xml:space="preserve">. </w:t>
            </w:r>
          </w:p>
          <w:p w:rsidR="000579F0" w:rsidRDefault="000579F0" w:rsidP="00D64192">
            <w:pPr>
              <w:pStyle w:val="Default"/>
              <w:tabs>
                <w:tab w:val="left" w:pos="368"/>
              </w:tabs>
              <w:jc w:val="both"/>
              <w:rPr>
                <w:rFonts w:asciiTheme="minorHAnsi" w:hAnsiTheme="minorHAnsi"/>
                <w:sz w:val="20"/>
                <w:szCs w:val="20"/>
              </w:rPr>
            </w:pPr>
          </w:p>
          <w:p w:rsidR="000579F0" w:rsidRDefault="000579F0" w:rsidP="00D64192">
            <w:pPr>
              <w:pStyle w:val="Default"/>
              <w:tabs>
                <w:tab w:val="left" w:pos="368"/>
              </w:tabs>
              <w:jc w:val="both"/>
              <w:rPr>
                <w:rFonts w:asciiTheme="minorHAnsi" w:hAnsiTheme="minorHAnsi"/>
                <w:sz w:val="20"/>
                <w:szCs w:val="20"/>
              </w:rPr>
            </w:pPr>
            <w:r>
              <w:rPr>
                <w:rFonts w:asciiTheme="minorHAnsi" w:hAnsiTheme="minorHAnsi"/>
                <w:sz w:val="20"/>
                <w:szCs w:val="20"/>
              </w:rPr>
              <w:t>The CCG has the following mitigations in place:-</w:t>
            </w:r>
          </w:p>
          <w:p w:rsidR="00B97ECF" w:rsidRDefault="00B97ECF" w:rsidP="00D64192">
            <w:pPr>
              <w:pStyle w:val="Default"/>
              <w:tabs>
                <w:tab w:val="left" w:pos="368"/>
              </w:tabs>
              <w:jc w:val="both"/>
              <w:rPr>
                <w:rFonts w:asciiTheme="minorHAnsi" w:hAnsiTheme="minorHAnsi"/>
                <w:sz w:val="20"/>
                <w:szCs w:val="20"/>
              </w:rPr>
            </w:pPr>
          </w:p>
          <w:p w:rsidR="000579F0" w:rsidRDefault="00BF0F58" w:rsidP="00603475">
            <w:pPr>
              <w:pStyle w:val="Default"/>
              <w:numPr>
                <w:ilvl w:val="0"/>
                <w:numId w:val="24"/>
              </w:numPr>
              <w:tabs>
                <w:tab w:val="left" w:pos="368"/>
              </w:tabs>
              <w:jc w:val="both"/>
              <w:rPr>
                <w:rFonts w:asciiTheme="minorHAnsi" w:hAnsiTheme="minorHAnsi"/>
                <w:sz w:val="20"/>
                <w:szCs w:val="20"/>
              </w:rPr>
            </w:pPr>
            <w:r>
              <w:rPr>
                <w:rFonts w:asciiTheme="minorHAnsi" w:hAnsiTheme="minorHAnsi"/>
                <w:sz w:val="20"/>
                <w:szCs w:val="20"/>
              </w:rPr>
              <w:t xml:space="preserve">£3.29m of contingency funding / earmarked reserves </w:t>
            </w:r>
          </w:p>
          <w:p w:rsidR="00703A11" w:rsidRDefault="000579F0" w:rsidP="00603475">
            <w:pPr>
              <w:pStyle w:val="Default"/>
              <w:numPr>
                <w:ilvl w:val="0"/>
                <w:numId w:val="24"/>
              </w:numPr>
              <w:tabs>
                <w:tab w:val="left" w:pos="368"/>
              </w:tabs>
              <w:jc w:val="both"/>
              <w:rPr>
                <w:rFonts w:asciiTheme="minorHAnsi" w:hAnsiTheme="minorHAnsi"/>
                <w:sz w:val="20"/>
                <w:szCs w:val="20"/>
              </w:rPr>
            </w:pPr>
            <w:r>
              <w:rPr>
                <w:rFonts w:asciiTheme="minorHAnsi" w:hAnsiTheme="minorHAnsi"/>
                <w:sz w:val="20"/>
                <w:szCs w:val="20"/>
              </w:rPr>
              <w:t>£0.7</w:t>
            </w:r>
            <w:r w:rsidR="00B97ECF">
              <w:rPr>
                <w:rFonts w:asciiTheme="minorHAnsi" w:hAnsiTheme="minorHAnsi"/>
                <w:sz w:val="20"/>
                <w:szCs w:val="20"/>
              </w:rPr>
              <w:t>1</w:t>
            </w:r>
            <w:r>
              <w:rPr>
                <w:rFonts w:asciiTheme="minorHAnsi" w:hAnsiTheme="minorHAnsi"/>
                <w:sz w:val="20"/>
                <w:szCs w:val="20"/>
              </w:rPr>
              <w:t>m of non-recurrent measures</w:t>
            </w:r>
            <w:r w:rsidR="00BF0F58">
              <w:rPr>
                <w:rFonts w:asciiTheme="minorHAnsi" w:hAnsiTheme="minorHAnsi"/>
                <w:sz w:val="20"/>
                <w:szCs w:val="20"/>
              </w:rPr>
              <w:t xml:space="preserve"> </w:t>
            </w:r>
          </w:p>
          <w:p w:rsidR="00B97ECF" w:rsidRDefault="00B97ECF" w:rsidP="00D64192">
            <w:pPr>
              <w:pStyle w:val="Default"/>
              <w:tabs>
                <w:tab w:val="left" w:pos="368"/>
              </w:tabs>
              <w:jc w:val="both"/>
              <w:rPr>
                <w:rFonts w:asciiTheme="minorHAnsi" w:hAnsiTheme="minorHAnsi"/>
                <w:sz w:val="20"/>
                <w:szCs w:val="20"/>
              </w:rPr>
            </w:pPr>
          </w:p>
          <w:p w:rsidR="00703A11" w:rsidRDefault="00B97ECF" w:rsidP="00D64192">
            <w:pPr>
              <w:pStyle w:val="Default"/>
              <w:tabs>
                <w:tab w:val="left" w:pos="368"/>
              </w:tabs>
              <w:jc w:val="both"/>
              <w:rPr>
                <w:rFonts w:asciiTheme="minorHAnsi" w:hAnsiTheme="minorHAnsi"/>
                <w:sz w:val="20"/>
                <w:szCs w:val="20"/>
              </w:rPr>
            </w:pPr>
            <w:r>
              <w:rPr>
                <w:rFonts w:asciiTheme="minorHAnsi" w:hAnsiTheme="minorHAnsi"/>
                <w:sz w:val="20"/>
                <w:szCs w:val="20"/>
              </w:rPr>
              <w:t>If all the risks were to materialise then the CCG would have to look to further actions such as additional QIPP schemes.</w:t>
            </w:r>
          </w:p>
          <w:p w:rsidR="00703A11" w:rsidRDefault="00703A11" w:rsidP="00D64192">
            <w:pPr>
              <w:pStyle w:val="Default"/>
              <w:tabs>
                <w:tab w:val="left" w:pos="368"/>
              </w:tabs>
              <w:jc w:val="both"/>
              <w:rPr>
                <w:rFonts w:asciiTheme="minorHAnsi" w:hAnsiTheme="minorHAnsi"/>
                <w:sz w:val="20"/>
                <w:szCs w:val="20"/>
              </w:rPr>
            </w:pPr>
          </w:p>
          <w:p w:rsidR="00B97ECF" w:rsidRDefault="00B97ECF" w:rsidP="00B97ECF">
            <w:pPr>
              <w:pStyle w:val="Default"/>
              <w:tabs>
                <w:tab w:val="left" w:pos="368"/>
              </w:tabs>
              <w:jc w:val="both"/>
              <w:rPr>
                <w:rFonts w:asciiTheme="minorHAnsi" w:hAnsiTheme="minorHAnsi"/>
                <w:sz w:val="20"/>
                <w:szCs w:val="20"/>
              </w:rPr>
            </w:pPr>
            <w:r>
              <w:rPr>
                <w:rFonts w:asciiTheme="minorHAnsi" w:hAnsiTheme="minorHAnsi"/>
                <w:sz w:val="20"/>
                <w:szCs w:val="20"/>
              </w:rPr>
              <w:t xml:space="preserve">Further detail of the risks &amp; mitigations can be found </w:t>
            </w:r>
            <w:r w:rsidRPr="00552077">
              <w:rPr>
                <w:rFonts w:asciiTheme="minorHAnsi" w:hAnsiTheme="minorHAnsi"/>
                <w:sz w:val="20"/>
                <w:szCs w:val="20"/>
              </w:rPr>
              <w:t xml:space="preserve">in table </w:t>
            </w:r>
            <w:r w:rsidR="00552077" w:rsidRPr="00552077">
              <w:rPr>
                <w:rFonts w:asciiTheme="minorHAnsi" w:hAnsiTheme="minorHAnsi"/>
                <w:sz w:val="20"/>
                <w:szCs w:val="20"/>
              </w:rPr>
              <w:t>3</w:t>
            </w:r>
          </w:p>
          <w:p w:rsidR="00805FAF" w:rsidRDefault="00805FAF" w:rsidP="00331A93">
            <w:pPr>
              <w:pStyle w:val="Default"/>
              <w:tabs>
                <w:tab w:val="left" w:pos="368"/>
              </w:tabs>
              <w:jc w:val="both"/>
              <w:rPr>
                <w:rFonts w:asciiTheme="minorHAnsi" w:hAnsiTheme="minorHAnsi"/>
                <w:sz w:val="20"/>
                <w:szCs w:val="20"/>
              </w:rPr>
            </w:pPr>
          </w:p>
          <w:p w:rsidR="005017EF" w:rsidRPr="005017EF" w:rsidRDefault="00BD654E" w:rsidP="00603475">
            <w:pPr>
              <w:pStyle w:val="Default"/>
              <w:numPr>
                <w:ilvl w:val="0"/>
                <w:numId w:val="7"/>
              </w:numPr>
              <w:tabs>
                <w:tab w:val="left" w:pos="268"/>
              </w:tabs>
              <w:ind w:left="268" w:hanging="142"/>
              <w:rPr>
                <w:rFonts w:asciiTheme="minorHAnsi" w:hAnsiTheme="minorHAnsi"/>
                <w:sz w:val="20"/>
                <w:szCs w:val="20"/>
              </w:rPr>
            </w:pPr>
            <w:r w:rsidRPr="00B01F1C">
              <w:rPr>
                <w:rFonts w:asciiTheme="minorHAnsi" w:hAnsiTheme="minorHAnsi"/>
                <w:b/>
                <w:bCs/>
                <w:sz w:val="20"/>
                <w:szCs w:val="20"/>
              </w:rPr>
              <w:t xml:space="preserve">Northern Lincolnshire System </w:t>
            </w:r>
          </w:p>
          <w:p w:rsidR="005017EF" w:rsidRDefault="005017EF" w:rsidP="005017EF">
            <w:pPr>
              <w:pStyle w:val="Default"/>
              <w:tabs>
                <w:tab w:val="left" w:pos="368"/>
              </w:tabs>
              <w:ind w:left="268"/>
              <w:rPr>
                <w:rFonts w:asciiTheme="minorHAnsi" w:hAnsiTheme="minorHAnsi"/>
                <w:b/>
                <w:bCs/>
                <w:sz w:val="20"/>
                <w:szCs w:val="20"/>
              </w:rPr>
            </w:pPr>
          </w:p>
          <w:p w:rsidR="00630987" w:rsidRDefault="00BD654E" w:rsidP="00E01410">
            <w:pPr>
              <w:pStyle w:val="Default"/>
              <w:numPr>
                <w:ilvl w:val="0"/>
                <w:numId w:val="25"/>
              </w:numPr>
              <w:tabs>
                <w:tab w:val="left" w:pos="368"/>
              </w:tabs>
              <w:ind w:left="976"/>
              <w:jc w:val="both"/>
              <w:rPr>
                <w:rFonts w:asciiTheme="minorHAnsi" w:hAnsiTheme="minorHAnsi"/>
                <w:sz w:val="20"/>
                <w:szCs w:val="20"/>
              </w:rPr>
            </w:pPr>
            <w:r w:rsidRPr="005017EF">
              <w:rPr>
                <w:rFonts w:asciiTheme="minorHAnsi" w:hAnsiTheme="minorHAnsi"/>
                <w:bCs/>
                <w:sz w:val="20"/>
                <w:szCs w:val="20"/>
              </w:rPr>
              <w:t>Financial Position:</w:t>
            </w:r>
            <w:r w:rsidRPr="00B01F1C">
              <w:rPr>
                <w:rFonts w:asciiTheme="minorHAnsi" w:hAnsiTheme="minorHAnsi"/>
                <w:sz w:val="20"/>
                <w:szCs w:val="20"/>
              </w:rPr>
              <w:t xml:space="preserve">  </w:t>
            </w:r>
            <w:r w:rsidR="00462725">
              <w:rPr>
                <w:rFonts w:asciiTheme="minorHAnsi" w:hAnsiTheme="minorHAnsi"/>
                <w:sz w:val="20"/>
                <w:szCs w:val="20"/>
              </w:rPr>
              <w:t>As part of the Northern Lincolnshire system working a monthly</w:t>
            </w:r>
            <w:r w:rsidR="00462725" w:rsidRPr="00462725">
              <w:rPr>
                <w:rFonts w:asciiTheme="minorHAnsi" w:hAnsiTheme="minorHAnsi"/>
                <w:sz w:val="20"/>
                <w:szCs w:val="20"/>
              </w:rPr>
              <w:t xml:space="preserve"> finance report is produced, this includes the system finance position, individual QIPP schemes as well as the system QIPP position with RAG ratings.</w:t>
            </w:r>
            <w:r w:rsidR="00462725">
              <w:rPr>
                <w:rFonts w:asciiTheme="minorHAnsi" w:hAnsiTheme="minorHAnsi"/>
                <w:sz w:val="20"/>
                <w:szCs w:val="20"/>
              </w:rPr>
              <w:t xml:space="preserve"> </w:t>
            </w:r>
            <w:r w:rsidRPr="00B01F1C">
              <w:rPr>
                <w:rFonts w:asciiTheme="minorHAnsi" w:hAnsiTheme="minorHAnsi"/>
                <w:sz w:val="20"/>
                <w:szCs w:val="20"/>
              </w:rPr>
              <w:t>As at month 4 the year to date system position is £0.1m behind plan (at month 3 - £0.2m ahead of plan).</w:t>
            </w:r>
            <w:r>
              <w:rPr>
                <w:rFonts w:asciiTheme="minorHAnsi" w:hAnsiTheme="minorHAnsi"/>
                <w:sz w:val="20"/>
                <w:szCs w:val="20"/>
              </w:rPr>
              <w:t xml:space="preserve">  </w:t>
            </w:r>
            <w:r w:rsidRPr="00B01F1C">
              <w:rPr>
                <w:rFonts w:asciiTheme="minorHAnsi" w:hAnsiTheme="minorHAnsi"/>
                <w:sz w:val="20"/>
                <w:szCs w:val="20"/>
              </w:rPr>
              <w:t>System forecast outturn at month 4 is to achieve control total (at month 3 - achieve control total).</w:t>
            </w:r>
          </w:p>
          <w:p w:rsidR="00462725" w:rsidRDefault="00462725" w:rsidP="00E01410">
            <w:pPr>
              <w:pStyle w:val="Default"/>
              <w:tabs>
                <w:tab w:val="left" w:pos="368"/>
              </w:tabs>
              <w:ind w:left="720"/>
              <w:jc w:val="both"/>
              <w:rPr>
                <w:rFonts w:asciiTheme="minorHAnsi" w:hAnsiTheme="minorHAnsi"/>
                <w:sz w:val="20"/>
                <w:szCs w:val="20"/>
              </w:rPr>
            </w:pPr>
          </w:p>
          <w:p w:rsidR="00462725" w:rsidRPr="001867FF" w:rsidRDefault="001867FF" w:rsidP="00E01410">
            <w:pPr>
              <w:pStyle w:val="Default"/>
              <w:numPr>
                <w:ilvl w:val="0"/>
                <w:numId w:val="25"/>
              </w:numPr>
              <w:tabs>
                <w:tab w:val="left" w:pos="368"/>
              </w:tabs>
              <w:ind w:left="976"/>
              <w:jc w:val="both"/>
              <w:rPr>
                <w:rFonts w:asciiTheme="minorHAnsi" w:hAnsiTheme="minorHAnsi"/>
                <w:sz w:val="20"/>
                <w:szCs w:val="20"/>
              </w:rPr>
            </w:pPr>
            <w:r w:rsidRPr="001867FF">
              <w:rPr>
                <w:rFonts w:asciiTheme="minorHAnsi" w:hAnsiTheme="minorHAnsi"/>
                <w:sz w:val="20"/>
                <w:szCs w:val="20"/>
              </w:rPr>
              <w:t>As part of securing a £10m increase in the aggregate system control total the sy</w:t>
            </w:r>
            <w:r>
              <w:rPr>
                <w:rFonts w:asciiTheme="minorHAnsi" w:hAnsiTheme="minorHAnsi"/>
                <w:sz w:val="20"/>
                <w:szCs w:val="20"/>
              </w:rPr>
              <w:t>s</w:t>
            </w:r>
            <w:r w:rsidRPr="001867FF">
              <w:rPr>
                <w:rFonts w:asciiTheme="minorHAnsi" w:hAnsiTheme="minorHAnsi"/>
                <w:sz w:val="20"/>
                <w:szCs w:val="20"/>
              </w:rPr>
              <w:t xml:space="preserve">tem signed up to reduce </w:t>
            </w:r>
            <w:r w:rsidR="00462725" w:rsidRPr="001867FF">
              <w:rPr>
                <w:rFonts w:asciiTheme="minorHAnsi" w:hAnsiTheme="minorHAnsi"/>
                <w:sz w:val="20"/>
                <w:szCs w:val="20"/>
              </w:rPr>
              <w:t>total spend in 2019/20 by £2 million. The actions a</w:t>
            </w:r>
            <w:r>
              <w:rPr>
                <w:rFonts w:asciiTheme="minorHAnsi" w:hAnsiTheme="minorHAnsi"/>
                <w:sz w:val="20"/>
                <w:szCs w:val="20"/>
              </w:rPr>
              <w:t>gre</w:t>
            </w:r>
            <w:r w:rsidR="00462725" w:rsidRPr="001867FF">
              <w:rPr>
                <w:rFonts w:asciiTheme="minorHAnsi" w:hAnsiTheme="minorHAnsi"/>
                <w:sz w:val="20"/>
                <w:szCs w:val="20"/>
              </w:rPr>
              <w:t>e</w:t>
            </w:r>
            <w:r>
              <w:rPr>
                <w:rFonts w:asciiTheme="minorHAnsi" w:hAnsiTheme="minorHAnsi"/>
                <w:sz w:val="20"/>
                <w:szCs w:val="20"/>
              </w:rPr>
              <w:t>d were</w:t>
            </w:r>
            <w:r w:rsidR="00462725" w:rsidRPr="001867FF">
              <w:rPr>
                <w:rFonts w:asciiTheme="minorHAnsi" w:hAnsiTheme="minorHAnsi"/>
                <w:sz w:val="20"/>
                <w:szCs w:val="20"/>
              </w:rPr>
              <w:t>:-</w:t>
            </w:r>
          </w:p>
          <w:p w:rsidR="00462725" w:rsidRDefault="00462725" w:rsidP="00E01410">
            <w:pPr>
              <w:pStyle w:val="Default"/>
              <w:numPr>
                <w:ilvl w:val="0"/>
                <w:numId w:val="19"/>
              </w:numPr>
              <w:tabs>
                <w:tab w:val="left" w:pos="368"/>
              </w:tabs>
              <w:ind w:left="1402"/>
              <w:jc w:val="both"/>
              <w:rPr>
                <w:rFonts w:asciiTheme="minorHAnsi" w:hAnsiTheme="minorHAnsi"/>
                <w:sz w:val="20"/>
                <w:szCs w:val="20"/>
              </w:rPr>
            </w:pPr>
            <w:r w:rsidRPr="00462725">
              <w:rPr>
                <w:rFonts w:asciiTheme="minorHAnsi" w:hAnsiTheme="minorHAnsi"/>
                <w:sz w:val="20"/>
                <w:szCs w:val="20"/>
              </w:rPr>
              <w:t>Pressure damage training and targeted approach in care homes - £1m (net of investment)</w:t>
            </w:r>
          </w:p>
          <w:p w:rsidR="00462725" w:rsidRDefault="00462725" w:rsidP="00E01410">
            <w:pPr>
              <w:pStyle w:val="Default"/>
              <w:numPr>
                <w:ilvl w:val="0"/>
                <w:numId w:val="19"/>
              </w:numPr>
              <w:tabs>
                <w:tab w:val="left" w:pos="368"/>
              </w:tabs>
              <w:ind w:left="1402"/>
              <w:jc w:val="both"/>
              <w:rPr>
                <w:rFonts w:asciiTheme="minorHAnsi" w:hAnsiTheme="minorHAnsi"/>
                <w:sz w:val="20"/>
                <w:szCs w:val="20"/>
              </w:rPr>
            </w:pPr>
            <w:r w:rsidRPr="00462725">
              <w:rPr>
                <w:rFonts w:asciiTheme="minorHAnsi" w:hAnsiTheme="minorHAnsi"/>
                <w:sz w:val="20"/>
                <w:szCs w:val="20"/>
              </w:rPr>
              <w:t>Further and faster approach to delivering savings in medicines management through the APC - £0.5m (net of investment)</w:t>
            </w:r>
          </w:p>
          <w:p w:rsidR="00462725" w:rsidRDefault="00462725" w:rsidP="001867FF">
            <w:pPr>
              <w:pStyle w:val="Default"/>
              <w:numPr>
                <w:ilvl w:val="0"/>
                <w:numId w:val="19"/>
              </w:numPr>
              <w:tabs>
                <w:tab w:val="left" w:pos="368"/>
              </w:tabs>
              <w:ind w:left="1402"/>
              <w:rPr>
                <w:rFonts w:asciiTheme="minorHAnsi" w:hAnsiTheme="minorHAnsi"/>
                <w:sz w:val="20"/>
                <w:szCs w:val="20"/>
              </w:rPr>
            </w:pPr>
            <w:r w:rsidRPr="00462725">
              <w:rPr>
                <w:rFonts w:asciiTheme="minorHAnsi" w:hAnsiTheme="minorHAnsi"/>
                <w:sz w:val="20"/>
                <w:szCs w:val="20"/>
              </w:rPr>
              <w:lastRenderedPageBreak/>
              <w:t>Further and faster approach to reducing the cost of high cost pass through drugs - £0.5m (net of investment)</w:t>
            </w:r>
          </w:p>
          <w:p w:rsidR="00603475" w:rsidRDefault="00603475" w:rsidP="001867FF">
            <w:pPr>
              <w:pStyle w:val="Default"/>
              <w:tabs>
                <w:tab w:val="left" w:pos="368"/>
              </w:tabs>
              <w:ind w:left="976"/>
              <w:rPr>
                <w:rFonts w:asciiTheme="minorHAnsi" w:hAnsiTheme="minorHAnsi"/>
                <w:sz w:val="20"/>
                <w:szCs w:val="20"/>
              </w:rPr>
            </w:pPr>
          </w:p>
          <w:p w:rsidR="00462725" w:rsidRDefault="00462725" w:rsidP="001867FF">
            <w:pPr>
              <w:pStyle w:val="Default"/>
              <w:tabs>
                <w:tab w:val="left" w:pos="368"/>
              </w:tabs>
              <w:ind w:left="976"/>
              <w:rPr>
                <w:rFonts w:asciiTheme="minorHAnsi" w:hAnsiTheme="minorHAnsi"/>
                <w:sz w:val="20"/>
                <w:szCs w:val="20"/>
              </w:rPr>
            </w:pPr>
            <w:r w:rsidRPr="00462725">
              <w:rPr>
                <w:rFonts w:asciiTheme="minorHAnsi" w:hAnsiTheme="minorHAnsi"/>
                <w:sz w:val="20"/>
                <w:szCs w:val="20"/>
              </w:rPr>
              <w:t xml:space="preserve">£0.5m QIPP risk has been built into the risk figure above in relation to </w:t>
            </w:r>
            <w:r w:rsidR="001867FF">
              <w:rPr>
                <w:rFonts w:asciiTheme="minorHAnsi" w:hAnsiTheme="minorHAnsi"/>
                <w:sz w:val="20"/>
                <w:szCs w:val="20"/>
              </w:rPr>
              <w:t>delivery of the planned cost reductions linked to the</w:t>
            </w:r>
            <w:r w:rsidRPr="00462725">
              <w:rPr>
                <w:rFonts w:asciiTheme="minorHAnsi" w:hAnsiTheme="minorHAnsi"/>
                <w:sz w:val="20"/>
                <w:szCs w:val="20"/>
              </w:rPr>
              <w:t xml:space="preserve"> Northern Lincolnshire system schemes.</w:t>
            </w:r>
          </w:p>
          <w:p w:rsidR="00065817" w:rsidRDefault="00065817" w:rsidP="00065817">
            <w:pPr>
              <w:pStyle w:val="Default"/>
              <w:tabs>
                <w:tab w:val="left" w:pos="368"/>
              </w:tabs>
              <w:ind w:left="720"/>
              <w:rPr>
                <w:rFonts w:asciiTheme="minorHAnsi" w:hAnsiTheme="minorHAnsi"/>
                <w:sz w:val="20"/>
                <w:szCs w:val="20"/>
              </w:rPr>
            </w:pPr>
          </w:p>
          <w:p w:rsidR="00603475" w:rsidRDefault="00D44148" w:rsidP="00E01410">
            <w:pPr>
              <w:pStyle w:val="Default"/>
              <w:numPr>
                <w:ilvl w:val="0"/>
                <w:numId w:val="7"/>
              </w:numPr>
              <w:tabs>
                <w:tab w:val="left" w:pos="268"/>
              </w:tabs>
              <w:ind w:left="268" w:hanging="268"/>
              <w:jc w:val="both"/>
              <w:rPr>
                <w:rFonts w:asciiTheme="minorHAnsi" w:hAnsiTheme="minorHAnsi"/>
                <w:sz w:val="20"/>
                <w:szCs w:val="20"/>
              </w:rPr>
            </w:pPr>
            <w:r w:rsidRPr="00D44148">
              <w:rPr>
                <w:rFonts w:asciiTheme="minorHAnsi" w:hAnsiTheme="minorHAnsi"/>
                <w:b/>
                <w:sz w:val="20"/>
                <w:szCs w:val="20"/>
              </w:rPr>
              <w:t>QIPP</w:t>
            </w:r>
            <w:r>
              <w:rPr>
                <w:rFonts w:asciiTheme="minorHAnsi" w:hAnsiTheme="minorHAnsi"/>
                <w:sz w:val="20"/>
                <w:szCs w:val="20"/>
              </w:rPr>
              <w:t xml:space="preserve">; </w:t>
            </w:r>
            <w:r w:rsidRPr="00D44148">
              <w:rPr>
                <w:rFonts w:asciiTheme="minorHAnsi" w:hAnsiTheme="minorHAnsi"/>
                <w:sz w:val="20"/>
                <w:szCs w:val="20"/>
              </w:rPr>
              <w:t xml:space="preserve">Whilst savings achieved year to date are £88k behind plan (Health £88k (100%) &amp; ASC £nil (0%)) the CCG is still anticipating that the planned savings for the </w:t>
            </w:r>
            <w:r w:rsidR="007B59A2">
              <w:rPr>
                <w:rFonts w:asciiTheme="minorHAnsi" w:hAnsiTheme="minorHAnsi"/>
                <w:sz w:val="20"/>
                <w:szCs w:val="20"/>
              </w:rPr>
              <w:t xml:space="preserve">year will be achieved in full. </w:t>
            </w:r>
            <w:r w:rsidR="005F675E">
              <w:rPr>
                <w:rFonts w:asciiTheme="minorHAnsi" w:hAnsiTheme="minorHAnsi"/>
                <w:sz w:val="20"/>
                <w:szCs w:val="20"/>
              </w:rPr>
              <w:t xml:space="preserve">Please see table 4 for further detail. </w:t>
            </w:r>
            <w:r w:rsidR="008811AD">
              <w:rPr>
                <w:rFonts w:asciiTheme="minorHAnsi" w:hAnsiTheme="minorHAnsi"/>
                <w:sz w:val="20"/>
                <w:szCs w:val="20"/>
              </w:rPr>
              <w:t xml:space="preserve">The CCG no longer has any unidentified QIPP but this still shows as part of the original plan. </w:t>
            </w:r>
          </w:p>
          <w:p w:rsidR="00603475" w:rsidRDefault="00603475" w:rsidP="00603475">
            <w:pPr>
              <w:pStyle w:val="Default"/>
              <w:tabs>
                <w:tab w:val="left" w:pos="268"/>
              </w:tabs>
              <w:ind w:left="268"/>
              <w:rPr>
                <w:rFonts w:asciiTheme="minorHAnsi" w:hAnsiTheme="minorHAnsi"/>
                <w:b/>
                <w:sz w:val="20"/>
                <w:szCs w:val="20"/>
              </w:rPr>
            </w:pPr>
          </w:p>
          <w:p w:rsidR="008811AD" w:rsidRDefault="00603475" w:rsidP="00603475">
            <w:pPr>
              <w:pStyle w:val="Default"/>
              <w:ind w:left="268"/>
              <w:rPr>
                <w:rFonts w:asciiTheme="minorHAnsi" w:hAnsiTheme="minorHAnsi"/>
                <w:sz w:val="20"/>
                <w:szCs w:val="20"/>
              </w:rPr>
            </w:pPr>
            <w:r>
              <w:rPr>
                <w:rFonts w:asciiTheme="minorHAnsi" w:hAnsiTheme="minorHAnsi"/>
                <w:sz w:val="20"/>
                <w:szCs w:val="20"/>
              </w:rPr>
              <w:t xml:space="preserve">The </w:t>
            </w:r>
            <w:r w:rsidR="008811AD" w:rsidRPr="008811AD">
              <w:rPr>
                <w:rFonts w:asciiTheme="minorHAnsi" w:hAnsiTheme="minorHAnsi"/>
                <w:sz w:val="20"/>
                <w:szCs w:val="20"/>
              </w:rPr>
              <w:t xml:space="preserve">RAG rating for the schemes is based on the following: </w:t>
            </w:r>
          </w:p>
          <w:p w:rsidR="00603475" w:rsidRPr="008811AD" w:rsidRDefault="00603475" w:rsidP="00603475">
            <w:pPr>
              <w:pStyle w:val="Default"/>
              <w:ind w:left="268"/>
              <w:rPr>
                <w:rFonts w:asciiTheme="minorHAnsi" w:hAnsiTheme="minorHAnsi"/>
                <w:sz w:val="20"/>
                <w:szCs w:val="20"/>
              </w:rPr>
            </w:pPr>
          </w:p>
          <w:p w:rsidR="008811AD" w:rsidRDefault="008811AD" w:rsidP="008811AD">
            <w:pPr>
              <w:pStyle w:val="Default"/>
              <w:tabs>
                <w:tab w:val="left" w:pos="368"/>
              </w:tabs>
              <w:ind w:left="720"/>
              <w:rPr>
                <w:rFonts w:asciiTheme="minorHAnsi" w:hAnsiTheme="minorHAnsi"/>
                <w:sz w:val="20"/>
                <w:szCs w:val="20"/>
              </w:rPr>
            </w:pPr>
            <w:r>
              <w:rPr>
                <w:rFonts w:asciiTheme="minorHAnsi" w:hAnsiTheme="minorHAnsi"/>
                <w:sz w:val="20"/>
                <w:szCs w:val="20"/>
              </w:rPr>
              <w:t xml:space="preserve">Red - </w:t>
            </w:r>
            <w:r w:rsidRPr="008811AD">
              <w:rPr>
                <w:rFonts w:asciiTheme="minorHAnsi" w:hAnsiTheme="minorHAnsi"/>
                <w:sz w:val="20"/>
                <w:szCs w:val="20"/>
              </w:rPr>
              <w:t xml:space="preserve"> Scheme off track /detail</w:t>
            </w:r>
            <w:r w:rsidR="00603475">
              <w:rPr>
                <w:rFonts w:asciiTheme="minorHAnsi" w:hAnsiTheme="minorHAnsi"/>
                <w:sz w:val="20"/>
                <w:szCs w:val="20"/>
              </w:rPr>
              <w:t>ed</w:t>
            </w:r>
            <w:r w:rsidRPr="008811AD">
              <w:rPr>
                <w:rFonts w:asciiTheme="minorHAnsi" w:hAnsiTheme="minorHAnsi"/>
                <w:sz w:val="20"/>
                <w:szCs w:val="20"/>
              </w:rPr>
              <w:t xml:space="preserve"> action points and milestones still being worked on</w:t>
            </w:r>
          </w:p>
          <w:p w:rsidR="008811AD" w:rsidRDefault="008811AD" w:rsidP="008811AD">
            <w:pPr>
              <w:pStyle w:val="Default"/>
              <w:tabs>
                <w:tab w:val="left" w:pos="368"/>
              </w:tabs>
              <w:ind w:left="720"/>
              <w:rPr>
                <w:rFonts w:asciiTheme="minorHAnsi" w:hAnsiTheme="minorHAnsi"/>
                <w:sz w:val="20"/>
                <w:szCs w:val="20"/>
              </w:rPr>
            </w:pPr>
            <w:r>
              <w:rPr>
                <w:rFonts w:asciiTheme="minorHAnsi" w:hAnsiTheme="minorHAnsi"/>
                <w:sz w:val="20"/>
                <w:szCs w:val="20"/>
              </w:rPr>
              <w:t xml:space="preserve">Amber - </w:t>
            </w:r>
            <w:r w:rsidRPr="008811AD">
              <w:rPr>
                <w:rFonts w:asciiTheme="minorHAnsi" w:hAnsiTheme="minorHAnsi"/>
                <w:sz w:val="20"/>
                <w:szCs w:val="20"/>
              </w:rPr>
              <w:t>Scheme action points/milestones met but savings not being fully achieved</w:t>
            </w:r>
          </w:p>
          <w:p w:rsidR="008811AD" w:rsidRDefault="008811AD" w:rsidP="008811AD">
            <w:pPr>
              <w:pStyle w:val="Default"/>
              <w:tabs>
                <w:tab w:val="left" w:pos="368"/>
              </w:tabs>
              <w:ind w:left="720"/>
              <w:rPr>
                <w:rFonts w:asciiTheme="minorHAnsi" w:hAnsiTheme="minorHAnsi"/>
                <w:sz w:val="20"/>
                <w:szCs w:val="20"/>
              </w:rPr>
            </w:pPr>
            <w:r>
              <w:rPr>
                <w:rFonts w:asciiTheme="minorHAnsi" w:hAnsiTheme="minorHAnsi"/>
                <w:sz w:val="20"/>
                <w:szCs w:val="20"/>
              </w:rPr>
              <w:t xml:space="preserve">Green - </w:t>
            </w:r>
            <w:r w:rsidRPr="008811AD">
              <w:rPr>
                <w:rFonts w:asciiTheme="minorHAnsi" w:hAnsiTheme="minorHAnsi"/>
                <w:sz w:val="20"/>
                <w:szCs w:val="20"/>
              </w:rPr>
              <w:t>Scheme expected to fully deliver savings</w:t>
            </w:r>
          </w:p>
          <w:p w:rsidR="008811AD" w:rsidRDefault="008811AD" w:rsidP="008811AD">
            <w:pPr>
              <w:pStyle w:val="Default"/>
              <w:tabs>
                <w:tab w:val="left" w:pos="368"/>
              </w:tabs>
              <w:ind w:left="720"/>
              <w:rPr>
                <w:rFonts w:asciiTheme="minorHAnsi" w:hAnsiTheme="minorHAnsi"/>
                <w:sz w:val="20"/>
                <w:szCs w:val="20"/>
              </w:rPr>
            </w:pPr>
          </w:p>
          <w:p w:rsidR="00D44148" w:rsidRDefault="007B59A2" w:rsidP="00603475">
            <w:pPr>
              <w:pStyle w:val="Default"/>
              <w:tabs>
                <w:tab w:val="left" w:pos="368"/>
              </w:tabs>
              <w:ind w:left="268"/>
              <w:rPr>
                <w:rFonts w:asciiTheme="minorHAnsi" w:hAnsiTheme="minorHAnsi"/>
                <w:sz w:val="20"/>
                <w:szCs w:val="20"/>
              </w:rPr>
            </w:pPr>
            <w:r>
              <w:rPr>
                <w:rFonts w:asciiTheme="minorHAnsi" w:hAnsiTheme="minorHAnsi"/>
                <w:sz w:val="20"/>
                <w:szCs w:val="20"/>
              </w:rPr>
              <w:t xml:space="preserve">The </w:t>
            </w:r>
            <w:r w:rsidR="008811AD">
              <w:rPr>
                <w:rFonts w:asciiTheme="minorHAnsi" w:hAnsiTheme="minorHAnsi"/>
                <w:sz w:val="20"/>
                <w:szCs w:val="20"/>
              </w:rPr>
              <w:t xml:space="preserve">QIPP schemes currently </w:t>
            </w:r>
            <w:r w:rsidR="00603475">
              <w:rPr>
                <w:rFonts w:asciiTheme="minorHAnsi" w:hAnsiTheme="minorHAnsi"/>
                <w:sz w:val="20"/>
                <w:szCs w:val="20"/>
              </w:rPr>
              <w:t>RAG</w:t>
            </w:r>
            <w:r w:rsidR="008811AD">
              <w:rPr>
                <w:rFonts w:asciiTheme="minorHAnsi" w:hAnsiTheme="minorHAnsi"/>
                <w:sz w:val="20"/>
                <w:szCs w:val="20"/>
              </w:rPr>
              <w:t xml:space="preserve"> rated as red are:</w:t>
            </w:r>
          </w:p>
          <w:p w:rsidR="001B0704" w:rsidRDefault="001B0704" w:rsidP="00B01F1C">
            <w:pPr>
              <w:pStyle w:val="Default"/>
              <w:jc w:val="both"/>
              <w:rPr>
                <w:rFonts w:ascii="Calibri" w:hAnsi="Calibri" w:cs="Calibri"/>
                <w:sz w:val="20"/>
                <w:szCs w:val="20"/>
              </w:rPr>
            </w:pPr>
          </w:p>
          <w:p w:rsidR="007B59A2" w:rsidRDefault="007B59A2" w:rsidP="007B59A2">
            <w:pPr>
              <w:pStyle w:val="Default"/>
              <w:ind w:left="720"/>
              <w:jc w:val="both"/>
              <w:rPr>
                <w:rFonts w:ascii="Calibri" w:hAnsi="Calibri" w:cs="Calibri"/>
                <w:sz w:val="20"/>
                <w:szCs w:val="20"/>
              </w:rPr>
            </w:pPr>
            <w:r w:rsidRPr="007B59A2">
              <w:rPr>
                <w:rFonts w:ascii="Calibri" w:hAnsi="Calibri" w:cs="Calibri"/>
                <w:b/>
                <w:sz w:val="20"/>
                <w:szCs w:val="20"/>
              </w:rPr>
              <w:t>Demand Management (via the Alliance/PCN’s):</w:t>
            </w:r>
            <w:r>
              <w:rPr>
                <w:rFonts w:ascii="Calibri" w:hAnsi="Calibri" w:cs="Calibri"/>
                <w:b/>
                <w:sz w:val="20"/>
                <w:szCs w:val="20"/>
              </w:rPr>
              <w:t xml:space="preserve"> </w:t>
            </w:r>
            <w:r w:rsidRPr="007B59A2">
              <w:rPr>
                <w:rFonts w:ascii="Calibri" w:hAnsi="Calibri" w:cs="Calibri"/>
                <w:sz w:val="20"/>
                <w:szCs w:val="20"/>
              </w:rPr>
              <w:t xml:space="preserve">This scheme </w:t>
            </w:r>
            <w:r w:rsidR="00603475">
              <w:rPr>
                <w:rFonts w:ascii="Calibri" w:hAnsi="Calibri" w:cs="Calibri"/>
                <w:sz w:val="20"/>
                <w:szCs w:val="20"/>
              </w:rPr>
              <w:t>wa</w:t>
            </w:r>
            <w:r w:rsidRPr="007B59A2">
              <w:rPr>
                <w:rFonts w:ascii="Calibri" w:hAnsi="Calibri" w:cs="Calibri"/>
                <w:sz w:val="20"/>
                <w:szCs w:val="20"/>
              </w:rPr>
              <w:t xml:space="preserve">s </w:t>
            </w:r>
            <w:r w:rsidR="00603475">
              <w:rPr>
                <w:rFonts w:ascii="Calibri" w:hAnsi="Calibri" w:cs="Calibri"/>
                <w:sz w:val="20"/>
                <w:szCs w:val="20"/>
              </w:rPr>
              <w:t>plann</w:t>
            </w:r>
            <w:r w:rsidRPr="007B59A2">
              <w:rPr>
                <w:rFonts w:ascii="Calibri" w:hAnsi="Calibri" w:cs="Calibri"/>
                <w:sz w:val="20"/>
                <w:szCs w:val="20"/>
              </w:rPr>
              <w:t xml:space="preserve">ed to make savings </w:t>
            </w:r>
            <w:r w:rsidR="00E01410">
              <w:rPr>
                <w:rFonts w:ascii="Calibri" w:hAnsi="Calibri" w:cs="Calibri"/>
                <w:sz w:val="20"/>
                <w:szCs w:val="20"/>
              </w:rPr>
              <w:t xml:space="preserve">both </w:t>
            </w:r>
            <w:r w:rsidRPr="007B59A2">
              <w:rPr>
                <w:rFonts w:ascii="Calibri" w:hAnsi="Calibri" w:cs="Calibri"/>
                <w:sz w:val="20"/>
                <w:szCs w:val="20"/>
              </w:rPr>
              <w:t>within N</w:t>
            </w:r>
            <w:r w:rsidR="00603475">
              <w:rPr>
                <w:rFonts w:ascii="Calibri" w:hAnsi="Calibri" w:cs="Calibri"/>
                <w:sz w:val="20"/>
                <w:szCs w:val="20"/>
              </w:rPr>
              <w:t xml:space="preserve">orthern </w:t>
            </w:r>
            <w:r w:rsidRPr="007B59A2">
              <w:rPr>
                <w:rFonts w:ascii="Calibri" w:hAnsi="Calibri" w:cs="Calibri"/>
                <w:sz w:val="20"/>
                <w:szCs w:val="20"/>
              </w:rPr>
              <w:t>L</w:t>
            </w:r>
            <w:r w:rsidR="00603475">
              <w:rPr>
                <w:rFonts w:ascii="Calibri" w:hAnsi="Calibri" w:cs="Calibri"/>
                <w:sz w:val="20"/>
                <w:szCs w:val="20"/>
              </w:rPr>
              <w:t>incolnshire and Goole FT</w:t>
            </w:r>
            <w:r w:rsidR="00E01410">
              <w:rPr>
                <w:rFonts w:ascii="Calibri" w:hAnsi="Calibri" w:cs="Calibri"/>
                <w:sz w:val="20"/>
                <w:szCs w:val="20"/>
              </w:rPr>
              <w:t xml:space="preserve"> (NLAG)</w:t>
            </w:r>
            <w:r w:rsidR="00603475">
              <w:rPr>
                <w:rFonts w:ascii="Calibri" w:hAnsi="Calibri" w:cs="Calibri"/>
                <w:sz w:val="20"/>
                <w:szCs w:val="20"/>
              </w:rPr>
              <w:t xml:space="preserve"> </w:t>
            </w:r>
            <w:r w:rsidR="00E01410">
              <w:rPr>
                <w:rFonts w:ascii="Calibri" w:hAnsi="Calibri" w:cs="Calibri"/>
                <w:sz w:val="20"/>
                <w:szCs w:val="20"/>
              </w:rPr>
              <w:t>via non elective demand management and Primary Care P</w:t>
            </w:r>
            <w:r w:rsidRPr="007B59A2">
              <w:rPr>
                <w:rFonts w:ascii="Calibri" w:hAnsi="Calibri" w:cs="Calibri"/>
                <w:sz w:val="20"/>
                <w:szCs w:val="20"/>
              </w:rPr>
              <w:t>rescribing. The CCG is organising training sessions with PCNs to share the benchmarking data so PCNs can review and identify opportunities. We are also working with NECs</w:t>
            </w:r>
            <w:r w:rsidR="00E01410">
              <w:rPr>
                <w:rFonts w:ascii="Calibri" w:hAnsi="Calibri" w:cs="Calibri"/>
                <w:sz w:val="20"/>
                <w:szCs w:val="20"/>
              </w:rPr>
              <w:t xml:space="preserve"> (North East Commissioning Support)</w:t>
            </w:r>
            <w:r w:rsidRPr="007B59A2">
              <w:rPr>
                <w:rFonts w:ascii="Calibri" w:hAnsi="Calibri" w:cs="Calibri"/>
                <w:sz w:val="20"/>
                <w:szCs w:val="20"/>
              </w:rPr>
              <w:t xml:space="preserve"> to look at data where NLAG initiate dispensing to identify further potential savings across the system.</w:t>
            </w:r>
          </w:p>
          <w:p w:rsidR="007B59A2" w:rsidRDefault="007B59A2" w:rsidP="007B59A2">
            <w:pPr>
              <w:pStyle w:val="Default"/>
              <w:ind w:left="720"/>
              <w:jc w:val="both"/>
              <w:rPr>
                <w:rFonts w:ascii="Calibri" w:hAnsi="Calibri" w:cs="Calibri"/>
                <w:sz w:val="20"/>
                <w:szCs w:val="20"/>
              </w:rPr>
            </w:pPr>
          </w:p>
          <w:p w:rsidR="007B59A2" w:rsidRDefault="007B59A2" w:rsidP="007B59A2">
            <w:pPr>
              <w:pStyle w:val="Default"/>
              <w:ind w:left="720"/>
              <w:jc w:val="both"/>
              <w:rPr>
                <w:rFonts w:ascii="Calibri" w:hAnsi="Calibri" w:cs="Calibri"/>
                <w:sz w:val="20"/>
                <w:szCs w:val="20"/>
              </w:rPr>
            </w:pPr>
            <w:r w:rsidRPr="007B59A2">
              <w:rPr>
                <w:rFonts w:ascii="Calibri" w:hAnsi="Calibri" w:cs="Calibri"/>
                <w:b/>
                <w:sz w:val="20"/>
                <w:szCs w:val="20"/>
              </w:rPr>
              <w:t>Northern Lincolnshire and Goole NHS Foundation Trust schemes</w:t>
            </w:r>
            <w:r>
              <w:rPr>
                <w:rFonts w:ascii="Calibri" w:hAnsi="Calibri" w:cs="Calibri"/>
                <w:b/>
                <w:sz w:val="20"/>
                <w:szCs w:val="20"/>
              </w:rPr>
              <w:t xml:space="preserve">: </w:t>
            </w:r>
            <w:r w:rsidRPr="007B59A2">
              <w:rPr>
                <w:rFonts w:ascii="Calibri" w:hAnsi="Calibri" w:cs="Calibri"/>
                <w:sz w:val="20"/>
                <w:szCs w:val="20"/>
              </w:rPr>
              <w:t xml:space="preserve">Rightcare - Gastro is currently underachieving despite the implementation of agreed pathways. We are currently working with </w:t>
            </w:r>
            <w:r w:rsidR="00E01410">
              <w:rPr>
                <w:rFonts w:ascii="Calibri" w:hAnsi="Calibri" w:cs="Calibri"/>
                <w:sz w:val="20"/>
                <w:szCs w:val="20"/>
              </w:rPr>
              <w:t>them</w:t>
            </w:r>
            <w:r w:rsidRPr="007B59A2">
              <w:rPr>
                <w:rFonts w:ascii="Calibri" w:hAnsi="Calibri" w:cs="Calibri"/>
                <w:sz w:val="20"/>
                <w:szCs w:val="20"/>
              </w:rPr>
              <w:t xml:space="preserve"> to understand the reason for th</w:t>
            </w:r>
            <w:r w:rsidR="00E01410">
              <w:rPr>
                <w:rFonts w:ascii="Calibri" w:hAnsi="Calibri" w:cs="Calibri"/>
                <w:sz w:val="20"/>
                <w:szCs w:val="20"/>
              </w:rPr>
              <w:t xml:space="preserve">is. </w:t>
            </w:r>
          </w:p>
          <w:p w:rsidR="00064F4F" w:rsidRDefault="00064F4F" w:rsidP="007B59A2">
            <w:pPr>
              <w:pStyle w:val="Default"/>
              <w:ind w:left="720"/>
              <w:jc w:val="both"/>
              <w:rPr>
                <w:rFonts w:ascii="Calibri" w:hAnsi="Calibri" w:cs="Calibri"/>
                <w:sz w:val="20"/>
                <w:szCs w:val="20"/>
              </w:rPr>
            </w:pPr>
          </w:p>
          <w:p w:rsidR="00064F4F" w:rsidRDefault="00064F4F" w:rsidP="00E01410">
            <w:pPr>
              <w:pStyle w:val="Default"/>
              <w:numPr>
                <w:ilvl w:val="0"/>
                <w:numId w:val="7"/>
              </w:numPr>
              <w:tabs>
                <w:tab w:val="left" w:pos="268"/>
              </w:tabs>
              <w:ind w:left="268" w:hanging="268"/>
              <w:jc w:val="both"/>
              <w:rPr>
                <w:rFonts w:asciiTheme="minorHAnsi" w:hAnsiTheme="minorHAnsi"/>
                <w:sz w:val="20"/>
                <w:szCs w:val="20"/>
              </w:rPr>
            </w:pPr>
            <w:r w:rsidRPr="00B01F1C">
              <w:rPr>
                <w:rFonts w:asciiTheme="minorHAnsi" w:hAnsiTheme="minorHAnsi"/>
                <w:b/>
                <w:bCs/>
                <w:sz w:val="20"/>
                <w:szCs w:val="20"/>
              </w:rPr>
              <w:t>Better Payment Practice;</w:t>
            </w:r>
            <w:r w:rsidRPr="00B01F1C">
              <w:rPr>
                <w:rFonts w:asciiTheme="minorHAnsi" w:hAnsiTheme="minorHAnsi"/>
                <w:sz w:val="20"/>
                <w:szCs w:val="20"/>
              </w:rPr>
              <w:t xml:space="preserve"> As at July 2019, the CCG continue to meet the 95% target for the value of invoices paid within the 30 days (or by due date). However, the target is not being met for the number of invoices paid, which is specifically due to invoices paid by Focus on the CCG's behalf, via the NELC shared service. Staffing issues have now been resolved and we expect to see an improvement in the figures reported at the next DAC meeting. The CCG have also performed some data validation checks and are currently awaiting responses.</w:t>
            </w:r>
          </w:p>
          <w:p w:rsidR="00064F4F" w:rsidRPr="00652BA3" w:rsidRDefault="00064F4F" w:rsidP="00064F4F">
            <w:pPr>
              <w:pStyle w:val="Default"/>
              <w:tabs>
                <w:tab w:val="left" w:pos="368"/>
              </w:tabs>
              <w:ind w:left="720"/>
              <w:rPr>
                <w:rFonts w:asciiTheme="minorHAnsi" w:hAnsiTheme="minorHAnsi"/>
                <w:sz w:val="20"/>
                <w:szCs w:val="20"/>
              </w:rPr>
            </w:pPr>
          </w:p>
          <w:p w:rsidR="00064F4F" w:rsidRDefault="00064F4F" w:rsidP="00C52A04">
            <w:pPr>
              <w:pStyle w:val="Default"/>
              <w:numPr>
                <w:ilvl w:val="0"/>
                <w:numId w:val="7"/>
              </w:numPr>
              <w:tabs>
                <w:tab w:val="left" w:pos="268"/>
              </w:tabs>
              <w:ind w:left="268" w:hanging="268"/>
              <w:rPr>
                <w:rFonts w:asciiTheme="minorHAnsi" w:hAnsiTheme="minorHAnsi"/>
                <w:sz w:val="20"/>
                <w:szCs w:val="20"/>
              </w:rPr>
            </w:pPr>
            <w:r w:rsidRPr="00B01F1C">
              <w:rPr>
                <w:rFonts w:asciiTheme="minorHAnsi" w:hAnsiTheme="minorHAnsi"/>
                <w:b/>
                <w:bCs/>
                <w:sz w:val="20"/>
                <w:szCs w:val="20"/>
              </w:rPr>
              <w:t>Cash:</w:t>
            </w:r>
            <w:r w:rsidRPr="00B01F1C">
              <w:rPr>
                <w:rFonts w:asciiTheme="minorHAnsi" w:hAnsiTheme="minorHAnsi"/>
                <w:sz w:val="20"/>
                <w:szCs w:val="20"/>
              </w:rPr>
              <w:t xml:space="preserve"> As at July 2019 the CCG had drawn down 33.6% of its annual cash allocation, compared to 33.3% (one third) of months completed in year.</w:t>
            </w:r>
          </w:p>
          <w:p w:rsidR="00064F4F" w:rsidRDefault="00064F4F" w:rsidP="00064F4F">
            <w:pPr>
              <w:pStyle w:val="Default"/>
              <w:ind w:left="720"/>
              <w:jc w:val="both"/>
              <w:rPr>
                <w:rFonts w:ascii="Calibri" w:hAnsi="Calibri" w:cs="Calibri"/>
                <w:sz w:val="20"/>
                <w:szCs w:val="20"/>
              </w:rPr>
            </w:pPr>
          </w:p>
          <w:p w:rsidR="00064F4F" w:rsidRPr="00F94C25" w:rsidRDefault="00064F4F" w:rsidP="00064F4F">
            <w:pPr>
              <w:pStyle w:val="Default"/>
              <w:ind w:left="720"/>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Quality Implications:</w:t>
            </w:r>
          </w:p>
          <w:p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BD3456">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246EFA" w:rsidRPr="000D1B0D" w:rsidRDefault="00246EFA" w:rsidP="00D42959">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rsidR="00246EFA" w:rsidRPr="00901CC0" w:rsidRDefault="00BD3456" w:rsidP="00E61AF0">
            <w:pPr>
              <w:pStyle w:val="Default"/>
              <w:jc w:val="both"/>
              <w:rPr>
                <w:rFonts w:ascii="Calibri" w:hAnsi="Calibri" w:cs="Calibri"/>
                <w:sz w:val="20"/>
                <w:szCs w:val="20"/>
              </w:rPr>
            </w:pPr>
            <w:r>
              <w:rPr>
                <w:rFonts w:ascii="Calibri" w:hAnsi="Calibri" w:cs="Calibri"/>
                <w:sz w:val="20"/>
                <w:szCs w:val="20"/>
              </w:rPr>
              <w:t>None</w:t>
            </w:r>
          </w:p>
        </w:tc>
      </w:tr>
      <w:tr w:rsidR="00473CC5" w:rsidRPr="000D1B0D" w:rsidTr="00144ED4">
        <w:tc>
          <w:tcPr>
            <w:tcW w:w="1183" w:type="pct"/>
            <w:shd w:val="clear" w:color="auto" w:fill="auto"/>
          </w:tcPr>
          <w:p w:rsidR="00473CC5" w:rsidRPr="00F300A1" w:rsidRDefault="00473CC5" w:rsidP="00BD3456">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BD3456" w:rsidP="000D1B0D">
            <w:pPr>
              <w:pStyle w:val="Default"/>
              <w:jc w:val="both"/>
              <w:rPr>
                <w:rFonts w:ascii="Calibri" w:hAnsi="Calibri" w:cs="Calibri"/>
                <w:sz w:val="20"/>
                <w:szCs w:val="20"/>
              </w:rPr>
            </w:pPr>
            <w:r>
              <w:rPr>
                <w:rFonts w:ascii="Calibri" w:hAnsi="Calibri" w:cs="Calibri"/>
                <w:sz w:val="20"/>
                <w:szCs w:val="20"/>
              </w:rPr>
              <w:t>None</w:t>
            </w: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 xml:space="preserve">Have all conflicts and potential conflicts of interest been appropriately declared and entered in </w:t>
            </w:r>
            <w:r w:rsidR="00422683" w:rsidRPr="00E61AF0">
              <w:rPr>
                <w:rFonts w:ascii="Calibri" w:hAnsi="Calibri" w:cs="Calibri"/>
                <w:i/>
                <w:sz w:val="20"/>
                <w:szCs w:val="20"/>
              </w:rPr>
              <w:t>registers, which</w:t>
            </w:r>
            <w:r w:rsidRPr="00E61AF0">
              <w:rPr>
                <w:rFonts w:ascii="Calibri" w:hAnsi="Calibri" w:cs="Calibri"/>
                <w:i/>
                <w:sz w:val="20"/>
                <w:szCs w:val="20"/>
              </w:rPr>
              <w:t xml:space="preserve">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6C7823"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BD3456">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lastRenderedPageBreak/>
              <w:t xml:space="preserve">Links to CCG’s </w:t>
            </w:r>
            <w:r w:rsidR="007663C8">
              <w:rPr>
                <w:rFonts w:ascii="Calibri" w:hAnsi="Calibri" w:cs="Calibri"/>
                <w:b/>
                <w:sz w:val="20"/>
                <w:szCs w:val="20"/>
              </w:rPr>
              <w:t>Strategic Objectives</w:t>
            </w:r>
          </w:p>
        </w:tc>
        <w:tc>
          <w:tcPr>
            <w:tcW w:w="3817" w:type="pct"/>
            <w:gridSpan w:val="2"/>
            <w:shd w:val="clear" w:color="auto" w:fill="auto"/>
          </w:tcPr>
          <w:p w:rsidR="006330C7" w:rsidRDefault="006C7823"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0"/>
                  <w14:checkedState w14:val="2612" w14:font="MS Gothic"/>
                  <w14:uncheckedState w14:val="2610" w14:font="MS Gothic"/>
                </w14:checkbox>
              </w:sdtPr>
              <w:sdtEndPr/>
              <w:sdtContent>
                <w:r w:rsidR="00DB37E5">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6C7823"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BD3456">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6C7823"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BD3456" w:rsidP="0009052F">
            <w:pPr>
              <w:pStyle w:val="Default"/>
              <w:jc w:val="both"/>
              <w:rPr>
                <w:rFonts w:ascii="Calibri" w:hAnsi="Calibri" w:cs="Calibri"/>
                <w:sz w:val="20"/>
                <w:szCs w:val="20"/>
              </w:rPr>
            </w:pPr>
            <w:r>
              <w:rPr>
                <w:rFonts w:ascii="Calibri" w:hAnsi="Calibri" w:cs="Calibri"/>
                <w:sz w:val="20"/>
                <w:szCs w:val="20"/>
              </w:rPr>
              <w:t>T</w:t>
            </w:r>
            <w:r w:rsidRPr="00143128">
              <w:rPr>
                <w:rFonts w:ascii="Calibri" w:hAnsi="Calibri" w:cs="Calibri"/>
                <w:sz w:val="20"/>
                <w:szCs w:val="20"/>
              </w:rPr>
              <w:t xml:space="preserve">he </w:t>
            </w:r>
            <w:r>
              <w:rPr>
                <w:rFonts w:ascii="Calibri" w:hAnsi="Calibri" w:cs="Calibri"/>
                <w:sz w:val="20"/>
                <w:szCs w:val="20"/>
              </w:rPr>
              <w:t xml:space="preserve">CCG </w:t>
            </w:r>
            <w:r w:rsidRPr="00143128">
              <w:rPr>
                <w:rFonts w:ascii="Calibri" w:hAnsi="Calibri" w:cs="Calibri"/>
                <w:sz w:val="20"/>
                <w:szCs w:val="20"/>
              </w:rPr>
              <w:t>will promote good governance and proper stewardship of public resources in pursuance of its goals and in meeting its statutory duties.</w:t>
            </w: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E402F3" w:rsidRPr="000D1B0D" w:rsidRDefault="00891861" w:rsidP="000D1B0D">
            <w:pPr>
              <w:pStyle w:val="Default"/>
              <w:jc w:val="both"/>
              <w:rPr>
                <w:rFonts w:ascii="Calibri" w:hAnsi="Calibri" w:cs="Calibri"/>
                <w:sz w:val="20"/>
                <w:szCs w:val="20"/>
              </w:rPr>
            </w:pPr>
            <w:r>
              <w:rPr>
                <w:rFonts w:ascii="Calibri" w:hAnsi="Calibri" w:cs="Calibri"/>
                <w:sz w:val="20"/>
                <w:szCs w:val="20"/>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85pt" o:ole="">
                  <v:imagedata r:id="rId10" o:title=""/>
                </v:shape>
                <o:OLEObject Type="Embed" ProgID="Acrobat.Document.DC" ShapeID="_x0000_i1025" DrawAspect="Icon" ObjectID="_1629284443" r:id="rId11"/>
              </w:object>
            </w:r>
          </w:p>
        </w:tc>
      </w:tr>
    </w:tbl>
    <w:p w:rsidR="009D4EDC" w:rsidRDefault="009D4EDC" w:rsidP="00D3211A">
      <w:pPr>
        <w:pStyle w:val="Default"/>
        <w:jc w:val="both"/>
        <w:rPr>
          <w:rFonts w:ascii="Calibri" w:hAnsi="Calibri" w:cs="Calibri"/>
          <w:sz w:val="20"/>
          <w:szCs w:val="20"/>
        </w:rPr>
      </w:pPr>
    </w:p>
    <w:p w:rsidR="001E391A" w:rsidRDefault="001E391A">
      <w:pPr>
        <w:rPr>
          <w:rFonts w:ascii="Calibri" w:eastAsia="MS Mincho" w:hAnsi="Calibri" w:cs="Calibri"/>
          <w:color w:val="000000"/>
          <w:sz w:val="20"/>
          <w:lang w:eastAsia="en-GB"/>
        </w:rPr>
      </w:pPr>
      <w:r>
        <w:rPr>
          <w:rFonts w:ascii="Calibri" w:hAnsi="Calibri" w:cs="Calibri"/>
          <w:sz w:val="20"/>
        </w:rPr>
        <w:br w:type="page"/>
      </w:r>
    </w:p>
    <w:p w:rsidR="006C466D" w:rsidRPr="006C466D" w:rsidRDefault="006C466D" w:rsidP="00422683">
      <w:pPr>
        <w:pStyle w:val="Default"/>
        <w:jc w:val="right"/>
        <w:rPr>
          <w:rFonts w:ascii="Calibri" w:hAnsi="Calibri" w:cs="Calibri"/>
          <w:b/>
          <w:sz w:val="20"/>
          <w:szCs w:val="20"/>
        </w:rPr>
      </w:pPr>
      <w:r>
        <w:rPr>
          <w:rFonts w:ascii="Calibri" w:hAnsi="Calibri" w:cs="Calibri"/>
          <w:sz w:val="20"/>
          <w:szCs w:val="20"/>
        </w:rPr>
        <w:lastRenderedPageBreak/>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sectPr w:rsidR="006C466D" w:rsidRPr="006C466D" w:rsidSect="00144ED4">
      <w:headerReference w:type="default" r:id="rId12"/>
      <w:footerReference w:type="default" r:id="rId13"/>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82" w:rsidRDefault="00840282" w:rsidP="00E1284E">
      <w:r>
        <w:separator/>
      </w:r>
    </w:p>
  </w:endnote>
  <w:endnote w:type="continuationSeparator" w:id="0">
    <w:p w:rsidR="00840282" w:rsidRDefault="00840282"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6C7823">
      <w:rPr>
        <w:noProof/>
      </w:rPr>
      <w:t>6</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82" w:rsidRDefault="00840282" w:rsidP="00E1284E">
      <w:r>
        <w:separator/>
      </w:r>
    </w:p>
  </w:footnote>
  <w:footnote w:type="continuationSeparator" w:id="0">
    <w:p w:rsidR="00840282" w:rsidRDefault="00840282"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19C"/>
    <w:multiLevelType w:val="hybridMultilevel"/>
    <w:tmpl w:val="2B444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5772B"/>
    <w:multiLevelType w:val="hybridMultilevel"/>
    <w:tmpl w:val="6B96E6C4"/>
    <w:lvl w:ilvl="0" w:tplc="F39EC00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77509"/>
    <w:multiLevelType w:val="hybridMultilevel"/>
    <w:tmpl w:val="460EDA42"/>
    <w:lvl w:ilvl="0" w:tplc="9E2EFA96">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364C0"/>
    <w:multiLevelType w:val="hybridMultilevel"/>
    <w:tmpl w:val="99A24254"/>
    <w:lvl w:ilvl="0" w:tplc="21EE0B84">
      <w:start w:val="1"/>
      <w:numFmt w:val="bullet"/>
      <w:lvlText w:val="-"/>
      <w:lvlJc w:val="left"/>
      <w:pPr>
        <w:ind w:left="1348" w:hanging="360"/>
      </w:pPr>
      <w:rPr>
        <w:rFonts w:ascii="Sylfaen" w:hAnsi="Sylfaen"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5"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AE4FEC"/>
    <w:multiLevelType w:val="hybridMultilevel"/>
    <w:tmpl w:val="2AA4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1247E"/>
    <w:multiLevelType w:val="hybridMultilevel"/>
    <w:tmpl w:val="3E468B6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F581ECA"/>
    <w:multiLevelType w:val="hybridMultilevel"/>
    <w:tmpl w:val="C7DCDFA6"/>
    <w:lvl w:ilvl="0" w:tplc="F39EC00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D5301"/>
    <w:multiLevelType w:val="hybridMultilevel"/>
    <w:tmpl w:val="0878629C"/>
    <w:lvl w:ilvl="0" w:tplc="F39EC00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402F2"/>
    <w:multiLevelType w:val="hybridMultilevel"/>
    <w:tmpl w:val="54E67DC4"/>
    <w:lvl w:ilvl="0" w:tplc="F39EC00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2161E"/>
    <w:multiLevelType w:val="hybridMultilevel"/>
    <w:tmpl w:val="694C11E8"/>
    <w:lvl w:ilvl="0" w:tplc="21EE0B84">
      <w:start w:val="1"/>
      <w:numFmt w:val="bullet"/>
      <w:lvlText w:val="-"/>
      <w:lvlJc w:val="left"/>
      <w:pPr>
        <w:ind w:left="1470" w:hanging="360"/>
      </w:pPr>
      <w:rPr>
        <w:rFonts w:ascii="Sylfaen" w:hAnsi="Sylfaen"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4"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2672AF"/>
    <w:multiLevelType w:val="hybridMultilevel"/>
    <w:tmpl w:val="FF74A9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D956A54"/>
    <w:multiLevelType w:val="hybridMultilevel"/>
    <w:tmpl w:val="B8ECBD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BC75CD"/>
    <w:multiLevelType w:val="hybridMultilevel"/>
    <w:tmpl w:val="2EC6E4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B47569E"/>
    <w:multiLevelType w:val="hybridMultilevel"/>
    <w:tmpl w:val="8948346E"/>
    <w:lvl w:ilvl="0" w:tplc="9E2EFA96">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13339F"/>
    <w:multiLevelType w:val="hybridMultilevel"/>
    <w:tmpl w:val="F3905A94"/>
    <w:lvl w:ilvl="0" w:tplc="7F2425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353817"/>
    <w:multiLevelType w:val="hybridMultilevel"/>
    <w:tmpl w:val="492C8802"/>
    <w:lvl w:ilvl="0" w:tplc="0809000B">
      <w:start w:val="1"/>
      <w:numFmt w:val="bullet"/>
      <w:lvlText w:val=""/>
      <w:lvlJc w:val="left"/>
      <w:pPr>
        <w:ind w:left="1470" w:hanging="360"/>
      </w:pPr>
      <w:rPr>
        <w:rFonts w:ascii="Wingdings" w:hAnsi="Wingdings"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1" w15:restartNumberingAfterBreak="0">
    <w:nsid w:val="78621341"/>
    <w:multiLevelType w:val="hybridMultilevel"/>
    <w:tmpl w:val="CCB001C2"/>
    <w:lvl w:ilvl="0" w:tplc="21EE0B84">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074D7"/>
    <w:multiLevelType w:val="hybridMultilevel"/>
    <w:tmpl w:val="DC08C8EC"/>
    <w:lvl w:ilvl="0" w:tplc="0809000B">
      <w:start w:val="1"/>
      <w:numFmt w:val="bullet"/>
      <w:lvlText w:val=""/>
      <w:lvlJc w:val="left"/>
      <w:pPr>
        <w:ind w:left="988" w:hanging="360"/>
      </w:pPr>
      <w:rPr>
        <w:rFonts w:ascii="Wingdings" w:hAnsi="Wingdings"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23" w15:restartNumberingAfterBreak="0">
    <w:nsid w:val="7EFB4461"/>
    <w:multiLevelType w:val="hybridMultilevel"/>
    <w:tmpl w:val="D228E95A"/>
    <w:lvl w:ilvl="0" w:tplc="F39EC004">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10"/>
  </w:num>
  <w:num w:numId="5">
    <w:abstractNumId w:val="3"/>
  </w:num>
  <w:num w:numId="6">
    <w:abstractNumId w:val="14"/>
  </w:num>
  <w:num w:numId="7">
    <w:abstractNumId w:val="23"/>
  </w:num>
  <w:num w:numId="8">
    <w:abstractNumId w:val="9"/>
  </w:num>
  <w:num w:numId="9">
    <w:abstractNumId w:val="8"/>
  </w:num>
  <w:num w:numId="10">
    <w:abstractNumId w:val="16"/>
  </w:num>
  <w:num w:numId="11">
    <w:abstractNumId w:val="6"/>
  </w:num>
  <w:num w:numId="12">
    <w:abstractNumId w:val="12"/>
  </w:num>
  <w:num w:numId="13">
    <w:abstractNumId w:val="1"/>
  </w:num>
  <w:num w:numId="14">
    <w:abstractNumId w:val="7"/>
  </w:num>
  <w:num w:numId="15">
    <w:abstractNumId w:val="2"/>
  </w:num>
  <w:num w:numId="16">
    <w:abstractNumId w:val="18"/>
  </w:num>
  <w:num w:numId="17">
    <w:abstractNumId w:val="17"/>
  </w:num>
  <w:num w:numId="18">
    <w:abstractNumId w:val="15"/>
  </w:num>
  <w:num w:numId="19">
    <w:abstractNumId w:val="19"/>
  </w:num>
  <w:num w:numId="20">
    <w:abstractNumId w:val="20"/>
  </w:num>
  <w:num w:numId="21">
    <w:abstractNumId w:val="0"/>
  </w:num>
  <w:num w:numId="22">
    <w:abstractNumId w:val="22"/>
  </w:num>
  <w:num w:numId="23">
    <w:abstractNumId w:val="13"/>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33F6"/>
    <w:rsid w:val="00005BBC"/>
    <w:rsid w:val="00006E07"/>
    <w:rsid w:val="0001061C"/>
    <w:rsid w:val="00034CF6"/>
    <w:rsid w:val="000350E4"/>
    <w:rsid w:val="00035AD7"/>
    <w:rsid w:val="00042DDB"/>
    <w:rsid w:val="00043C7A"/>
    <w:rsid w:val="00046B77"/>
    <w:rsid w:val="000579F0"/>
    <w:rsid w:val="00064F4F"/>
    <w:rsid w:val="00065817"/>
    <w:rsid w:val="0009052F"/>
    <w:rsid w:val="00096E41"/>
    <w:rsid w:val="000A554D"/>
    <w:rsid w:val="000A7EB7"/>
    <w:rsid w:val="000B1096"/>
    <w:rsid w:val="000C4D3C"/>
    <w:rsid w:val="000C70E4"/>
    <w:rsid w:val="000D1426"/>
    <w:rsid w:val="000D1B0D"/>
    <w:rsid w:val="00107535"/>
    <w:rsid w:val="001139C9"/>
    <w:rsid w:val="00120B4F"/>
    <w:rsid w:val="0013341F"/>
    <w:rsid w:val="001349ED"/>
    <w:rsid w:val="0013525E"/>
    <w:rsid w:val="00136B75"/>
    <w:rsid w:val="00144ED4"/>
    <w:rsid w:val="001521B4"/>
    <w:rsid w:val="001556E0"/>
    <w:rsid w:val="00160986"/>
    <w:rsid w:val="0016479A"/>
    <w:rsid w:val="00172A75"/>
    <w:rsid w:val="001851BD"/>
    <w:rsid w:val="001867FF"/>
    <w:rsid w:val="00193053"/>
    <w:rsid w:val="001B0704"/>
    <w:rsid w:val="001D2409"/>
    <w:rsid w:val="001E391A"/>
    <w:rsid w:val="002044CF"/>
    <w:rsid w:val="002054A0"/>
    <w:rsid w:val="00205CF1"/>
    <w:rsid w:val="00211727"/>
    <w:rsid w:val="0022046E"/>
    <w:rsid w:val="00220DF9"/>
    <w:rsid w:val="00246A4E"/>
    <w:rsid w:val="00246EFA"/>
    <w:rsid w:val="0026231B"/>
    <w:rsid w:val="00267CA4"/>
    <w:rsid w:val="0028419C"/>
    <w:rsid w:val="002C32CC"/>
    <w:rsid w:val="002F38A7"/>
    <w:rsid w:val="00306A1B"/>
    <w:rsid w:val="00331A93"/>
    <w:rsid w:val="0036733E"/>
    <w:rsid w:val="00390412"/>
    <w:rsid w:val="003B7B5D"/>
    <w:rsid w:val="003C7253"/>
    <w:rsid w:val="003D7845"/>
    <w:rsid w:val="003E2DF5"/>
    <w:rsid w:val="004126BC"/>
    <w:rsid w:val="00422683"/>
    <w:rsid w:val="00425BEA"/>
    <w:rsid w:val="00437129"/>
    <w:rsid w:val="004458C3"/>
    <w:rsid w:val="00453E4B"/>
    <w:rsid w:val="00461F5E"/>
    <w:rsid w:val="00462725"/>
    <w:rsid w:val="00462732"/>
    <w:rsid w:val="00471BB9"/>
    <w:rsid w:val="00473CC5"/>
    <w:rsid w:val="004767D8"/>
    <w:rsid w:val="00491316"/>
    <w:rsid w:val="004B444D"/>
    <w:rsid w:val="004C3306"/>
    <w:rsid w:val="004D2BFE"/>
    <w:rsid w:val="004E32B5"/>
    <w:rsid w:val="004F2370"/>
    <w:rsid w:val="004F5317"/>
    <w:rsid w:val="004F6116"/>
    <w:rsid w:val="004F635B"/>
    <w:rsid w:val="005017EF"/>
    <w:rsid w:val="00504F2E"/>
    <w:rsid w:val="00512440"/>
    <w:rsid w:val="005310F1"/>
    <w:rsid w:val="005318DA"/>
    <w:rsid w:val="005341D0"/>
    <w:rsid w:val="005420DC"/>
    <w:rsid w:val="0054308A"/>
    <w:rsid w:val="00552077"/>
    <w:rsid w:val="005A0D0A"/>
    <w:rsid w:val="005A4EC5"/>
    <w:rsid w:val="005A53D1"/>
    <w:rsid w:val="005B0C13"/>
    <w:rsid w:val="005B560F"/>
    <w:rsid w:val="005F675E"/>
    <w:rsid w:val="006006E6"/>
    <w:rsid w:val="00603475"/>
    <w:rsid w:val="00630987"/>
    <w:rsid w:val="006330C7"/>
    <w:rsid w:val="0063469B"/>
    <w:rsid w:val="00641C33"/>
    <w:rsid w:val="00644ECC"/>
    <w:rsid w:val="0065247D"/>
    <w:rsid w:val="00652BA3"/>
    <w:rsid w:val="0065678D"/>
    <w:rsid w:val="00663808"/>
    <w:rsid w:val="00672300"/>
    <w:rsid w:val="00686C41"/>
    <w:rsid w:val="006916D3"/>
    <w:rsid w:val="00691924"/>
    <w:rsid w:val="0069288C"/>
    <w:rsid w:val="00697B0F"/>
    <w:rsid w:val="006A23CE"/>
    <w:rsid w:val="006C1307"/>
    <w:rsid w:val="006C466D"/>
    <w:rsid w:val="006C7823"/>
    <w:rsid w:val="006D0322"/>
    <w:rsid w:val="006E05F2"/>
    <w:rsid w:val="006F3A4E"/>
    <w:rsid w:val="00702A75"/>
    <w:rsid w:val="00703268"/>
    <w:rsid w:val="00703A11"/>
    <w:rsid w:val="0071072D"/>
    <w:rsid w:val="00711DA9"/>
    <w:rsid w:val="00713215"/>
    <w:rsid w:val="00720BF3"/>
    <w:rsid w:val="00733254"/>
    <w:rsid w:val="00734128"/>
    <w:rsid w:val="007405E7"/>
    <w:rsid w:val="00755446"/>
    <w:rsid w:val="00763B57"/>
    <w:rsid w:val="007663C8"/>
    <w:rsid w:val="00793F90"/>
    <w:rsid w:val="007B59A2"/>
    <w:rsid w:val="007C526F"/>
    <w:rsid w:val="007D1C13"/>
    <w:rsid w:val="007D63E5"/>
    <w:rsid w:val="007E1C2F"/>
    <w:rsid w:val="007E2A23"/>
    <w:rsid w:val="008022DB"/>
    <w:rsid w:val="008044FD"/>
    <w:rsid w:val="00805FAF"/>
    <w:rsid w:val="0081494F"/>
    <w:rsid w:val="008336DE"/>
    <w:rsid w:val="00840282"/>
    <w:rsid w:val="00842CBF"/>
    <w:rsid w:val="00846301"/>
    <w:rsid w:val="00853A43"/>
    <w:rsid w:val="00876931"/>
    <w:rsid w:val="008811AD"/>
    <w:rsid w:val="00891861"/>
    <w:rsid w:val="00893409"/>
    <w:rsid w:val="008A1D10"/>
    <w:rsid w:val="008C5A15"/>
    <w:rsid w:val="008D2FFA"/>
    <w:rsid w:val="008F7075"/>
    <w:rsid w:val="00901CC0"/>
    <w:rsid w:val="00911F40"/>
    <w:rsid w:val="009169E9"/>
    <w:rsid w:val="009232A3"/>
    <w:rsid w:val="009245B1"/>
    <w:rsid w:val="0092546C"/>
    <w:rsid w:val="00931535"/>
    <w:rsid w:val="009707A9"/>
    <w:rsid w:val="0098436E"/>
    <w:rsid w:val="00991A1C"/>
    <w:rsid w:val="00993D4C"/>
    <w:rsid w:val="00995A9E"/>
    <w:rsid w:val="009A5226"/>
    <w:rsid w:val="009B2D9C"/>
    <w:rsid w:val="009B4B1E"/>
    <w:rsid w:val="009D39DE"/>
    <w:rsid w:val="009D4EDC"/>
    <w:rsid w:val="009E45D2"/>
    <w:rsid w:val="009F232D"/>
    <w:rsid w:val="00A0148B"/>
    <w:rsid w:val="00A13DAB"/>
    <w:rsid w:val="00A218A3"/>
    <w:rsid w:val="00A21FC9"/>
    <w:rsid w:val="00A34173"/>
    <w:rsid w:val="00A41667"/>
    <w:rsid w:val="00A6500E"/>
    <w:rsid w:val="00A66D55"/>
    <w:rsid w:val="00A67A77"/>
    <w:rsid w:val="00A9358C"/>
    <w:rsid w:val="00A977E0"/>
    <w:rsid w:val="00AB1B69"/>
    <w:rsid w:val="00AB4FF6"/>
    <w:rsid w:val="00AB645B"/>
    <w:rsid w:val="00AE7054"/>
    <w:rsid w:val="00AF3BA2"/>
    <w:rsid w:val="00AF4A4F"/>
    <w:rsid w:val="00B01F1C"/>
    <w:rsid w:val="00B10221"/>
    <w:rsid w:val="00B17042"/>
    <w:rsid w:val="00B24425"/>
    <w:rsid w:val="00B6006E"/>
    <w:rsid w:val="00B62F45"/>
    <w:rsid w:val="00B658DC"/>
    <w:rsid w:val="00B76E57"/>
    <w:rsid w:val="00B904DF"/>
    <w:rsid w:val="00B90A59"/>
    <w:rsid w:val="00B93ACF"/>
    <w:rsid w:val="00B96B78"/>
    <w:rsid w:val="00B971B9"/>
    <w:rsid w:val="00B97ECF"/>
    <w:rsid w:val="00BB0439"/>
    <w:rsid w:val="00BB2F43"/>
    <w:rsid w:val="00BB4006"/>
    <w:rsid w:val="00BB40A8"/>
    <w:rsid w:val="00BD3456"/>
    <w:rsid w:val="00BD654E"/>
    <w:rsid w:val="00BE2870"/>
    <w:rsid w:val="00BE53CE"/>
    <w:rsid w:val="00BE727A"/>
    <w:rsid w:val="00BE7CCE"/>
    <w:rsid w:val="00BF0F58"/>
    <w:rsid w:val="00C0039E"/>
    <w:rsid w:val="00C11E96"/>
    <w:rsid w:val="00C22A1B"/>
    <w:rsid w:val="00C24F69"/>
    <w:rsid w:val="00C26DF1"/>
    <w:rsid w:val="00C3728B"/>
    <w:rsid w:val="00C41576"/>
    <w:rsid w:val="00C450D4"/>
    <w:rsid w:val="00C52984"/>
    <w:rsid w:val="00C52A04"/>
    <w:rsid w:val="00C64AF0"/>
    <w:rsid w:val="00C72A77"/>
    <w:rsid w:val="00C81EF3"/>
    <w:rsid w:val="00C842D0"/>
    <w:rsid w:val="00CA348E"/>
    <w:rsid w:val="00CA4E8E"/>
    <w:rsid w:val="00CB1860"/>
    <w:rsid w:val="00CC2C55"/>
    <w:rsid w:val="00CD4735"/>
    <w:rsid w:val="00CF20A6"/>
    <w:rsid w:val="00CF347F"/>
    <w:rsid w:val="00CF395E"/>
    <w:rsid w:val="00CF7E0D"/>
    <w:rsid w:val="00D00012"/>
    <w:rsid w:val="00D035B0"/>
    <w:rsid w:val="00D3211A"/>
    <w:rsid w:val="00D37168"/>
    <w:rsid w:val="00D42959"/>
    <w:rsid w:val="00D44148"/>
    <w:rsid w:val="00D562BE"/>
    <w:rsid w:val="00D608FD"/>
    <w:rsid w:val="00D64192"/>
    <w:rsid w:val="00D7667F"/>
    <w:rsid w:val="00DA7A50"/>
    <w:rsid w:val="00DB2A0C"/>
    <w:rsid w:val="00DB37E5"/>
    <w:rsid w:val="00DB554E"/>
    <w:rsid w:val="00DC041C"/>
    <w:rsid w:val="00DC591C"/>
    <w:rsid w:val="00DE0BED"/>
    <w:rsid w:val="00DE185E"/>
    <w:rsid w:val="00DE3799"/>
    <w:rsid w:val="00DF5033"/>
    <w:rsid w:val="00DF7670"/>
    <w:rsid w:val="00E01410"/>
    <w:rsid w:val="00E04F05"/>
    <w:rsid w:val="00E1284E"/>
    <w:rsid w:val="00E26D6F"/>
    <w:rsid w:val="00E35CBD"/>
    <w:rsid w:val="00E402F3"/>
    <w:rsid w:val="00E52FDA"/>
    <w:rsid w:val="00E61AF0"/>
    <w:rsid w:val="00E72942"/>
    <w:rsid w:val="00E72F52"/>
    <w:rsid w:val="00E73B61"/>
    <w:rsid w:val="00E763D6"/>
    <w:rsid w:val="00E76606"/>
    <w:rsid w:val="00E86651"/>
    <w:rsid w:val="00E912FC"/>
    <w:rsid w:val="00E97542"/>
    <w:rsid w:val="00EA4E01"/>
    <w:rsid w:val="00EB634A"/>
    <w:rsid w:val="00EC7E7C"/>
    <w:rsid w:val="00ED276A"/>
    <w:rsid w:val="00EE180C"/>
    <w:rsid w:val="00EF44B1"/>
    <w:rsid w:val="00F07AA3"/>
    <w:rsid w:val="00F300A1"/>
    <w:rsid w:val="00F4010D"/>
    <w:rsid w:val="00F54DEB"/>
    <w:rsid w:val="00F70302"/>
    <w:rsid w:val="00F94C25"/>
    <w:rsid w:val="00F97DC2"/>
    <w:rsid w:val="00FB449C"/>
    <w:rsid w:val="00FF40B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EE9E81"/>
  <w15:docId w15:val="{5B0ECE51-31BF-4A37-8BB8-58EBB22F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pPr>
        <w:spacing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88C"/>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6195">
      <w:bodyDiv w:val="1"/>
      <w:marLeft w:val="0"/>
      <w:marRight w:val="0"/>
      <w:marTop w:val="0"/>
      <w:marBottom w:val="0"/>
      <w:divBdr>
        <w:top w:val="none" w:sz="0" w:space="0" w:color="auto"/>
        <w:left w:val="none" w:sz="0" w:space="0" w:color="auto"/>
        <w:bottom w:val="none" w:sz="0" w:space="0" w:color="auto"/>
        <w:right w:val="none" w:sz="0" w:space="0" w:color="auto"/>
      </w:divBdr>
    </w:div>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169106507">
      <w:bodyDiv w:val="1"/>
      <w:marLeft w:val="0"/>
      <w:marRight w:val="0"/>
      <w:marTop w:val="0"/>
      <w:marBottom w:val="0"/>
      <w:divBdr>
        <w:top w:val="none" w:sz="0" w:space="0" w:color="auto"/>
        <w:left w:val="none" w:sz="0" w:space="0" w:color="auto"/>
        <w:bottom w:val="none" w:sz="0" w:space="0" w:color="auto"/>
        <w:right w:val="none" w:sz="0" w:space="0" w:color="auto"/>
      </w:divBdr>
    </w:div>
    <w:div w:id="348484309">
      <w:bodyDiv w:val="1"/>
      <w:marLeft w:val="0"/>
      <w:marRight w:val="0"/>
      <w:marTop w:val="0"/>
      <w:marBottom w:val="0"/>
      <w:divBdr>
        <w:top w:val="none" w:sz="0" w:space="0" w:color="auto"/>
        <w:left w:val="none" w:sz="0" w:space="0" w:color="auto"/>
        <w:bottom w:val="none" w:sz="0" w:space="0" w:color="auto"/>
        <w:right w:val="none" w:sz="0" w:space="0" w:color="auto"/>
      </w:divBdr>
    </w:div>
    <w:div w:id="447087046">
      <w:bodyDiv w:val="1"/>
      <w:marLeft w:val="0"/>
      <w:marRight w:val="0"/>
      <w:marTop w:val="0"/>
      <w:marBottom w:val="0"/>
      <w:divBdr>
        <w:top w:val="none" w:sz="0" w:space="0" w:color="auto"/>
        <w:left w:val="none" w:sz="0" w:space="0" w:color="auto"/>
        <w:bottom w:val="none" w:sz="0" w:space="0" w:color="auto"/>
        <w:right w:val="none" w:sz="0" w:space="0" w:color="auto"/>
      </w:divBdr>
    </w:div>
    <w:div w:id="563570978">
      <w:bodyDiv w:val="1"/>
      <w:marLeft w:val="0"/>
      <w:marRight w:val="0"/>
      <w:marTop w:val="0"/>
      <w:marBottom w:val="0"/>
      <w:divBdr>
        <w:top w:val="none" w:sz="0" w:space="0" w:color="auto"/>
        <w:left w:val="none" w:sz="0" w:space="0" w:color="auto"/>
        <w:bottom w:val="none" w:sz="0" w:space="0" w:color="auto"/>
        <w:right w:val="none" w:sz="0" w:space="0" w:color="auto"/>
      </w:divBdr>
    </w:div>
    <w:div w:id="728650986">
      <w:bodyDiv w:val="1"/>
      <w:marLeft w:val="0"/>
      <w:marRight w:val="0"/>
      <w:marTop w:val="0"/>
      <w:marBottom w:val="0"/>
      <w:divBdr>
        <w:top w:val="none" w:sz="0" w:space="0" w:color="auto"/>
        <w:left w:val="none" w:sz="0" w:space="0" w:color="auto"/>
        <w:bottom w:val="none" w:sz="0" w:space="0" w:color="auto"/>
        <w:right w:val="none" w:sz="0" w:space="0" w:color="auto"/>
      </w:divBdr>
    </w:div>
    <w:div w:id="1051149287">
      <w:bodyDiv w:val="1"/>
      <w:marLeft w:val="0"/>
      <w:marRight w:val="0"/>
      <w:marTop w:val="0"/>
      <w:marBottom w:val="0"/>
      <w:divBdr>
        <w:top w:val="none" w:sz="0" w:space="0" w:color="auto"/>
        <w:left w:val="none" w:sz="0" w:space="0" w:color="auto"/>
        <w:bottom w:val="none" w:sz="0" w:space="0" w:color="auto"/>
        <w:right w:val="none" w:sz="0" w:space="0" w:color="auto"/>
      </w:divBdr>
    </w:div>
    <w:div w:id="1273781577">
      <w:bodyDiv w:val="1"/>
      <w:marLeft w:val="0"/>
      <w:marRight w:val="0"/>
      <w:marTop w:val="0"/>
      <w:marBottom w:val="0"/>
      <w:divBdr>
        <w:top w:val="none" w:sz="0" w:space="0" w:color="auto"/>
        <w:left w:val="none" w:sz="0" w:space="0" w:color="auto"/>
        <w:bottom w:val="none" w:sz="0" w:space="0" w:color="auto"/>
        <w:right w:val="none" w:sz="0" w:space="0" w:color="auto"/>
      </w:divBdr>
    </w:div>
    <w:div w:id="1567884022">
      <w:bodyDiv w:val="1"/>
      <w:marLeft w:val="0"/>
      <w:marRight w:val="0"/>
      <w:marTop w:val="0"/>
      <w:marBottom w:val="0"/>
      <w:divBdr>
        <w:top w:val="none" w:sz="0" w:space="0" w:color="auto"/>
        <w:left w:val="none" w:sz="0" w:space="0" w:color="auto"/>
        <w:bottom w:val="none" w:sz="0" w:space="0" w:color="auto"/>
        <w:right w:val="none" w:sz="0" w:space="0" w:color="auto"/>
      </w:divBdr>
    </w:div>
    <w:div w:id="1808235619">
      <w:bodyDiv w:val="1"/>
      <w:marLeft w:val="0"/>
      <w:marRight w:val="0"/>
      <w:marTop w:val="0"/>
      <w:marBottom w:val="0"/>
      <w:divBdr>
        <w:top w:val="none" w:sz="0" w:space="0" w:color="auto"/>
        <w:left w:val="none" w:sz="0" w:space="0" w:color="auto"/>
        <w:bottom w:val="none" w:sz="0" w:space="0" w:color="auto"/>
        <w:right w:val="none" w:sz="0" w:space="0" w:color="auto"/>
      </w:divBdr>
    </w:div>
    <w:div w:id="1895461224">
      <w:bodyDiv w:val="1"/>
      <w:marLeft w:val="0"/>
      <w:marRight w:val="0"/>
      <w:marTop w:val="0"/>
      <w:marBottom w:val="0"/>
      <w:divBdr>
        <w:top w:val="none" w:sz="0" w:space="0" w:color="auto"/>
        <w:left w:val="none" w:sz="0" w:space="0" w:color="auto"/>
        <w:bottom w:val="none" w:sz="0" w:space="0" w:color="auto"/>
        <w:right w:val="none" w:sz="0" w:space="0" w:color="auto"/>
      </w:divBdr>
    </w:div>
    <w:div w:id="2028865114">
      <w:bodyDiv w:val="1"/>
      <w:marLeft w:val="0"/>
      <w:marRight w:val="0"/>
      <w:marTop w:val="0"/>
      <w:marBottom w:val="0"/>
      <w:divBdr>
        <w:top w:val="none" w:sz="0" w:space="0" w:color="auto"/>
        <w:left w:val="none" w:sz="0" w:space="0" w:color="auto"/>
        <w:bottom w:val="none" w:sz="0" w:space="0" w:color="auto"/>
        <w:right w:val="none" w:sz="0" w:space="0" w:color="auto"/>
      </w:divBdr>
    </w:div>
    <w:div w:id="2039885703">
      <w:bodyDiv w:val="1"/>
      <w:marLeft w:val="0"/>
      <w:marRight w:val="0"/>
      <w:marTop w:val="0"/>
      <w:marBottom w:val="0"/>
      <w:divBdr>
        <w:top w:val="none" w:sz="0" w:space="0" w:color="auto"/>
        <w:left w:val="none" w:sz="0" w:space="0" w:color="auto"/>
        <w:bottom w:val="none" w:sz="0" w:space="0" w:color="auto"/>
        <w:right w:val="none" w:sz="0" w:space="0" w:color="auto"/>
      </w:divBdr>
    </w:div>
    <w:div w:id="2043549018">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D8"/>
    <w:rsid w:val="004A779D"/>
    <w:rsid w:val="005F57D8"/>
    <w:rsid w:val="00D64D66"/>
    <w:rsid w:val="00E06AE0"/>
    <w:rsid w:val="00E1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460F-B253-422C-9B16-03B7B94F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18</cp:revision>
  <cp:lastPrinted>2019-09-02T11:59:00Z</cp:lastPrinted>
  <dcterms:created xsi:type="dcterms:W3CDTF">2019-08-29T14:45:00Z</dcterms:created>
  <dcterms:modified xsi:type="dcterms:W3CDTF">2019-09-06T13:14:00Z</dcterms:modified>
</cp:coreProperties>
</file>