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078C80FA"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CF1220">
        <w:rPr>
          <w:rFonts w:ascii="Arial" w:hAnsi="Arial" w:cs="Arial"/>
          <w:b/>
          <w:bCs/>
        </w:rPr>
        <w:t xml:space="preserve"> 0</w:t>
      </w:r>
      <w:r w:rsidR="00552852">
        <w:rPr>
          <w:rFonts w:ascii="Arial" w:hAnsi="Arial" w:cs="Arial"/>
          <w:b/>
          <w:bCs/>
        </w:rPr>
        <w:t>5</w:t>
      </w:r>
    </w:p>
    <w:p w14:paraId="22258ED1" w14:textId="15E4ADD6" w:rsidR="007A35A7" w:rsidRDefault="007A35A7" w:rsidP="007A35A7">
      <w:pPr>
        <w:rPr>
          <w:rFonts w:ascii="Arial" w:hAnsi="Arial" w:cs="Arial"/>
        </w:rPr>
      </w:pPr>
    </w:p>
    <w:p w14:paraId="00EDB048" w14:textId="1B59960A"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E86FBA">
            <w:rPr>
              <w:rFonts w:ascii="Arial" w:hAnsi="Arial" w:cs="Arial"/>
            </w:rPr>
            <w:t>Governing Body</w:t>
          </w:r>
        </w:sdtContent>
      </w:sdt>
    </w:p>
    <w:p w14:paraId="16DEF567" w14:textId="13D112C4"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6-17T00:00:00Z">
            <w:dateFormat w:val="dd/MM/yyyy"/>
            <w:lid w:val="en-GB"/>
            <w:storeMappedDataAs w:val="dateTime"/>
            <w:calendar w:val="gregorian"/>
          </w:date>
        </w:sdtPr>
        <w:sdtEndPr/>
        <w:sdtContent>
          <w:r w:rsidR="00CF1220">
            <w:rPr>
              <w:rFonts w:ascii="Arial" w:hAnsi="Arial" w:cs="Arial"/>
              <w:b/>
              <w:bCs/>
              <w:lang w:val="en-GB"/>
            </w:rPr>
            <w:t>17/06/2021</w:t>
          </w:r>
        </w:sdtContent>
      </w:sdt>
    </w:p>
    <w:p w14:paraId="5693DC73" w14:textId="0E74AD11"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r w:rsidR="00CF1220">
        <w:rPr>
          <w:rFonts w:ascii="Arial" w:hAnsi="Arial" w:cs="Arial"/>
          <w:b/>
          <w:bCs/>
        </w:rPr>
        <w:t>11/06/2021</w:t>
      </w:r>
    </w:p>
    <w:p w14:paraId="559C3671" w14:textId="1B5AA143"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C11688">
            <w:rPr>
              <w:rFonts w:ascii="Arial" w:hAnsi="Arial" w:cs="Arial"/>
              <w:b/>
              <w:bCs/>
            </w:rPr>
            <w:t>Annual Assurance Report</w:t>
          </w:r>
          <w:r w:rsidR="00E86FBA">
            <w:rPr>
              <w:rFonts w:ascii="Arial" w:hAnsi="Arial" w:cs="Arial"/>
              <w:b/>
              <w:bCs/>
            </w:rPr>
            <w:t xml:space="preserve"> – Quality Governance Committee</w:t>
          </w:r>
        </w:sdtContent>
      </w:sdt>
    </w:p>
    <w:p w14:paraId="69070772" w14:textId="5228F3EE"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r w:rsidR="00E86FBA">
        <w:rPr>
          <w:rFonts w:ascii="Arial" w:hAnsi="Arial" w:cs="Arial"/>
          <w:b/>
          <w:bCs/>
        </w:rPr>
        <w:t>Jan Haxby</w:t>
      </w:r>
    </w:p>
    <w:p w14:paraId="50602481" w14:textId="2DFFAE98"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C11688">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15829720"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C11688">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F9425C0"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C1168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15829720"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C11688">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F9425C0"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C1168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00CA3083" w:rsidR="003F1101" w:rsidRPr="003F1101" w:rsidRDefault="00C11688" w:rsidP="003F1101">
            <w:pPr>
              <w:pStyle w:val="Default"/>
              <w:jc w:val="both"/>
              <w:rPr>
                <w:b/>
                <w:bCs/>
                <w:sz w:val="22"/>
                <w:szCs w:val="22"/>
              </w:rPr>
            </w:pPr>
            <w:r>
              <w:rPr>
                <w:b/>
                <w:bCs/>
                <w:sz w:val="22"/>
                <w:szCs w:val="22"/>
              </w:rPr>
              <w:t xml:space="preserve">The purpose of this report is to articulate the activities of the </w:t>
            </w:r>
            <w:r w:rsidR="0080409F">
              <w:rPr>
                <w:b/>
                <w:bCs/>
                <w:sz w:val="22"/>
                <w:szCs w:val="22"/>
              </w:rPr>
              <w:t xml:space="preserve">Quality </w:t>
            </w:r>
            <w:r>
              <w:rPr>
                <w:b/>
                <w:bCs/>
                <w:sz w:val="22"/>
                <w:szCs w:val="22"/>
              </w:rPr>
              <w:t xml:space="preserve">Governance Committee in 2020/2021 to provide the Governing Body with assurance on the discharge of the Committee’s functions.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662105B6" w:rsidR="003F1101" w:rsidRPr="003F1101" w:rsidRDefault="00E86FBA" w:rsidP="003F1101">
            <w:pPr>
              <w:pStyle w:val="Default"/>
              <w:jc w:val="both"/>
              <w:rPr>
                <w:b/>
                <w:bCs/>
                <w:sz w:val="22"/>
                <w:szCs w:val="22"/>
              </w:rPr>
            </w:pPr>
            <w:r>
              <w:rPr>
                <w:b/>
                <w:bCs/>
                <w:sz w:val="22"/>
                <w:szCs w:val="22"/>
              </w:rPr>
              <w:t xml:space="preserve">This report has been agreed as a true and accurate reflection </w:t>
            </w:r>
            <w:r w:rsidR="00C11688">
              <w:rPr>
                <w:b/>
                <w:bCs/>
                <w:sz w:val="22"/>
                <w:szCs w:val="22"/>
              </w:rPr>
              <w:t xml:space="preserve">on the activities of the </w:t>
            </w:r>
            <w:r w:rsidR="0080409F">
              <w:rPr>
                <w:b/>
                <w:bCs/>
                <w:sz w:val="22"/>
                <w:szCs w:val="22"/>
              </w:rPr>
              <w:t xml:space="preserve">Quality </w:t>
            </w:r>
            <w:r w:rsidR="00C11688">
              <w:rPr>
                <w:b/>
                <w:bCs/>
                <w:sz w:val="22"/>
                <w:szCs w:val="22"/>
              </w:rPr>
              <w:t>Governance Committee</w:t>
            </w:r>
            <w:r>
              <w:rPr>
                <w:b/>
                <w:bCs/>
                <w:sz w:val="22"/>
                <w:szCs w:val="22"/>
              </w:rPr>
              <w:t xml:space="preserve"> (QGC)</w:t>
            </w:r>
            <w:r w:rsidR="00C11688">
              <w:rPr>
                <w:b/>
                <w:bCs/>
                <w:sz w:val="22"/>
                <w:szCs w:val="22"/>
              </w:rPr>
              <w:t xml:space="preserve"> in 2020/2021</w:t>
            </w:r>
            <w:r>
              <w:rPr>
                <w:b/>
                <w:bCs/>
                <w:sz w:val="22"/>
                <w:szCs w:val="22"/>
              </w:rPr>
              <w:t xml:space="preserve"> by the membership of the Committee, membership </w:t>
            </w:r>
            <w:proofErr w:type="gramStart"/>
            <w:r>
              <w:rPr>
                <w:b/>
                <w:bCs/>
                <w:sz w:val="22"/>
                <w:szCs w:val="22"/>
              </w:rPr>
              <w:t>were</w:t>
            </w:r>
            <w:proofErr w:type="gramEnd"/>
            <w:r>
              <w:rPr>
                <w:b/>
                <w:bCs/>
                <w:sz w:val="22"/>
                <w:szCs w:val="22"/>
              </w:rPr>
              <w:t xml:space="preserve"> fully supportive of the conclusions this report draws to</w:t>
            </w:r>
            <w:r w:rsidR="00C11688">
              <w:rPr>
                <w:b/>
                <w:bCs/>
                <w:sz w:val="22"/>
                <w:szCs w:val="22"/>
              </w:rPr>
              <w:t>.</w:t>
            </w:r>
            <w:r>
              <w:rPr>
                <w:b/>
                <w:bCs/>
                <w:sz w:val="22"/>
                <w:szCs w:val="22"/>
              </w:rPr>
              <w:t xml:space="preserve">  The Chair of the Quality Governance Committee kindly requests that the Governing Body confirm assurance on the activities of the QGC and the discharge of its functions during 2020/2021.  </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2027C427" w14:textId="77777777" w:rsidR="003F1101" w:rsidRDefault="00C11688" w:rsidP="00C11688">
            <w:pPr>
              <w:pStyle w:val="Default"/>
              <w:jc w:val="both"/>
              <w:rPr>
                <w:b/>
                <w:color w:val="auto"/>
                <w:sz w:val="22"/>
                <w:szCs w:val="22"/>
              </w:rPr>
            </w:pPr>
            <w:r w:rsidRPr="00C11688">
              <w:rPr>
                <w:b/>
                <w:color w:val="auto"/>
                <w:sz w:val="22"/>
                <w:szCs w:val="22"/>
              </w:rPr>
              <w:t>Deputy Director of Quality and Nursing</w:t>
            </w:r>
            <w:r w:rsidR="00E86FBA">
              <w:rPr>
                <w:b/>
                <w:color w:val="auto"/>
                <w:sz w:val="22"/>
                <w:szCs w:val="22"/>
              </w:rPr>
              <w:t xml:space="preserve"> – report author. </w:t>
            </w:r>
          </w:p>
          <w:p w14:paraId="43645EB0" w14:textId="7E8775B1" w:rsidR="00E86FBA" w:rsidRPr="00C11688" w:rsidRDefault="00E86FBA" w:rsidP="00C11688">
            <w:pPr>
              <w:pStyle w:val="Default"/>
              <w:jc w:val="both"/>
              <w:rPr>
                <w:b/>
                <w:color w:val="auto"/>
                <w:sz w:val="22"/>
                <w:szCs w:val="22"/>
              </w:rPr>
            </w:pPr>
            <w:r>
              <w:rPr>
                <w:b/>
                <w:color w:val="auto"/>
                <w:sz w:val="22"/>
                <w:szCs w:val="22"/>
              </w:rPr>
              <w:t>Clinical membership of the Quality Governance Committee.</w:t>
            </w: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67A585CE" w14:textId="1CE0F3AF" w:rsidR="003F1101" w:rsidRPr="003F1101" w:rsidRDefault="00E86FBA" w:rsidP="00C11688">
            <w:pPr>
              <w:pStyle w:val="Default"/>
              <w:jc w:val="both"/>
              <w:rPr>
                <w:b/>
                <w:bCs/>
                <w:sz w:val="22"/>
                <w:szCs w:val="22"/>
              </w:rPr>
            </w:pPr>
            <w:r>
              <w:rPr>
                <w:b/>
                <w:bCs/>
                <w:sz w:val="22"/>
                <w:szCs w:val="22"/>
              </w:rPr>
              <w:t>Lay representation on the Quality Governance Committee.</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0D9BB519" w:rsidR="003F1101" w:rsidRPr="003F1101" w:rsidRDefault="00C11688" w:rsidP="003F1101">
            <w:pPr>
              <w:pStyle w:val="Default"/>
              <w:jc w:val="both"/>
              <w:rPr>
                <w:b/>
                <w:bCs/>
                <w:sz w:val="22"/>
                <w:szCs w:val="22"/>
              </w:rPr>
            </w:pPr>
            <w:r>
              <w:rPr>
                <w:b/>
                <w:bCs/>
                <w:sz w:val="22"/>
                <w:szCs w:val="22"/>
              </w:rPr>
              <w:t xml:space="preserve">Tabled primarily at </w:t>
            </w:r>
            <w:r w:rsidR="0080409F">
              <w:rPr>
                <w:b/>
                <w:bCs/>
                <w:sz w:val="22"/>
                <w:szCs w:val="22"/>
              </w:rPr>
              <w:t xml:space="preserve">Quality </w:t>
            </w:r>
            <w:r>
              <w:rPr>
                <w:b/>
                <w:bCs/>
                <w:sz w:val="22"/>
                <w:szCs w:val="22"/>
              </w:rPr>
              <w:t xml:space="preserve">Governance Committee prior to submission to Governing Body.  </w:t>
            </w:r>
            <w:r w:rsidR="003F1101"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43066A98" w:rsidR="001712C0" w:rsidRDefault="00C11688"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6D62CDFA" w:rsidR="00DE79E3" w:rsidRPr="001712C0" w:rsidRDefault="00C11688"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32D2EC64" w:rsidR="001712C0" w:rsidRDefault="00C11688"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471C4C34" w:rsidR="00DE79E3" w:rsidRPr="001712C0" w:rsidRDefault="00C11688"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74D86997" w:rsidR="00DE79E3" w:rsidRDefault="00FC0477"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1"/>
                <w14:checkedState w14:val="2612" w14:font="MS Gothic"/>
                <w14:uncheckedState w14:val="2610" w14:font="MS Gothic"/>
              </w14:checkbox>
            </w:sdtPr>
            <w:sdtEndPr/>
            <w:sdtContent>
              <w:p w14:paraId="01E6A19D" w14:textId="17C6C845" w:rsidR="00DE79E3" w:rsidRDefault="00FC0477"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E86FBA">
        <w:trPr>
          <w:trHeight w:val="1548"/>
        </w:trPr>
        <w:tc>
          <w:tcPr>
            <w:tcW w:w="11096" w:type="dxa"/>
          </w:tcPr>
          <w:p w14:paraId="316F177F" w14:textId="54099852" w:rsidR="00985504" w:rsidRDefault="00FC0477" w:rsidP="007A35A7">
            <w:pPr>
              <w:rPr>
                <w:rFonts w:ascii="Arial" w:hAnsi="Arial" w:cs="Arial"/>
              </w:rPr>
            </w:pPr>
            <w:r>
              <w:rPr>
                <w:rFonts w:ascii="Arial" w:hAnsi="Arial" w:cs="Arial"/>
              </w:rPr>
              <w:lastRenderedPageBreak/>
              <w:t xml:space="preserve">This paper articulates how the QGC was paused during </w:t>
            </w:r>
            <w:r w:rsidR="00E86FBA">
              <w:rPr>
                <w:rFonts w:ascii="Arial" w:hAnsi="Arial" w:cs="Arial"/>
              </w:rPr>
              <w:t>business critical</w:t>
            </w:r>
            <w:r>
              <w:rPr>
                <w:rFonts w:ascii="Arial" w:hAnsi="Arial" w:cs="Arial"/>
              </w:rPr>
              <w:t xml:space="preserve"> functioning.  This was key to enable resource and capacity to be released to support safety workstreams in response to the Covid-19 pandemic.  However, as articulated in the document overleaf the move to business critical functioning </w:t>
            </w:r>
            <w:r w:rsidR="002E6BD2">
              <w:rPr>
                <w:rFonts w:ascii="Arial" w:hAnsi="Arial" w:cs="Arial"/>
              </w:rPr>
              <w:t>has meant that, although the purpose of the QGC was discharged in a different way, it is likely that the quality of our delivery and dialogue with Committee membership has been negatively impacted.</w:t>
            </w:r>
          </w:p>
        </w:tc>
      </w:tr>
    </w:tbl>
    <w:p w14:paraId="032902C3" w14:textId="5938BC96" w:rsidR="00046334" w:rsidRDefault="0080409F" w:rsidP="007A35A7">
      <w:pPr>
        <w:rPr>
          <w:rFonts w:ascii="Arial" w:hAnsi="Arial" w:cs="Arial"/>
          <w:b/>
          <w:bCs/>
        </w:rPr>
      </w:pPr>
      <w:r>
        <w:rPr>
          <w:rFonts w:ascii="Arial" w:hAnsi="Arial" w:cs="Arial"/>
          <w:b/>
          <w:bCs/>
        </w:rPr>
        <w:t>Annual Assurance Report</w:t>
      </w:r>
    </w:p>
    <w:p w14:paraId="70A7B695" w14:textId="77777777" w:rsidR="0080409F" w:rsidRDefault="0080409F" w:rsidP="007A35A7">
      <w:pPr>
        <w:rPr>
          <w:rFonts w:ascii="Arial" w:hAnsi="Arial" w:cs="Arial"/>
        </w:rPr>
      </w:pPr>
    </w:p>
    <w:p w14:paraId="76B314FD" w14:textId="77777777" w:rsidR="00046334" w:rsidRPr="0080409F" w:rsidRDefault="00046334" w:rsidP="00046334">
      <w:pPr>
        <w:pStyle w:val="ListParagraph"/>
        <w:numPr>
          <w:ilvl w:val="0"/>
          <w:numId w:val="29"/>
        </w:numPr>
        <w:rPr>
          <w:rFonts w:ascii="Arial" w:hAnsi="Arial" w:cs="Arial"/>
          <w:b/>
          <w:bCs/>
        </w:rPr>
      </w:pPr>
      <w:r w:rsidRPr="0080409F">
        <w:rPr>
          <w:rFonts w:ascii="Arial" w:hAnsi="Arial" w:cs="Arial"/>
          <w:b/>
          <w:bCs/>
        </w:rPr>
        <w:t>Purpose</w:t>
      </w:r>
    </w:p>
    <w:p w14:paraId="60C10C1E" w14:textId="1FCD6801" w:rsidR="00046334" w:rsidRPr="00046334" w:rsidRDefault="00046334" w:rsidP="00046334">
      <w:pPr>
        <w:pStyle w:val="ListParagraph"/>
        <w:ind w:left="370"/>
        <w:rPr>
          <w:rFonts w:ascii="Arial" w:hAnsi="Arial" w:cs="Arial"/>
        </w:rPr>
      </w:pPr>
      <w:r w:rsidRPr="00046334">
        <w:rPr>
          <w:rFonts w:ascii="Arial" w:hAnsi="Arial" w:cs="Arial"/>
        </w:rPr>
        <w:t xml:space="preserve">The purpose of this report is to articulate the activities of the </w:t>
      </w:r>
      <w:r w:rsidR="0080409F">
        <w:rPr>
          <w:rFonts w:ascii="Arial" w:hAnsi="Arial" w:cs="Arial"/>
        </w:rPr>
        <w:t xml:space="preserve">Quality </w:t>
      </w:r>
      <w:r w:rsidRPr="00046334">
        <w:rPr>
          <w:rFonts w:ascii="Arial" w:hAnsi="Arial" w:cs="Arial"/>
        </w:rPr>
        <w:t>Governance Committee, formerly known as the Clinical Governance Committee</w:t>
      </w:r>
      <w:r>
        <w:rPr>
          <w:rFonts w:ascii="Arial" w:hAnsi="Arial" w:cs="Arial"/>
        </w:rPr>
        <w:t>,</w:t>
      </w:r>
      <w:r w:rsidRPr="00046334">
        <w:rPr>
          <w:rFonts w:ascii="Arial" w:hAnsi="Arial" w:cs="Arial"/>
        </w:rPr>
        <w:t xml:space="preserve"> from the 1</w:t>
      </w:r>
      <w:r w:rsidRPr="00046334">
        <w:rPr>
          <w:rFonts w:ascii="Arial" w:hAnsi="Arial" w:cs="Arial"/>
          <w:vertAlign w:val="superscript"/>
        </w:rPr>
        <w:t>st</w:t>
      </w:r>
      <w:r w:rsidRPr="00046334">
        <w:rPr>
          <w:rFonts w:ascii="Arial" w:hAnsi="Arial" w:cs="Arial"/>
        </w:rPr>
        <w:t xml:space="preserve"> of April 2020 to the 31</w:t>
      </w:r>
      <w:r w:rsidRPr="00046334">
        <w:rPr>
          <w:rFonts w:ascii="Arial" w:hAnsi="Arial" w:cs="Arial"/>
          <w:vertAlign w:val="superscript"/>
        </w:rPr>
        <w:t>st</w:t>
      </w:r>
      <w:r w:rsidRPr="00046334">
        <w:rPr>
          <w:rFonts w:ascii="Arial" w:hAnsi="Arial" w:cs="Arial"/>
        </w:rPr>
        <w:t xml:space="preserve"> of March 2021.  </w:t>
      </w:r>
    </w:p>
    <w:p w14:paraId="40269C1E" w14:textId="5E15E462" w:rsidR="00046334" w:rsidRDefault="00046334" w:rsidP="00046334">
      <w:pPr>
        <w:rPr>
          <w:rFonts w:ascii="Arial" w:hAnsi="Arial" w:cs="Arial"/>
        </w:rPr>
      </w:pPr>
    </w:p>
    <w:p w14:paraId="6003FC59" w14:textId="0950F09E" w:rsidR="00046334" w:rsidRPr="0080409F" w:rsidRDefault="00046334" w:rsidP="00046334">
      <w:pPr>
        <w:pStyle w:val="ListParagraph"/>
        <w:numPr>
          <w:ilvl w:val="0"/>
          <w:numId w:val="29"/>
        </w:numPr>
        <w:rPr>
          <w:rFonts w:ascii="Arial" w:hAnsi="Arial" w:cs="Arial"/>
          <w:b/>
          <w:bCs/>
        </w:rPr>
      </w:pPr>
      <w:r w:rsidRPr="0080409F">
        <w:rPr>
          <w:rFonts w:ascii="Arial" w:hAnsi="Arial" w:cs="Arial"/>
          <w:b/>
          <w:bCs/>
        </w:rPr>
        <w:t>Background</w:t>
      </w:r>
    </w:p>
    <w:p w14:paraId="08AE2589" w14:textId="012BA449" w:rsidR="00046334" w:rsidRDefault="00046334" w:rsidP="00046334">
      <w:pPr>
        <w:pStyle w:val="ListParagraph"/>
        <w:ind w:left="370"/>
        <w:rPr>
          <w:rFonts w:ascii="Arial" w:hAnsi="Arial" w:cs="Arial"/>
        </w:rPr>
      </w:pPr>
      <w:r w:rsidRPr="00046334">
        <w:rPr>
          <w:rFonts w:ascii="Arial" w:hAnsi="Arial" w:cs="Arial"/>
        </w:rPr>
        <w:t>Membership of the Clinical Governance Committee formally agreed the name change to Good Governance Committee on the 12</w:t>
      </w:r>
      <w:r w:rsidRPr="00046334">
        <w:rPr>
          <w:rFonts w:ascii="Arial" w:hAnsi="Arial" w:cs="Arial"/>
          <w:vertAlign w:val="superscript"/>
        </w:rPr>
        <w:t>th</w:t>
      </w:r>
      <w:r w:rsidRPr="00046334">
        <w:rPr>
          <w:rFonts w:ascii="Arial" w:hAnsi="Arial" w:cs="Arial"/>
        </w:rPr>
        <w:t xml:space="preserve"> of November 2020.  Membership agreed to the name change as it was felt the name better reflected the clinical and non-clinical content of the Committee.</w:t>
      </w:r>
    </w:p>
    <w:p w14:paraId="024A318E" w14:textId="735BCE6E" w:rsidR="00046334" w:rsidRDefault="00046334" w:rsidP="00046334">
      <w:pPr>
        <w:pStyle w:val="ListParagraph"/>
        <w:ind w:left="370"/>
        <w:rPr>
          <w:rFonts w:ascii="Arial" w:hAnsi="Arial" w:cs="Arial"/>
        </w:rPr>
      </w:pPr>
    </w:p>
    <w:p w14:paraId="240B3FFE" w14:textId="5AC56A66" w:rsidR="00046334" w:rsidRDefault="00046334" w:rsidP="00046334">
      <w:pPr>
        <w:pStyle w:val="ListParagraph"/>
        <w:ind w:left="370"/>
        <w:rPr>
          <w:rFonts w:ascii="Arial" w:hAnsi="Arial" w:cs="Arial"/>
        </w:rPr>
      </w:pPr>
      <w:r>
        <w:rPr>
          <w:rFonts w:ascii="Arial" w:hAnsi="Arial" w:cs="Arial"/>
        </w:rPr>
        <w:t xml:space="preserve">Whilst the name of the Committee changed within year the purpose of the Committee did not change.  </w:t>
      </w:r>
    </w:p>
    <w:p w14:paraId="628FA531" w14:textId="3BC13659" w:rsidR="0080409F" w:rsidRDefault="0080409F" w:rsidP="00046334">
      <w:pPr>
        <w:pStyle w:val="ListParagraph"/>
        <w:ind w:left="370"/>
        <w:rPr>
          <w:rFonts w:ascii="Arial" w:hAnsi="Arial" w:cs="Arial"/>
        </w:rPr>
      </w:pPr>
    </w:p>
    <w:p w14:paraId="100313D2" w14:textId="77777777" w:rsidR="0080409F" w:rsidRPr="0080409F" w:rsidRDefault="0080409F" w:rsidP="0080409F">
      <w:pPr>
        <w:pStyle w:val="ListParagraph"/>
        <w:ind w:left="370"/>
        <w:rPr>
          <w:rFonts w:ascii="Arial" w:hAnsi="Arial" w:cs="Arial"/>
        </w:rPr>
      </w:pPr>
      <w:r w:rsidRPr="0080409F">
        <w:rPr>
          <w:rFonts w:ascii="Arial" w:hAnsi="Arial" w:cs="Arial"/>
        </w:rPr>
        <w:t>The Quality Governance Committee (QGC) is a committee of the CCG Governing Body that exists to:</w:t>
      </w:r>
    </w:p>
    <w:p w14:paraId="611C2A71" w14:textId="77777777" w:rsidR="0080409F" w:rsidRPr="0080409F" w:rsidRDefault="0080409F" w:rsidP="0080409F">
      <w:pPr>
        <w:pStyle w:val="ListParagraph"/>
        <w:ind w:left="370"/>
        <w:rPr>
          <w:rFonts w:ascii="Arial" w:hAnsi="Arial" w:cs="Arial"/>
        </w:rPr>
      </w:pPr>
    </w:p>
    <w:p w14:paraId="10951203" w14:textId="77777777" w:rsidR="0080409F" w:rsidRPr="0080409F" w:rsidRDefault="0080409F" w:rsidP="0080409F">
      <w:pPr>
        <w:pStyle w:val="ListParagraph"/>
        <w:numPr>
          <w:ilvl w:val="0"/>
          <w:numId w:val="30"/>
        </w:numPr>
        <w:rPr>
          <w:rFonts w:ascii="Arial" w:hAnsi="Arial" w:cs="Arial"/>
        </w:rPr>
      </w:pPr>
      <w:r w:rsidRPr="0080409F">
        <w:rPr>
          <w:rFonts w:ascii="Arial" w:hAnsi="Arial" w:cs="Arial"/>
        </w:rPr>
        <w:t>Oversee the Quality Governance arrangements within the CCG for arrangements around the commissioning of health and social care (see appendix one for an overview of the Triangle of Quality governance that the QGC has adopted as an operational definition of quality governance).</w:t>
      </w:r>
    </w:p>
    <w:p w14:paraId="41E0B237" w14:textId="77777777" w:rsidR="0080409F" w:rsidRPr="0080409F" w:rsidRDefault="0080409F" w:rsidP="0080409F">
      <w:pPr>
        <w:pStyle w:val="ListParagraph"/>
        <w:ind w:left="370"/>
        <w:rPr>
          <w:rFonts w:ascii="Arial" w:hAnsi="Arial" w:cs="Arial"/>
        </w:rPr>
      </w:pPr>
    </w:p>
    <w:p w14:paraId="6421B980" w14:textId="77777777" w:rsidR="0080409F" w:rsidRPr="0080409F" w:rsidRDefault="0080409F" w:rsidP="0080409F">
      <w:pPr>
        <w:pStyle w:val="ListParagraph"/>
        <w:numPr>
          <w:ilvl w:val="0"/>
          <w:numId w:val="30"/>
        </w:numPr>
        <w:rPr>
          <w:rFonts w:ascii="Arial" w:hAnsi="Arial" w:cs="Arial"/>
        </w:rPr>
      </w:pPr>
      <w:r w:rsidRPr="0080409F">
        <w:rPr>
          <w:rFonts w:ascii="Arial" w:hAnsi="Arial" w:cs="Arial"/>
        </w:rPr>
        <w:t>Have oversight of the safety, effectiveness and experience of the services commissioned by the CCG.</w:t>
      </w:r>
    </w:p>
    <w:p w14:paraId="7CD65550" w14:textId="77777777" w:rsidR="0080409F" w:rsidRPr="0080409F" w:rsidRDefault="0080409F" w:rsidP="0080409F">
      <w:pPr>
        <w:pStyle w:val="ListParagraph"/>
        <w:ind w:left="370"/>
        <w:rPr>
          <w:rFonts w:ascii="Arial" w:hAnsi="Arial" w:cs="Arial"/>
        </w:rPr>
      </w:pPr>
    </w:p>
    <w:p w14:paraId="4593DAE5" w14:textId="77777777" w:rsidR="0080409F" w:rsidRPr="0080409F" w:rsidRDefault="0080409F" w:rsidP="0080409F">
      <w:pPr>
        <w:pStyle w:val="ListParagraph"/>
        <w:numPr>
          <w:ilvl w:val="0"/>
          <w:numId w:val="30"/>
        </w:numPr>
        <w:rPr>
          <w:rFonts w:ascii="Arial" w:hAnsi="Arial" w:cs="Arial"/>
        </w:rPr>
      </w:pPr>
      <w:r w:rsidRPr="0080409F">
        <w:rPr>
          <w:rFonts w:ascii="Arial" w:hAnsi="Arial" w:cs="Arial"/>
        </w:rPr>
        <w:t>Provide a position statement to the CCG Governing Body on contracted services contemporaneous quality governance arrangements and quality indicators.</w:t>
      </w:r>
    </w:p>
    <w:p w14:paraId="54414E58" w14:textId="77777777" w:rsidR="0080409F" w:rsidRPr="0080409F" w:rsidRDefault="0080409F" w:rsidP="0080409F">
      <w:pPr>
        <w:pStyle w:val="ListParagraph"/>
        <w:ind w:left="370"/>
        <w:rPr>
          <w:rFonts w:ascii="Arial" w:hAnsi="Arial" w:cs="Arial"/>
        </w:rPr>
      </w:pPr>
    </w:p>
    <w:p w14:paraId="686766EC" w14:textId="77777777" w:rsidR="0080409F" w:rsidRPr="0080409F" w:rsidRDefault="0080409F" w:rsidP="0080409F">
      <w:pPr>
        <w:pStyle w:val="ListParagraph"/>
        <w:numPr>
          <w:ilvl w:val="0"/>
          <w:numId w:val="30"/>
        </w:numPr>
        <w:rPr>
          <w:rFonts w:ascii="Arial" w:hAnsi="Arial" w:cs="Arial"/>
        </w:rPr>
      </w:pPr>
      <w:r w:rsidRPr="0080409F">
        <w:rPr>
          <w:rFonts w:ascii="Arial" w:hAnsi="Arial" w:cs="Arial"/>
        </w:rPr>
        <w:t xml:space="preserve">Ensure a positive safety culture is embedded in the NHS and Social Care system we commission. </w:t>
      </w:r>
    </w:p>
    <w:p w14:paraId="61E46D95" w14:textId="77777777" w:rsidR="0080409F" w:rsidRPr="0080409F" w:rsidRDefault="0080409F" w:rsidP="0080409F">
      <w:pPr>
        <w:pStyle w:val="ListParagraph"/>
        <w:ind w:left="370"/>
        <w:rPr>
          <w:rFonts w:ascii="Arial" w:hAnsi="Arial" w:cs="Arial"/>
        </w:rPr>
      </w:pPr>
    </w:p>
    <w:p w14:paraId="134CE504" w14:textId="77777777" w:rsidR="0080409F" w:rsidRPr="0080409F" w:rsidRDefault="0080409F" w:rsidP="0080409F">
      <w:pPr>
        <w:pStyle w:val="ListParagraph"/>
        <w:numPr>
          <w:ilvl w:val="0"/>
          <w:numId w:val="30"/>
        </w:numPr>
        <w:rPr>
          <w:rFonts w:ascii="Arial" w:hAnsi="Arial" w:cs="Arial"/>
        </w:rPr>
      </w:pPr>
      <w:r w:rsidRPr="0080409F">
        <w:rPr>
          <w:rFonts w:ascii="Arial" w:hAnsi="Arial" w:cs="Arial"/>
        </w:rPr>
        <w:t>Review quality benchmarking information and approve position statements on the analysis of this and the recommendations made to address variance.</w:t>
      </w:r>
    </w:p>
    <w:p w14:paraId="428F4370" w14:textId="77777777" w:rsidR="0080409F" w:rsidRPr="0080409F" w:rsidRDefault="0080409F" w:rsidP="0080409F">
      <w:pPr>
        <w:rPr>
          <w:rFonts w:ascii="Arial" w:hAnsi="Arial" w:cs="Arial"/>
        </w:rPr>
      </w:pPr>
    </w:p>
    <w:p w14:paraId="7042B944" w14:textId="77777777" w:rsidR="00046334" w:rsidRPr="00046334" w:rsidRDefault="00046334" w:rsidP="00046334">
      <w:pPr>
        <w:pStyle w:val="ListParagraph"/>
        <w:rPr>
          <w:rFonts w:ascii="Arial" w:hAnsi="Arial" w:cs="Arial"/>
        </w:rPr>
      </w:pPr>
    </w:p>
    <w:p w14:paraId="08E76982" w14:textId="3AE88A14" w:rsidR="00046334" w:rsidRDefault="0080409F" w:rsidP="00046334">
      <w:pPr>
        <w:pStyle w:val="ListParagraph"/>
        <w:numPr>
          <w:ilvl w:val="0"/>
          <w:numId w:val="29"/>
        </w:numPr>
        <w:rPr>
          <w:rFonts w:ascii="Arial" w:hAnsi="Arial" w:cs="Arial"/>
          <w:b/>
          <w:bCs/>
        </w:rPr>
      </w:pPr>
      <w:r w:rsidRPr="0080409F">
        <w:rPr>
          <w:rFonts w:ascii="Arial" w:hAnsi="Arial" w:cs="Arial"/>
          <w:b/>
          <w:bCs/>
        </w:rPr>
        <w:t>Activities of the QGC within the 2020/2021 financial year</w:t>
      </w:r>
    </w:p>
    <w:p w14:paraId="204D9CC0" w14:textId="35BF6603" w:rsidR="0080409F" w:rsidRDefault="0080409F" w:rsidP="0080409F">
      <w:pPr>
        <w:pStyle w:val="ListParagraph"/>
        <w:ind w:left="370"/>
        <w:rPr>
          <w:rFonts w:ascii="Arial" w:hAnsi="Arial" w:cs="Arial"/>
        </w:rPr>
      </w:pPr>
      <w:r>
        <w:rPr>
          <w:rFonts w:ascii="Arial" w:hAnsi="Arial" w:cs="Arial"/>
        </w:rPr>
        <w:t xml:space="preserve">Within the 2020/2021 financial year the CCG moved to operate in </w:t>
      </w:r>
      <w:proofErr w:type="gramStart"/>
      <w:r w:rsidR="00A80A98">
        <w:rPr>
          <w:rFonts w:ascii="Arial" w:hAnsi="Arial" w:cs="Arial"/>
        </w:rPr>
        <w:t>business critical</w:t>
      </w:r>
      <w:proofErr w:type="gramEnd"/>
      <w:r>
        <w:rPr>
          <w:rFonts w:ascii="Arial" w:hAnsi="Arial" w:cs="Arial"/>
        </w:rPr>
        <w:t xml:space="preserve"> arrangements in light of the impact on resource and capacity to deliver CCG functions whilst simultaneously responding to the Covid-19 pandemic.  </w:t>
      </w:r>
    </w:p>
    <w:p w14:paraId="21DCC6A6" w14:textId="2DBD9AF5" w:rsidR="0080409F" w:rsidRDefault="0080409F" w:rsidP="0080409F">
      <w:pPr>
        <w:pStyle w:val="ListParagraph"/>
        <w:ind w:left="370"/>
        <w:rPr>
          <w:rFonts w:ascii="Arial" w:hAnsi="Arial" w:cs="Arial"/>
        </w:rPr>
      </w:pPr>
    </w:p>
    <w:p w14:paraId="5DEE7BE0" w14:textId="11DFB405" w:rsidR="0080409F" w:rsidRDefault="0080409F" w:rsidP="0080409F">
      <w:pPr>
        <w:pStyle w:val="ListParagraph"/>
        <w:ind w:left="370"/>
        <w:rPr>
          <w:rFonts w:ascii="Arial" w:hAnsi="Arial" w:cs="Arial"/>
        </w:rPr>
      </w:pPr>
      <w:r>
        <w:rPr>
          <w:rFonts w:ascii="Arial" w:hAnsi="Arial" w:cs="Arial"/>
        </w:rPr>
        <w:t>The purpose of the QGC, as articulated in section 2.0 from a-e, were reviewed by the Senior Leaders within the Quality Team</w:t>
      </w:r>
      <w:r w:rsidR="00614719">
        <w:rPr>
          <w:rFonts w:ascii="Arial" w:hAnsi="Arial" w:cs="Arial"/>
        </w:rPr>
        <w:t xml:space="preserve"> and Chair of the QGC to ensure the arrangements we put in place to maintain business continuity ensured the discharge of purpose of the QGC whilst the committee</w:t>
      </w:r>
      <w:r w:rsidR="002F1C66">
        <w:rPr>
          <w:rFonts w:ascii="Arial" w:hAnsi="Arial" w:cs="Arial"/>
        </w:rPr>
        <w:t xml:space="preserve"> and a sub-group of the committee (Experience Review Group)</w:t>
      </w:r>
      <w:r w:rsidR="00614719">
        <w:rPr>
          <w:rFonts w:ascii="Arial" w:hAnsi="Arial" w:cs="Arial"/>
        </w:rPr>
        <w:t xml:space="preserve"> was stood down.  The attached paper articulates the arrangements we put in place to ensure the purpose of the QGC was proportionately and appropriately discharged during </w:t>
      </w:r>
      <w:proofErr w:type="gramStart"/>
      <w:r w:rsidR="00614719">
        <w:rPr>
          <w:rFonts w:ascii="Arial" w:hAnsi="Arial" w:cs="Arial"/>
        </w:rPr>
        <w:t>business critical</w:t>
      </w:r>
      <w:proofErr w:type="gramEnd"/>
      <w:r w:rsidR="00614719">
        <w:rPr>
          <w:rFonts w:ascii="Arial" w:hAnsi="Arial" w:cs="Arial"/>
        </w:rPr>
        <w:t xml:space="preserve"> functioning.</w:t>
      </w:r>
    </w:p>
    <w:p w14:paraId="5EC334A8" w14:textId="01C80CD1" w:rsidR="00614719" w:rsidRDefault="00614719" w:rsidP="0080409F">
      <w:pPr>
        <w:pStyle w:val="ListParagraph"/>
        <w:ind w:left="370"/>
        <w:rPr>
          <w:rFonts w:ascii="Arial" w:hAnsi="Arial" w:cs="Arial"/>
        </w:rPr>
      </w:pPr>
    </w:p>
    <w:bookmarkStart w:id="0" w:name="_MON_1682227509"/>
    <w:bookmarkEnd w:id="0"/>
    <w:p w14:paraId="72A06F8F" w14:textId="5DFB369B" w:rsidR="00614719" w:rsidRDefault="001370A6" w:rsidP="0080409F">
      <w:pPr>
        <w:pStyle w:val="ListParagraph"/>
        <w:ind w:left="370"/>
        <w:rPr>
          <w:rFonts w:ascii="Arial" w:hAnsi="Arial" w:cs="Arial"/>
        </w:rPr>
      </w:pPr>
      <w:r>
        <w:rPr>
          <w:rFonts w:ascii="Arial" w:hAnsi="Arial" w:cs="Arial"/>
        </w:rPr>
        <w:object w:dxaOrig="1534" w:dyaOrig="997" w14:anchorId="096AC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84909379" r:id="rId11">
            <o:FieldCodes>\s</o:FieldCodes>
          </o:OLEObject>
        </w:object>
      </w:r>
    </w:p>
    <w:p w14:paraId="3D4B1CA8" w14:textId="0597247D" w:rsidR="00614719" w:rsidRDefault="00614719" w:rsidP="0080409F">
      <w:pPr>
        <w:pStyle w:val="ListParagraph"/>
        <w:ind w:left="370"/>
        <w:rPr>
          <w:rFonts w:ascii="Arial" w:hAnsi="Arial" w:cs="Arial"/>
        </w:rPr>
      </w:pPr>
    </w:p>
    <w:p w14:paraId="125F7F84" w14:textId="0B401B89" w:rsidR="00614719" w:rsidRDefault="00614719" w:rsidP="0080409F">
      <w:pPr>
        <w:pStyle w:val="ListParagraph"/>
        <w:ind w:left="370"/>
        <w:rPr>
          <w:rFonts w:ascii="Arial" w:hAnsi="Arial" w:cs="Arial"/>
        </w:rPr>
      </w:pPr>
      <w:r>
        <w:rPr>
          <w:rFonts w:ascii="Arial" w:hAnsi="Arial" w:cs="Arial"/>
        </w:rPr>
        <w:t xml:space="preserve">During this </w:t>
      </w:r>
      <w:r w:rsidR="002F1C66">
        <w:rPr>
          <w:rFonts w:ascii="Arial" w:hAnsi="Arial" w:cs="Arial"/>
        </w:rPr>
        <w:t xml:space="preserve">financial year </w:t>
      </w:r>
      <w:r>
        <w:rPr>
          <w:rFonts w:ascii="Arial" w:hAnsi="Arial" w:cs="Arial"/>
        </w:rPr>
        <w:t xml:space="preserve">the QGC has met twice, during </w:t>
      </w:r>
      <w:r w:rsidR="00A80A98">
        <w:rPr>
          <w:rFonts w:ascii="Arial" w:hAnsi="Arial" w:cs="Arial"/>
        </w:rPr>
        <w:t>both meetings membership received</w:t>
      </w:r>
      <w:r w:rsidR="005C7E5E">
        <w:rPr>
          <w:rFonts w:ascii="Arial" w:hAnsi="Arial" w:cs="Arial"/>
        </w:rPr>
        <w:t xml:space="preserve"> a brief on the present circumstances,</w:t>
      </w:r>
      <w:r w:rsidR="00A80A98">
        <w:rPr>
          <w:rFonts w:ascii="Arial" w:hAnsi="Arial" w:cs="Arial"/>
        </w:rPr>
        <w:t xml:space="preserve"> the</w:t>
      </w:r>
      <w:r w:rsidR="005C7E5E">
        <w:rPr>
          <w:rFonts w:ascii="Arial" w:hAnsi="Arial" w:cs="Arial"/>
        </w:rPr>
        <w:t xml:space="preserve"> situation</w:t>
      </w:r>
      <w:r w:rsidR="00A80A98">
        <w:rPr>
          <w:rFonts w:ascii="Arial" w:hAnsi="Arial" w:cs="Arial"/>
        </w:rPr>
        <w:t xml:space="preserve"> </w:t>
      </w:r>
      <w:r w:rsidR="005C7E5E">
        <w:rPr>
          <w:rFonts w:ascii="Arial" w:hAnsi="Arial" w:cs="Arial"/>
        </w:rPr>
        <w:t xml:space="preserve">report written by the Chair of the Subgroups, associated items for discussion/assurance and the annual reports for safeguarding and complaints.  </w:t>
      </w:r>
    </w:p>
    <w:p w14:paraId="356D0AD8" w14:textId="77777777" w:rsidR="005C7E5E" w:rsidRDefault="005C7E5E" w:rsidP="0080409F">
      <w:pPr>
        <w:pStyle w:val="ListParagraph"/>
        <w:ind w:left="370"/>
        <w:rPr>
          <w:rFonts w:ascii="Arial" w:hAnsi="Arial" w:cs="Arial"/>
        </w:rPr>
      </w:pPr>
    </w:p>
    <w:p w14:paraId="018F28E8" w14:textId="2809ADED" w:rsidR="00A80A98" w:rsidRDefault="00A80A98" w:rsidP="0080409F">
      <w:pPr>
        <w:pStyle w:val="ListParagraph"/>
        <w:ind w:left="370"/>
        <w:rPr>
          <w:rFonts w:ascii="Arial" w:hAnsi="Arial" w:cs="Arial"/>
        </w:rPr>
      </w:pPr>
    </w:p>
    <w:p w14:paraId="3CD8744C" w14:textId="3345E386" w:rsidR="005C7E5E" w:rsidRPr="005C7E5E" w:rsidRDefault="005C7E5E" w:rsidP="005C7E5E">
      <w:pPr>
        <w:pStyle w:val="ListParagraph"/>
        <w:numPr>
          <w:ilvl w:val="0"/>
          <w:numId w:val="29"/>
        </w:numPr>
        <w:rPr>
          <w:rFonts w:ascii="Arial" w:hAnsi="Arial" w:cs="Arial"/>
          <w:b/>
          <w:bCs/>
        </w:rPr>
      </w:pPr>
      <w:r w:rsidRPr="005C7E5E">
        <w:rPr>
          <w:rFonts w:ascii="Arial" w:hAnsi="Arial" w:cs="Arial"/>
          <w:b/>
          <w:bCs/>
        </w:rPr>
        <w:t>Conclusion</w:t>
      </w:r>
    </w:p>
    <w:p w14:paraId="1B366A77" w14:textId="2893135C" w:rsidR="005C7E5E" w:rsidRDefault="005C7E5E" w:rsidP="005C7E5E">
      <w:pPr>
        <w:pStyle w:val="ListParagraph"/>
        <w:ind w:left="370"/>
        <w:rPr>
          <w:rFonts w:ascii="Arial" w:hAnsi="Arial" w:cs="Arial"/>
        </w:rPr>
      </w:pPr>
      <w:r>
        <w:rPr>
          <w:rFonts w:ascii="Arial" w:hAnsi="Arial" w:cs="Arial"/>
        </w:rPr>
        <w:t xml:space="preserve">The purpose of the QGC were addressed through proportionate and appropriate mechanisms during </w:t>
      </w:r>
      <w:proofErr w:type="gramStart"/>
      <w:r>
        <w:rPr>
          <w:rFonts w:ascii="Arial" w:hAnsi="Arial" w:cs="Arial"/>
        </w:rPr>
        <w:t>business critical</w:t>
      </w:r>
      <w:proofErr w:type="gramEnd"/>
      <w:r>
        <w:rPr>
          <w:rFonts w:ascii="Arial" w:hAnsi="Arial" w:cs="Arial"/>
        </w:rPr>
        <w:t xml:space="preserve"> functioning.  The QGC is due to meet and re-establish itself and </w:t>
      </w:r>
      <w:proofErr w:type="gramStart"/>
      <w:r>
        <w:rPr>
          <w:rFonts w:ascii="Arial" w:hAnsi="Arial" w:cs="Arial"/>
        </w:rPr>
        <w:t>its</w:t>
      </w:r>
      <w:proofErr w:type="gramEnd"/>
      <w:r>
        <w:rPr>
          <w:rFonts w:ascii="Arial" w:hAnsi="Arial" w:cs="Arial"/>
        </w:rPr>
        <w:t xml:space="preserve"> purpose in May 2021.  </w:t>
      </w:r>
      <w:r w:rsidR="00640090">
        <w:rPr>
          <w:rFonts w:ascii="Arial" w:hAnsi="Arial" w:cs="Arial"/>
        </w:rPr>
        <w:t>Changes articulated in the white paper concerning the development of the Integrated Care System will impact the CCG as an organization and its associated governance structures.  The Nursing and Quality directorate are working with partners across the Humber Coast and Vale to contribute to the shaping of future governance structures and functions around quality governance.</w:t>
      </w:r>
    </w:p>
    <w:p w14:paraId="37C5EAB9" w14:textId="3ECA908D" w:rsidR="005C7E5E" w:rsidRDefault="005C7E5E" w:rsidP="005C7E5E">
      <w:pPr>
        <w:pStyle w:val="ListParagraph"/>
        <w:ind w:left="370"/>
        <w:rPr>
          <w:rFonts w:ascii="Arial" w:hAnsi="Arial" w:cs="Arial"/>
        </w:rPr>
      </w:pPr>
    </w:p>
    <w:p w14:paraId="7C1846CA" w14:textId="77777777" w:rsidR="005C7E5E" w:rsidRPr="005C7E5E" w:rsidRDefault="005C7E5E" w:rsidP="005C7E5E">
      <w:pPr>
        <w:pStyle w:val="ListParagraph"/>
        <w:ind w:left="370"/>
        <w:rPr>
          <w:rFonts w:ascii="Arial" w:hAnsi="Arial" w:cs="Arial"/>
        </w:rPr>
      </w:pPr>
    </w:p>
    <w:p w14:paraId="016230C3" w14:textId="2EF56469" w:rsidR="00614719" w:rsidRDefault="00614719" w:rsidP="0080409F">
      <w:pPr>
        <w:pStyle w:val="ListParagraph"/>
        <w:ind w:left="370"/>
        <w:rPr>
          <w:rFonts w:ascii="Arial" w:hAnsi="Arial" w:cs="Arial"/>
        </w:rPr>
      </w:pPr>
    </w:p>
    <w:p w14:paraId="1719D322" w14:textId="7354456C" w:rsidR="00614719" w:rsidRPr="00046334" w:rsidRDefault="005C7E5E" w:rsidP="005C7E5E">
      <w:pPr>
        <w:pStyle w:val="ListParagraph"/>
        <w:ind w:left="370"/>
        <w:jc w:val="center"/>
        <w:rPr>
          <w:rFonts w:ascii="Arial" w:hAnsi="Arial" w:cs="Arial"/>
        </w:rPr>
      </w:pPr>
      <w:r>
        <w:rPr>
          <w:rFonts w:ascii="Arial" w:hAnsi="Arial" w:cs="Arial"/>
        </w:rPr>
        <w:t>End of Document</w:t>
      </w:r>
    </w:p>
    <w:sectPr w:rsidR="00614719" w:rsidRPr="00046334"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FA30" w14:textId="77777777" w:rsidR="00DE4E06" w:rsidRDefault="00DE4E06" w:rsidP="007A35A7">
      <w:r>
        <w:separator/>
      </w:r>
    </w:p>
  </w:endnote>
  <w:endnote w:type="continuationSeparator" w:id="0">
    <w:p w14:paraId="1093CDFD" w14:textId="77777777" w:rsidR="00DE4E06" w:rsidRDefault="00DE4E06"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9208" w14:textId="77777777" w:rsidR="00DE4E06" w:rsidRDefault="00DE4E06" w:rsidP="007A35A7">
      <w:r>
        <w:separator/>
      </w:r>
    </w:p>
  </w:footnote>
  <w:footnote w:type="continuationSeparator" w:id="0">
    <w:p w14:paraId="330C2FAB" w14:textId="77777777" w:rsidR="00DE4E06" w:rsidRDefault="00DE4E06"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A61515"/>
    <w:multiLevelType w:val="hybridMultilevel"/>
    <w:tmpl w:val="D508319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DB78E1"/>
    <w:multiLevelType w:val="multilevel"/>
    <w:tmpl w:val="5E7C1AFC"/>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1"/>
  </w:num>
  <w:num w:numId="22">
    <w:abstractNumId w:val="11"/>
  </w:num>
  <w:num w:numId="23">
    <w:abstractNumId w:val="29"/>
  </w:num>
  <w:num w:numId="24">
    <w:abstractNumId w:val="16"/>
  </w:num>
  <w:num w:numId="25">
    <w:abstractNumId w:val="19"/>
  </w:num>
  <w:num w:numId="26">
    <w:abstractNumId w:val="15"/>
  </w:num>
  <w:num w:numId="27">
    <w:abstractNumId w:val="26"/>
  </w:num>
  <w:num w:numId="28">
    <w:abstractNumId w:val="28"/>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46334"/>
    <w:rsid w:val="000575C2"/>
    <w:rsid w:val="000A6EBC"/>
    <w:rsid w:val="001370A6"/>
    <w:rsid w:val="001712C0"/>
    <w:rsid w:val="00205F01"/>
    <w:rsid w:val="002B7673"/>
    <w:rsid w:val="002E6BD2"/>
    <w:rsid w:val="002F1C66"/>
    <w:rsid w:val="00301E85"/>
    <w:rsid w:val="00390FEA"/>
    <w:rsid w:val="003F1101"/>
    <w:rsid w:val="00465B88"/>
    <w:rsid w:val="00481002"/>
    <w:rsid w:val="00485586"/>
    <w:rsid w:val="005051F9"/>
    <w:rsid w:val="00552852"/>
    <w:rsid w:val="005C7E5E"/>
    <w:rsid w:val="00614719"/>
    <w:rsid w:val="00614C77"/>
    <w:rsid w:val="00622500"/>
    <w:rsid w:val="00640090"/>
    <w:rsid w:val="00645252"/>
    <w:rsid w:val="006D3D74"/>
    <w:rsid w:val="007139D0"/>
    <w:rsid w:val="00761230"/>
    <w:rsid w:val="0077046E"/>
    <w:rsid w:val="007A35A7"/>
    <w:rsid w:val="007C6D38"/>
    <w:rsid w:val="0080409F"/>
    <w:rsid w:val="008167A7"/>
    <w:rsid w:val="0083569A"/>
    <w:rsid w:val="00953F75"/>
    <w:rsid w:val="00974381"/>
    <w:rsid w:val="00985504"/>
    <w:rsid w:val="00987905"/>
    <w:rsid w:val="009A4E82"/>
    <w:rsid w:val="009D2B9B"/>
    <w:rsid w:val="00A80A98"/>
    <w:rsid w:val="00A9204E"/>
    <w:rsid w:val="00B86B77"/>
    <w:rsid w:val="00BD3CB7"/>
    <w:rsid w:val="00C11688"/>
    <w:rsid w:val="00C51F00"/>
    <w:rsid w:val="00C73FD3"/>
    <w:rsid w:val="00CF1220"/>
    <w:rsid w:val="00D431DE"/>
    <w:rsid w:val="00D448E3"/>
    <w:rsid w:val="00DB7724"/>
    <w:rsid w:val="00DE4E06"/>
    <w:rsid w:val="00DE79E3"/>
    <w:rsid w:val="00E22203"/>
    <w:rsid w:val="00E511D7"/>
    <w:rsid w:val="00E86FBA"/>
    <w:rsid w:val="00EA53C2"/>
    <w:rsid w:val="00F47E31"/>
    <w:rsid w:val="00FB3009"/>
    <w:rsid w:val="00FC0477"/>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7F7B10"/>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2</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Helen Askham (CCG)</cp:lastModifiedBy>
  <cp:revision>3</cp:revision>
  <dcterms:created xsi:type="dcterms:W3CDTF">2021-06-08T09:18:00Z</dcterms:created>
  <dcterms:modified xsi:type="dcterms:W3CDTF">2021-06-11T08:37:00Z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