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778B" w14:textId="77777777" w:rsidR="00B11B6B" w:rsidRDefault="00BD2AA9">
      <w:pPr>
        <w:spacing w:before="3240" w:after="0"/>
        <w:jc w:val="center"/>
        <w:rPr>
          <w:rStyle w:val="Style2"/>
          <w:rFonts w:eastAsia="font588"/>
        </w:rPr>
      </w:pPr>
      <w:r>
        <w:rPr>
          <w:rStyle w:val="Style2"/>
          <w:rFonts w:eastAsia="font588"/>
        </w:rPr>
        <w:t xml:space="preserve">North East Lincolnshire CCG </w:t>
      </w:r>
    </w:p>
    <w:p w14:paraId="4D170489" w14:textId="77777777" w:rsidR="00BD2AA9" w:rsidRDefault="00BD2AA9">
      <w:pPr>
        <w:spacing w:before="3240" w:after="0"/>
        <w:jc w:val="center"/>
      </w:pPr>
      <w:r>
        <w:rPr>
          <w:rStyle w:val="Style2"/>
          <w:rFonts w:eastAsia="font588"/>
        </w:rPr>
        <w:t xml:space="preserve">Emergency Planning, Resilience and Response (EPRR) Policy and Framework </w:t>
      </w:r>
    </w:p>
    <w:p w14:paraId="0715CAF9" w14:textId="77777777" w:rsidR="00B11B6B" w:rsidRDefault="00B11B6B">
      <w:pPr>
        <w:spacing w:before="2520" w:after="0"/>
        <w:jc w:val="center"/>
        <w:rPr>
          <w:rFonts w:cs="Arial"/>
          <w:color w:val="0D0D0D"/>
        </w:rPr>
      </w:pPr>
    </w:p>
    <w:p w14:paraId="6A1865B5" w14:textId="77777777" w:rsidR="00B11B6B" w:rsidRDefault="00B11B6B">
      <w:pPr>
        <w:spacing w:before="0" w:line="276" w:lineRule="auto"/>
        <w:jc w:val="left"/>
        <w:rPr>
          <w:szCs w:val="22"/>
        </w:rPr>
      </w:pPr>
    </w:p>
    <w:tbl>
      <w:tblPr>
        <w:tblW w:w="0" w:type="auto"/>
        <w:tblInd w:w="108" w:type="dxa"/>
        <w:tblLayout w:type="fixed"/>
        <w:tblLook w:val="0000" w:firstRow="0" w:lastRow="0" w:firstColumn="0" w:lastColumn="0" w:noHBand="0" w:noVBand="0"/>
      </w:tblPr>
      <w:tblGrid>
        <w:gridCol w:w="4607"/>
        <w:gridCol w:w="4500"/>
      </w:tblGrid>
      <w:tr w:rsidR="00B11B6B" w14:paraId="266200A9" w14:textId="77777777">
        <w:trPr>
          <w:tblHeader/>
        </w:trPr>
        <w:tc>
          <w:tcPr>
            <w:tcW w:w="4607" w:type="dxa"/>
            <w:tcBorders>
              <w:top w:val="single" w:sz="4" w:space="0" w:color="000000"/>
              <w:left w:val="single" w:sz="4" w:space="0" w:color="000000"/>
              <w:bottom w:val="single" w:sz="4" w:space="0" w:color="000000"/>
              <w:right w:val="single" w:sz="4" w:space="0" w:color="000000"/>
            </w:tcBorders>
            <w:shd w:val="clear" w:color="auto" w:fill="auto"/>
          </w:tcPr>
          <w:p w14:paraId="4502B3E2" w14:textId="77777777" w:rsidR="00B11B6B" w:rsidRDefault="00B11B6B">
            <w:pPr>
              <w:pageBreakBefore/>
              <w:spacing w:before="0"/>
            </w:pPr>
            <w:r>
              <w:rPr>
                <w:rFonts w:cs="Arial"/>
                <w:b/>
                <w:szCs w:val="22"/>
              </w:rPr>
              <w:lastRenderedPageBreak/>
              <w:t>Document Title:</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3BBCADB" w14:textId="77777777" w:rsidR="00B11B6B" w:rsidRPr="007F5479" w:rsidRDefault="00BD2AA9">
            <w:pPr>
              <w:spacing w:before="0"/>
              <w:rPr>
                <w:iCs/>
              </w:rPr>
            </w:pPr>
            <w:r w:rsidRPr="007F5479">
              <w:rPr>
                <w:rFonts w:eastAsia="font588" w:cs="Arial"/>
                <w:iCs/>
                <w:sz w:val="20"/>
                <w:szCs w:val="20"/>
              </w:rPr>
              <w:t xml:space="preserve">Emergency Planning, Resilience and Response Policy and Framework </w:t>
            </w:r>
          </w:p>
        </w:tc>
      </w:tr>
      <w:tr w:rsidR="00B11B6B" w14:paraId="52F3EC1F" w14:textId="77777777">
        <w:tc>
          <w:tcPr>
            <w:tcW w:w="4607" w:type="dxa"/>
            <w:tcBorders>
              <w:top w:val="single" w:sz="4" w:space="0" w:color="000000"/>
              <w:left w:val="single" w:sz="4" w:space="0" w:color="000000"/>
              <w:bottom w:val="single" w:sz="4" w:space="0" w:color="000000"/>
              <w:right w:val="single" w:sz="4" w:space="0" w:color="000000"/>
            </w:tcBorders>
            <w:shd w:val="clear" w:color="auto" w:fill="auto"/>
          </w:tcPr>
          <w:p w14:paraId="18C029B7" w14:textId="77777777" w:rsidR="00B11B6B" w:rsidRDefault="00B11B6B">
            <w:pPr>
              <w:spacing w:before="0"/>
            </w:pPr>
            <w:r>
              <w:rPr>
                <w:rFonts w:cs="Arial"/>
                <w:b/>
                <w:szCs w:val="22"/>
              </w:rPr>
              <w:t>Version No:</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F0D0E8D" w14:textId="77777777" w:rsidR="00B11B6B" w:rsidRPr="007F5479" w:rsidRDefault="00BD2AA9">
            <w:pPr>
              <w:spacing w:before="0"/>
              <w:rPr>
                <w:iCs/>
              </w:rPr>
            </w:pPr>
            <w:r w:rsidRPr="007F5479">
              <w:rPr>
                <w:rFonts w:cs="Arial"/>
                <w:iCs/>
                <w:sz w:val="20"/>
                <w:szCs w:val="20"/>
              </w:rPr>
              <w:t>Version 2</w:t>
            </w:r>
          </w:p>
        </w:tc>
      </w:tr>
      <w:tr w:rsidR="00B11B6B" w14:paraId="187F9CF4" w14:textId="77777777">
        <w:tc>
          <w:tcPr>
            <w:tcW w:w="4607" w:type="dxa"/>
            <w:tcBorders>
              <w:top w:val="single" w:sz="4" w:space="0" w:color="000000"/>
              <w:left w:val="single" w:sz="4" w:space="0" w:color="000000"/>
              <w:bottom w:val="single" w:sz="4" w:space="0" w:color="000000"/>
              <w:right w:val="single" w:sz="4" w:space="0" w:color="000000"/>
            </w:tcBorders>
            <w:shd w:val="clear" w:color="auto" w:fill="auto"/>
          </w:tcPr>
          <w:p w14:paraId="72B6443D" w14:textId="77777777" w:rsidR="00B11B6B" w:rsidRDefault="00B11B6B">
            <w:pPr>
              <w:spacing w:before="0"/>
            </w:pPr>
            <w:r>
              <w:rPr>
                <w:rFonts w:cs="Arial"/>
                <w:b/>
                <w:szCs w:val="22"/>
              </w:rPr>
              <w:t xml:space="preserve">Latest version issued: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564D657" w14:textId="77777777" w:rsidR="00B11B6B" w:rsidRPr="007F5479" w:rsidRDefault="00BD2AA9">
            <w:pPr>
              <w:spacing w:before="0"/>
              <w:rPr>
                <w:iCs/>
              </w:rPr>
            </w:pPr>
            <w:r w:rsidRPr="007F5479">
              <w:rPr>
                <w:rFonts w:cs="Arial"/>
                <w:iCs/>
                <w:szCs w:val="22"/>
              </w:rPr>
              <w:t>28</w:t>
            </w:r>
            <w:r w:rsidRPr="007F5479">
              <w:rPr>
                <w:rFonts w:cs="Arial"/>
                <w:iCs/>
                <w:szCs w:val="22"/>
                <w:vertAlign w:val="superscript"/>
              </w:rPr>
              <w:t>th</w:t>
            </w:r>
            <w:r w:rsidRPr="007F5479">
              <w:rPr>
                <w:rFonts w:cs="Arial"/>
                <w:iCs/>
                <w:szCs w:val="22"/>
              </w:rPr>
              <w:t xml:space="preserve"> April 2021</w:t>
            </w:r>
          </w:p>
        </w:tc>
      </w:tr>
      <w:tr w:rsidR="00B11B6B" w14:paraId="29DFA6BD" w14:textId="77777777">
        <w:tc>
          <w:tcPr>
            <w:tcW w:w="4607" w:type="dxa"/>
            <w:tcBorders>
              <w:top w:val="single" w:sz="4" w:space="0" w:color="000000"/>
              <w:left w:val="single" w:sz="4" w:space="0" w:color="000000"/>
              <w:bottom w:val="single" w:sz="4" w:space="0" w:color="000000"/>
              <w:right w:val="single" w:sz="4" w:space="0" w:color="000000"/>
            </w:tcBorders>
            <w:shd w:val="clear" w:color="auto" w:fill="auto"/>
          </w:tcPr>
          <w:p w14:paraId="72B4EBD8" w14:textId="77777777" w:rsidR="00B11B6B" w:rsidRDefault="00B11B6B">
            <w:pPr>
              <w:spacing w:before="0"/>
            </w:pPr>
            <w:r>
              <w:rPr>
                <w:rFonts w:cs="Arial"/>
                <w:b/>
                <w:szCs w:val="22"/>
              </w:rPr>
              <w:t>Supersedes:</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1C8A7F2" w14:textId="77777777" w:rsidR="00B11B6B" w:rsidRPr="007F5479" w:rsidRDefault="00BD2AA9">
            <w:pPr>
              <w:spacing w:before="0"/>
              <w:rPr>
                <w:iCs/>
              </w:rPr>
            </w:pPr>
            <w:r w:rsidRPr="007F5479">
              <w:rPr>
                <w:rFonts w:cs="Arial"/>
                <w:iCs/>
                <w:sz w:val="20"/>
                <w:szCs w:val="20"/>
              </w:rPr>
              <w:t>NELCCG EPRR Policy Framework V1</w:t>
            </w:r>
          </w:p>
        </w:tc>
      </w:tr>
      <w:tr w:rsidR="00B11B6B" w14:paraId="261FB351" w14:textId="77777777">
        <w:tc>
          <w:tcPr>
            <w:tcW w:w="4607" w:type="dxa"/>
            <w:tcBorders>
              <w:top w:val="single" w:sz="4" w:space="0" w:color="000000"/>
              <w:left w:val="single" w:sz="4" w:space="0" w:color="000000"/>
              <w:bottom w:val="single" w:sz="4" w:space="0" w:color="000000"/>
              <w:right w:val="single" w:sz="4" w:space="0" w:color="000000"/>
            </w:tcBorders>
            <w:shd w:val="clear" w:color="auto" w:fill="auto"/>
          </w:tcPr>
          <w:p w14:paraId="040C6081" w14:textId="77777777" w:rsidR="00B11B6B" w:rsidRDefault="00B11B6B">
            <w:pPr>
              <w:spacing w:before="0"/>
            </w:pPr>
            <w:r>
              <w:rPr>
                <w:rFonts w:cs="Arial"/>
                <w:b/>
                <w:szCs w:val="22"/>
              </w:rPr>
              <w:t>Name of Author (s):</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9DEDF0C" w14:textId="77777777" w:rsidR="00B11B6B" w:rsidRPr="007F5479" w:rsidRDefault="00BD2AA9">
            <w:pPr>
              <w:spacing w:before="0"/>
              <w:rPr>
                <w:iCs/>
              </w:rPr>
            </w:pPr>
            <w:r w:rsidRPr="007F5479">
              <w:rPr>
                <w:rFonts w:cs="Arial"/>
                <w:iCs/>
                <w:sz w:val="20"/>
                <w:szCs w:val="20"/>
              </w:rPr>
              <w:t>Levi Clements-Pearce</w:t>
            </w:r>
          </w:p>
        </w:tc>
      </w:tr>
      <w:tr w:rsidR="00B11B6B" w14:paraId="6742ACF8" w14:textId="77777777">
        <w:tc>
          <w:tcPr>
            <w:tcW w:w="4607" w:type="dxa"/>
            <w:tcBorders>
              <w:top w:val="single" w:sz="4" w:space="0" w:color="000000"/>
              <w:left w:val="single" w:sz="4" w:space="0" w:color="000000"/>
              <w:bottom w:val="single" w:sz="4" w:space="0" w:color="000000"/>
              <w:right w:val="single" w:sz="4" w:space="0" w:color="000000"/>
            </w:tcBorders>
            <w:shd w:val="clear" w:color="auto" w:fill="auto"/>
          </w:tcPr>
          <w:p w14:paraId="292EE9BE" w14:textId="77777777" w:rsidR="00B11B6B" w:rsidRDefault="00B11B6B">
            <w:pPr>
              <w:spacing w:before="0"/>
            </w:pPr>
            <w:r>
              <w:rPr>
                <w:rFonts w:cs="Arial"/>
                <w:b/>
                <w:szCs w:val="22"/>
              </w:rPr>
              <w:t>Consultation:</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7C9E429" w14:textId="77777777" w:rsidR="00BD2AA9" w:rsidRPr="007F5479" w:rsidRDefault="00BD2AA9">
            <w:pPr>
              <w:spacing w:before="0"/>
              <w:rPr>
                <w:rFonts w:cs="Arial"/>
                <w:iCs/>
                <w:sz w:val="20"/>
                <w:szCs w:val="20"/>
              </w:rPr>
            </w:pPr>
            <w:r w:rsidRPr="007F5479">
              <w:rPr>
                <w:rFonts w:cs="Arial"/>
                <w:iCs/>
                <w:sz w:val="20"/>
                <w:szCs w:val="20"/>
              </w:rPr>
              <w:t>V1 approved at Partnership Board September 2018</w:t>
            </w:r>
          </w:p>
        </w:tc>
      </w:tr>
      <w:tr w:rsidR="00B11B6B" w14:paraId="1983FC36" w14:textId="77777777">
        <w:tc>
          <w:tcPr>
            <w:tcW w:w="4607" w:type="dxa"/>
            <w:tcBorders>
              <w:top w:val="single" w:sz="4" w:space="0" w:color="000000"/>
              <w:left w:val="single" w:sz="4" w:space="0" w:color="000000"/>
              <w:bottom w:val="single" w:sz="4" w:space="0" w:color="000000"/>
              <w:right w:val="single" w:sz="4" w:space="0" w:color="000000"/>
            </w:tcBorders>
            <w:shd w:val="clear" w:color="auto" w:fill="auto"/>
          </w:tcPr>
          <w:p w14:paraId="03F28927" w14:textId="77777777" w:rsidR="00B11B6B" w:rsidRDefault="00B11B6B">
            <w:pPr>
              <w:spacing w:before="0"/>
            </w:pPr>
            <w:r>
              <w:rPr>
                <w:rFonts w:cs="Arial"/>
                <w:b/>
                <w:szCs w:val="22"/>
              </w:rPr>
              <w:t>Approved by:</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1D45315" w14:textId="0620C824" w:rsidR="00BD2AA9" w:rsidRDefault="007F5479">
            <w:pPr>
              <w:spacing w:before="0"/>
            </w:pPr>
            <w:r>
              <w:t>Governing Body</w:t>
            </w:r>
          </w:p>
        </w:tc>
      </w:tr>
      <w:tr w:rsidR="00B11B6B" w14:paraId="249709A9" w14:textId="77777777">
        <w:tc>
          <w:tcPr>
            <w:tcW w:w="4607" w:type="dxa"/>
            <w:tcBorders>
              <w:top w:val="single" w:sz="4" w:space="0" w:color="000000"/>
              <w:left w:val="single" w:sz="4" w:space="0" w:color="000000"/>
              <w:bottom w:val="single" w:sz="4" w:space="0" w:color="000000"/>
              <w:right w:val="single" w:sz="4" w:space="0" w:color="000000"/>
            </w:tcBorders>
            <w:shd w:val="clear" w:color="auto" w:fill="auto"/>
          </w:tcPr>
          <w:p w14:paraId="776F6434" w14:textId="77777777" w:rsidR="00B11B6B" w:rsidRDefault="00B11B6B">
            <w:pPr>
              <w:spacing w:before="0"/>
            </w:pPr>
            <w:r>
              <w:rPr>
                <w:rFonts w:cs="Arial"/>
                <w:b/>
                <w:szCs w:val="22"/>
              </w:rPr>
              <w:t>Approval date:</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7640EC3" w14:textId="77777777" w:rsidR="00B11B6B" w:rsidRDefault="00B11B6B">
            <w:pPr>
              <w:spacing w:before="0"/>
            </w:pPr>
          </w:p>
        </w:tc>
      </w:tr>
      <w:tr w:rsidR="00B11B6B" w14:paraId="55BE3BFD" w14:textId="77777777">
        <w:tc>
          <w:tcPr>
            <w:tcW w:w="4607" w:type="dxa"/>
            <w:tcBorders>
              <w:top w:val="single" w:sz="4" w:space="0" w:color="000000"/>
              <w:left w:val="single" w:sz="4" w:space="0" w:color="000000"/>
              <w:bottom w:val="single" w:sz="4" w:space="0" w:color="000000"/>
              <w:right w:val="single" w:sz="4" w:space="0" w:color="000000"/>
            </w:tcBorders>
            <w:shd w:val="clear" w:color="auto" w:fill="auto"/>
          </w:tcPr>
          <w:p w14:paraId="137EB4C2" w14:textId="4939827E" w:rsidR="00B11B6B" w:rsidRPr="00CE50D4" w:rsidRDefault="00B11B6B">
            <w:pPr>
              <w:spacing w:before="0"/>
            </w:pPr>
            <w:r>
              <w:rPr>
                <w:rFonts w:cs="Arial"/>
                <w:b/>
                <w:szCs w:val="22"/>
              </w:rPr>
              <w:t>Review date:</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EE9430D" w14:textId="77777777" w:rsidR="00B11B6B" w:rsidRPr="007F5479" w:rsidRDefault="00BD2AA9">
            <w:pPr>
              <w:spacing w:before="0"/>
              <w:rPr>
                <w:iCs/>
              </w:rPr>
            </w:pPr>
            <w:r w:rsidRPr="007F5479">
              <w:rPr>
                <w:rFonts w:cs="Arial"/>
                <w:iCs/>
                <w:sz w:val="20"/>
                <w:szCs w:val="20"/>
              </w:rPr>
              <w:t>28</w:t>
            </w:r>
            <w:r w:rsidRPr="007F5479">
              <w:rPr>
                <w:rFonts w:cs="Arial"/>
                <w:iCs/>
                <w:sz w:val="20"/>
                <w:szCs w:val="20"/>
                <w:vertAlign w:val="superscript"/>
              </w:rPr>
              <w:t>th</w:t>
            </w:r>
            <w:r w:rsidRPr="007F5479">
              <w:rPr>
                <w:rFonts w:cs="Arial"/>
                <w:iCs/>
                <w:sz w:val="20"/>
                <w:szCs w:val="20"/>
              </w:rPr>
              <w:t xml:space="preserve"> April 202</w:t>
            </w:r>
            <w:r w:rsidR="005A6D26" w:rsidRPr="007F5479">
              <w:rPr>
                <w:rFonts w:cs="Arial"/>
                <w:iCs/>
                <w:sz w:val="20"/>
                <w:szCs w:val="20"/>
              </w:rPr>
              <w:t>3</w:t>
            </w:r>
          </w:p>
        </w:tc>
      </w:tr>
      <w:tr w:rsidR="00B11B6B" w14:paraId="3FD0F968" w14:textId="77777777">
        <w:tc>
          <w:tcPr>
            <w:tcW w:w="4607" w:type="dxa"/>
            <w:tcBorders>
              <w:top w:val="single" w:sz="4" w:space="0" w:color="000000"/>
              <w:left w:val="single" w:sz="4" w:space="0" w:color="000000"/>
              <w:bottom w:val="single" w:sz="4" w:space="0" w:color="000000"/>
              <w:right w:val="single" w:sz="4" w:space="0" w:color="000000"/>
            </w:tcBorders>
            <w:shd w:val="clear" w:color="auto" w:fill="auto"/>
          </w:tcPr>
          <w:p w14:paraId="7E1032E5" w14:textId="77777777" w:rsidR="00B11B6B" w:rsidRDefault="00B11B6B">
            <w:pPr>
              <w:spacing w:before="0"/>
            </w:pPr>
            <w:r>
              <w:rPr>
                <w:rFonts w:cs="Arial"/>
                <w:b/>
                <w:szCs w:val="22"/>
              </w:rPr>
              <w:t>Equality Impact Assessment Date:</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E7D812A" w14:textId="77777777" w:rsidR="00B11B6B" w:rsidRPr="007F5479" w:rsidRDefault="00BD2AA9">
            <w:pPr>
              <w:spacing w:before="0"/>
              <w:rPr>
                <w:iCs/>
              </w:rPr>
            </w:pPr>
            <w:r w:rsidRPr="007F5479">
              <w:rPr>
                <w:rFonts w:cs="Arial"/>
                <w:iCs/>
                <w:sz w:val="20"/>
                <w:szCs w:val="20"/>
              </w:rPr>
              <w:t>28</w:t>
            </w:r>
            <w:r w:rsidRPr="007F5479">
              <w:rPr>
                <w:rFonts w:cs="Arial"/>
                <w:iCs/>
                <w:sz w:val="20"/>
                <w:szCs w:val="20"/>
                <w:vertAlign w:val="superscript"/>
              </w:rPr>
              <w:t>th</w:t>
            </w:r>
            <w:r w:rsidRPr="007F5479">
              <w:rPr>
                <w:rFonts w:cs="Arial"/>
                <w:iCs/>
                <w:sz w:val="20"/>
                <w:szCs w:val="20"/>
              </w:rPr>
              <w:t xml:space="preserve"> April 202</w:t>
            </w:r>
            <w:r w:rsidR="005A6D26" w:rsidRPr="007F5479">
              <w:rPr>
                <w:rFonts w:cs="Arial"/>
                <w:iCs/>
                <w:sz w:val="20"/>
                <w:szCs w:val="20"/>
              </w:rPr>
              <w:t>1</w:t>
            </w:r>
          </w:p>
        </w:tc>
      </w:tr>
      <w:tr w:rsidR="00B11B6B" w14:paraId="46EC7691" w14:textId="77777777">
        <w:trPr>
          <w:trHeight w:val="375"/>
        </w:trPr>
        <w:tc>
          <w:tcPr>
            <w:tcW w:w="4607" w:type="dxa"/>
            <w:tcBorders>
              <w:top w:val="single" w:sz="4" w:space="0" w:color="000000"/>
              <w:left w:val="single" w:sz="4" w:space="0" w:color="000000"/>
              <w:bottom w:val="single" w:sz="4" w:space="0" w:color="000000"/>
              <w:right w:val="single" w:sz="4" w:space="0" w:color="000000"/>
            </w:tcBorders>
            <w:shd w:val="clear" w:color="auto" w:fill="auto"/>
          </w:tcPr>
          <w:p w14:paraId="4EFCD9C1" w14:textId="77777777" w:rsidR="00B11B6B" w:rsidRDefault="00B11B6B">
            <w:pPr>
              <w:spacing w:before="0"/>
            </w:pPr>
            <w:r>
              <w:rPr>
                <w:rFonts w:cs="Arial"/>
                <w:b/>
                <w:szCs w:val="22"/>
              </w:rPr>
              <w:t>Target Audience:</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53AAC2F" w14:textId="77777777" w:rsidR="00B11B6B" w:rsidRDefault="00BD2AA9">
            <w:pPr>
              <w:spacing w:before="0"/>
              <w:rPr>
                <w:rFonts w:cs="Arial"/>
                <w:b/>
                <w:szCs w:val="22"/>
              </w:rPr>
            </w:pPr>
            <w:r>
              <w:t>CCG staff</w:t>
            </w:r>
          </w:p>
        </w:tc>
      </w:tr>
      <w:tr w:rsidR="00B11B6B" w14:paraId="76867AEB" w14:textId="77777777">
        <w:tc>
          <w:tcPr>
            <w:tcW w:w="4607" w:type="dxa"/>
            <w:tcBorders>
              <w:top w:val="single" w:sz="4" w:space="0" w:color="000000"/>
              <w:left w:val="single" w:sz="4" w:space="0" w:color="000000"/>
              <w:bottom w:val="single" w:sz="4" w:space="0" w:color="000000"/>
              <w:right w:val="single" w:sz="4" w:space="0" w:color="000000"/>
            </w:tcBorders>
            <w:shd w:val="clear" w:color="auto" w:fill="auto"/>
          </w:tcPr>
          <w:p w14:paraId="788D7D4D" w14:textId="77777777" w:rsidR="00B11B6B" w:rsidRDefault="00B11B6B">
            <w:pPr>
              <w:spacing w:before="0"/>
            </w:pPr>
            <w:r>
              <w:rPr>
                <w:rFonts w:cs="Arial"/>
                <w:b/>
                <w:szCs w:val="22"/>
              </w:rPr>
              <w:t>Dissemination:</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70CF100" w14:textId="77777777" w:rsidR="00B11B6B" w:rsidRPr="007F5479" w:rsidRDefault="00086FB3">
            <w:pPr>
              <w:spacing w:before="0"/>
              <w:rPr>
                <w:iCs/>
              </w:rPr>
            </w:pPr>
            <w:r w:rsidRPr="007F5479">
              <w:rPr>
                <w:rFonts w:cs="Arial"/>
                <w:iCs/>
                <w:sz w:val="20"/>
                <w:szCs w:val="20"/>
              </w:rPr>
              <w:t>CCG Intranet/CCG Newsletter</w:t>
            </w:r>
            <w:r w:rsidR="00B11B6B" w:rsidRPr="007F5479">
              <w:rPr>
                <w:rFonts w:cs="Arial"/>
                <w:iCs/>
                <w:sz w:val="20"/>
                <w:szCs w:val="20"/>
              </w:rPr>
              <w:t xml:space="preserve"> </w:t>
            </w:r>
          </w:p>
        </w:tc>
      </w:tr>
    </w:tbl>
    <w:p w14:paraId="2026751F" w14:textId="77777777" w:rsidR="00B11B6B" w:rsidRDefault="00B11B6B">
      <w:pPr>
        <w:spacing w:before="0" w:line="276" w:lineRule="auto"/>
        <w:jc w:val="left"/>
        <w:rPr>
          <w:szCs w:val="22"/>
        </w:rPr>
      </w:pPr>
    </w:p>
    <w:p w14:paraId="7E67E187" w14:textId="32AACA4C" w:rsidR="00B11B6B" w:rsidRDefault="00B11B6B">
      <w:pPr>
        <w:spacing w:before="0" w:line="276" w:lineRule="auto"/>
        <w:jc w:val="left"/>
      </w:pPr>
    </w:p>
    <w:tbl>
      <w:tblPr>
        <w:tblW w:w="0" w:type="auto"/>
        <w:jc w:val="center"/>
        <w:tblLayout w:type="fixed"/>
        <w:tblLook w:val="0000" w:firstRow="0" w:lastRow="0" w:firstColumn="0" w:lastColumn="0" w:noHBand="0" w:noVBand="0"/>
      </w:tblPr>
      <w:tblGrid>
        <w:gridCol w:w="1100"/>
        <w:gridCol w:w="6414"/>
        <w:gridCol w:w="1559"/>
      </w:tblGrid>
      <w:tr w:rsidR="00B11B6B" w14:paraId="77BF4F06" w14:textId="77777777">
        <w:trPr>
          <w:tblHeader/>
          <w:jc w:val="center"/>
        </w:trPr>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7243EBE1" w14:textId="77777777" w:rsidR="00B11B6B" w:rsidRDefault="00B11B6B">
            <w:pPr>
              <w:spacing w:before="0"/>
              <w:jc w:val="center"/>
            </w:pPr>
            <w:r>
              <w:rPr>
                <w:rFonts w:cs="Arial"/>
                <w:b/>
                <w:szCs w:val="22"/>
              </w:rPr>
              <w:t>Version</w:t>
            </w:r>
          </w:p>
        </w:tc>
        <w:tc>
          <w:tcPr>
            <w:tcW w:w="6414" w:type="dxa"/>
            <w:tcBorders>
              <w:top w:val="single" w:sz="4" w:space="0" w:color="000000"/>
              <w:left w:val="single" w:sz="4" w:space="0" w:color="000000"/>
              <w:bottom w:val="single" w:sz="4" w:space="0" w:color="000000"/>
              <w:right w:val="single" w:sz="4" w:space="0" w:color="000000"/>
            </w:tcBorders>
            <w:shd w:val="clear" w:color="auto" w:fill="auto"/>
          </w:tcPr>
          <w:p w14:paraId="32BD100C" w14:textId="77777777" w:rsidR="00B11B6B" w:rsidRDefault="00B11B6B">
            <w:pPr>
              <w:spacing w:before="0"/>
              <w:jc w:val="center"/>
            </w:pPr>
            <w:r>
              <w:rPr>
                <w:rFonts w:cs="Arial"/>
                <w:b/>
                <w:szCs w:val="22"/>
              </w:rPr>
              <w:t xml:space="preserve">Description of Amendments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A1D7933" w14:textId="77777777" w:rsidR="00B11B6B" w:rsidRDefault="00B11B6B">
            <w:pPr>
              <w:spacing w:before="0"/>
              <w:jc w:val="center"/>
            </w:pPr>
            <w:r>
              <w:rPr>
                <w:rFonts w:cs="Arial"/>
                <w:b/>
                <w:szCs w:val="22"/>
              </w:rPr>
              <w:t xml:space="preserve">Date </w:t>
            </w:r>
          </w:p>
        </w:tc>
      </w:tr>
      <w:tr w:rsidR="007F5479" w14:paraId="05BD840B" w14:textId="77777777">
        <w:trPr>
          <w:jc w:val="center"/>
        </w:trPr>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596F47B7" w14:textId="527F429B" w:rsidR="007F5479" w:rsidRDefault="007F5479">
            <w:pPr>
              <w:spacing w:before="0"/>
              <w:jc w:val="center"/>
              <w:rPr>
                <w:rFonts w:cs="Arial"/>
                <w:szCs w:val="22"/>
              </w:rPr>
            </w:pPr>
            <w:r>
              <w:rPr>
                <w:rFonts w:cs="Arial"/>
                <w:szCs w:val="22"/>
              </w:rPr>
              <w:t>1</w:t>
            </w:r>
          </w:p>
        </w:tc>
        <w:tc>
          <w:tcPr>
            <w:tcW w:w="6414" w:type="dxa"/>
            <w:tcBorders>
              <w:top w:val="single" w:sz="4" w:space="0" w:color="000000"/>
              <w:left w:val="single" w:sz="4" w:space="0" w:color="000000"/>
              <w:bottom w:val="single" w:sz="4" w:space="0" w:color="000000"/>
              <w:right w:val="single" w:sz="4" w:space="0" w:color="000000"/>
            </w:tcBorders>
            <w:shd w:val="clear" w:color="auto" w:fill="auto"/>
          </w:tcPr>
          <w:p w14:paraId="1D1F1179" w14:textId="54268E13" w:rsidR="007F5479" w:rsidRDefault="007F5479" w:rsidP="007F5479">
            <w:pPr>
              <w:spacing w:before="0"/>
              <w:jc w:val="left"/>
              <w:rPr>
                <w:rFonts w:cs="Arial"/>
                <w:szCs w:val="22"/>
              </w:rPr>
            </w:pPr>
            <w:r>
              <w:rPr>
                <w:rFonts w:cs="Arial"/>
                <w:szCs w:val="22"/>
              </w:rPr>
              <w:t>New policy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BEE0834" w14:textId="1D708FB3" w:rsidR="007F5479" w:rsidRDefault="007F5479">
            <w:pPr>
              <w:spacing w:before="0"/>
              <w:jc w:val="center"/>
              <w:rPr>
                <w:rFonts w:cs="Arial"/>
                <w:szCs w:val="22"/>
              </w:rPr>
            </w:pPr>
            <w:r>
              <w:rPr>
                <w:rFonts w:cs="Arial"/>
                <w:szCs w:val="22"/>
              </w:rPr>
              <w:t>Sept 2018</w:t>
            </w:r>
          </w:p>
        </w:tc>
      </w:tr>
      <w:tr w:rsidR="00B11B6B" w14:paraId="6817F90B" w14:textId="77777777">
        <w:trPr>
          <w:jc w:val="center"/>
        </w:trPr>
        <w:tc>
          <w:tcPr>
            <w:tcW w:w="1100" w:type="dxa"/>
            <w:tcBorders>
              <w:top w:val="single" w:sz="4" w:space="0" w:color="000000"/>
              <w:left w:val="single" w:sz="4" w:space="0" w:color="000000"/>
              <w:bottom w:val="single" w:sz="4" w:space="0" w:color="000000"/>
              <w:right w:val="single" w:sz="4" w:space="0" w:color="000000"/>
            </w:tcBorders>
            <w:shd w:val="clear" w:color="auto" w:fill="auto"/>
          </w:tcPr>
          <w:p w14:paraId="01478D8C" w14:textId="77777777" w:rsidR="00B11B6B" w:rsidRDefault="00AF3CD1">
            <w:pPr>
              <w:spacing w:before="0"/>
              <w:jc w:val="center"/>
              <w:rPr>
                <w:rFonts w:cs="Arial"/>
                <w:szCs w:val="22"/>
              </w:rPr>
            </w:pPr>
            <w:r>
              <w:rPr>
                <w:rFonts w:cs="Arial"/>
                <w:szCs w:val="22"/>
              </w:rPr>
              <w:t>2</w:t>
            </w:r>
          </w:p>
        </w:tc>
        <w:tc>
          <w:tcPr>
            <w:tcW w:w="6414" w:type="dxa"/>
            <w:tcBorders>
              <w:top w:val="single" w:sz="4" w:space="0" w:color="000000"/>
              <w:left w:val="single" w:sz="4" w:space="0" w:color="000000"/>
              <w:bottom w:val="single" w:sz="4" w:space="0" w:color="000000"/>
              <w:right w:val="single" w:sz="4" w:space="0" w:color="000000"/>
            </w:tcBorders>
            <w:shd w:val="clear" w:color="auto" w:fill="auto"/>
          </w:tcPr>
          <w:p w14:paraId="310DEAC8" w14:textId="45B28AFD" w:rsidR="00B11B6B" w:rsidRDefault="00086FB3" w:rsidP="00086FB3">
            <w:pPr>
              <w:numPr>
                <w:ilvl w:val="0"/>
                <w:numId w:val="27"/>
              </w:numPr>
              <w:spacing w:before="0"/>
              <w:jc w:val="left"/>
              <w:rPr>
                <w:rFonts w:cs="Arial"/>
                <w:szCs w:val="22"/>
              </w:rPr>
            </w:pPr>
            <w:r>
              <w:rPr>
                <w:rFonts w:cs="Arial"/>
                <w:szCs w:val="22"/>
              </w:rPr>
              <w:t xml:space="preserve">Policy moved into correct </w:t>
            </w:r>
            <w:r w:rsidR="00406B29">
              <w:rPr>
                <w:rFonts w:cs="Arial"/>
                <w:szCs w:val="22"/>
              </w:rPr>
              <w:t>template.</w:t>
            </w:r>
          </w:p>
          <w:p w14:paraId="7DF4D9F6" w14:textId="4A6AE61A" w:rsidR="00086FB3" w:rsidRDefault="00086FB3" w:rsidP="00086FB3">
            <w:pPr>
              <w:numPr>
                <w:ilvl w:val="0"/>
                <w:numId w:val="27"/>
              </w:numPr>
              <w:spacing w:before="0"/>
              <w:jc w:val="left"/>
              <w:rPr>
                <w:rFonts w:cs="Arial"/>
                <w:szCs w:val="22"/>
              </w:rPr>
            </w:pPr>
            <w:r>
              <w:rPr>
                <w:rFonts w:cs="Arial"/>
                <w:szCs w:val="22"/>
              </w:rPr>
              <w:t xml:space="preserve">Standard paragraphs </w:t>
            </w:r>
            <w:r w:rsidR="00406B29">
              <w:rPr>
                <w:rFonts w:cs="Arial"/>
                <w:szCs w:val="22"/>
              </w:rPr>
              <w:t>added.</w:t>
            </w:r>
          </w:p>
          <w:p w14:paraId="355ABFDF" w14:textId="72757E7B" w:rsidR="00086FB3" w:rsidRDefault="00086FB3" w:rsidP="00086FB3">
            <w:pPr>
              <w:numPr>
                <w:ilvl w:val="0"/>
                <w:numId w:val="27"/>
              </w:numPr>
              <w:spacing w:before="0"/>
              <w:jc w:val="left"/>
              <w:rPr>
                <w:rFonts w:cs="Arial"/>
                <w:szCs w:val="22"/>
              </w:rPr>
            </w:pPr>
            <w:r>
              <w:rPr>
                <w:rFonts w:cs="Arial"/>
                <w:szCs w:val="22"/>
              </w:rPr>
              <w:t xml:space="preserve">Change to on-call </w:t>
            </w:r>
            <w:r w:rsidR="00406B29">
              <w:rPr>
                <w:rFonts w:cs="Arial"/>
                <w:szCs w:val="22"/>
              </w:rPr>
              <w:t>directors’</w:t>
            </w:r>
            <w:r>
              <w:rPr>
                <w:rFonts w:cs="Arial"/>
                <w:szCs w:val="22"/>
              </w:rPr>
              <w:t xml:space="preserve"> arrangements due to switch to Humber </w:t>
            </w:r>
            <w:proofErr w:type="gramStart"/>
            <w:r>
              <w:rPr>
                <w:rFonts w:cs="Arial"/>
                <w:szCs w:val="22"/>
              </w:rPr>
              <w:t>contingent</w:t>
            </w:r>
            <w:proofErr w:type="gramEnd"/>
          </w:p>
          <w:p w14:paraId="757F95DD" w14:textId="77777777" w:rsidR="00086FB3" w:rsidRDefault="00086FB3" w:rsidP="00086FB3">
            <w:pPr>
              <w:numPr>
                <w:ilvl w:val="0"/>
                <w:numId w:val="27"/>
              </w:numPr>
              <w:spacing w:before="0"/>
              <w:jc w:val="left"/>
              <w:rPr>
                <w:rFonts w:cs="Arial"/>
                <w:szCs w:val="22"/>
              </w:rPr>
            </w:pPr>
            <w:r>
              <w:rPr>
                <w:rFonts w:cs="Arial"/>
                <w:szCs w:val="22"/>
              </w:rPr>
              <w:t>Review of roles and staff diagram</w:t>
            </w:r>
          </w:p>
          <w:p w14:paraId="3AA546E8" w14:textId="77777777" w:rsidR="00086FB3" w:rsidRDefault="00086FB3" w:rsidP="00086FB3">
            <w:pPr>
              <w:numPr>
                <w:ilvl w:val="0"/>
                <w:numId w:val="27"/>
              </w:numPr>
              <w:spacing w:before="0"/>
              <w:jc w:val="left"/>
              <w:rPr>
                <w:rFonts w:cs="Arial"/>
                <w:szCs w:val="22"/>
              </w:rPr>
            </w:pPr>
            <w:r>
              <w:rPr>
                <w:rFonts w:cs="Arial"/>
                <w:szCs w:val="22"/>
              </w:rPr>
              <w:t xml:space="preserve">Addition of </w:t>
            </w:r>
            <w:proofErr w:type="spellStart"/>
            <w:r>
              <w:rPr>
                <w:rFonts w:cs="Arial"/>
                <w:szCs w:val="22"/>
              </w:rPr>
              <w:t>loggists</w:t>
            </w:r>
            <w:proofErr w:type="spellEnd"/>
            <w:r>
              <w:rPr>
                <w:rFonts w:cs="Arial"/>
                <w:szCs w:val="22"/>
              </w:rPr>
              <w:t xml:space="preserve"> to roles</w:t>
            </w:r>
          </w:p>
          <w:p w14:paraId="719E036D" w14:textId="77777777" w:rsidR="00086FB3" w:rsidRPr="00086FB3" w:rsidRDefault="00086FB3" w:rsidP="00086FB3">
            <w:pPr>
              <w:numPr>
                <w:ilvl w:val="0"/>
                <w:numId w:val="27"/>
              </w:numPr>
              <w:spacing w:before="0"/>
              <w:jc w:val="left"/>
              <w:rPr>
                <w:rFonts w:cs="Arial"/>
                <w:szCs w:val="22"/>
              </w:rPr>
            </w:pPr>
            <w:r>
              <w:rPr>
                <w:rFonts w:cs="Arial"/>
                <w:szCs w:val="22"/>
              </w:rPr>
              <w:t>Changes to domains of NHSE assurance process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5F661EF" w14:textId="77777777" w:rsidR="00B11B6B" w:rsidRDefault="00AF3CD1">
            <w:pPr>
              <w:spacing w:before="0"/>
              <w:jc w:val="center"/>
              <w:rPr>
                <w:rFonts w:cs="Arial"/>
                <w:szCs w:val="22"/>
              </w:rPr>
            </w:pPr>
            <w:r>
              <w:rPr>
                <w:rFonts w:cs="Arial"/>
                <w:szCs w:val="22"/>
              </w:rPr>
              <w:t>28/04/2021</w:t>
            </w:r>
          </w:p>
        </w:tc>
      </w:tr>
    </w:tbl>
    <w:p w14:paraId="7ABA186C" w14:textId="77777777" w:rsidR="00B11B6B" w:rsidRDefault="00B11B6B">
      <w:pPr>
        <w:spacing w:before="0" w:line="276" w:lineRule="auto"/>
        <w:jc w:val="left"/>
        <w:rPr>
          <w:szCs w:val="22"/>
        </w:rPr>
      </w:pPr>
    </w:p>
    <w:p w14:paraId="5047E9FC" w14:textId="77777777" w:rsidR="00B11B6B" w:rsidRDefault="00B11B6B">
      <w:r>
        <w:rPr>
          <w:rFonts w:cs="Arial"/>
          <w:b/>
          <w:color w:val="000000"/>
          <w:szCs w:val="22"/>
        </w:rPr>
        <w:t>The on-line version is the only version that is maintained and valid.  If this document has been printed or saved to another location, the reader must check that the version number matches that of the on-line version.</w:t>
      </w:r>
    </w:p>
    <w:p w14:paraId="71E84109" w14:textId="77777777" w:rsidR="00B11B6B" w:rsidRDefault="00B11B6B">
      <w:pPr>
        <w:spacing w:before="0" w:line="276" w:lineRule="auto"/>
        <w:jc w:val="left"/>
        <w:rPr>
          <w:szCs w:val="22"/>
        </w:rPr>
      </w:pPr>
    </w:p>
    <w:p w14:paraId="7613E3F6" w14:textId="77777777" w:rsidR="00B11B6B" w:rsidRDefault="00B11B6B">
      <w:pPr>
        <w:pageBreakBefore/>
        <w:spacing w:before="0" w:line="276" w:lineRule="auto"/>
        <w:jc w:val="left"/>
        <w:rPr>
          <w:szCs w:val="22"/>
        </w:rPr>
      </w:pPr>
    </w:p>
    <w:p w14:paraId="741D5192" w14:textId="77777777" w:rsidR="00B11B6B" w:rsidRDefault="00B11B6B">
      <w:pPr>
        <w:spacing w:before="0" w:line="276" w:lineRule="auto"/>
        <w:jc w:val="left"/>
        <w:rPr>
          <w:szCs w:val="22"/>
        </w:rPr>
      </w:pPr>
    </w:p>
    <w:p w14:paraId="23CF3BF6" w14:textId="77777777" w:rsidR="00B11B6B" w:rsidRDefault="00B11B6B">
      <w:pPr>
        <w:pStyle w:val="Default"/>
        <w:rPr>
          <w:sz w:val="22"/>
          <w:szCs w:val="22"/>
        </w:rPr>
      </w:pPr>
    </w:p>
    <w:p w14:paraId="603C11D3" w14:textId="77777777" w:rsidR="00B11B6B" w:rsidRDefault="00B11B6B">
      <w:pPr>
        <w:spacing w:before="0" w:after="0" w:line="360" w:lineRule="auto"/>
        <w:jc w:val="left"/>
      </w:pPr>
      <w:r>
        <w:rPr>
          <w:rFonts w:cs="Arial"/>
          <w:b/>
          <w:sz w:val="24"/>
        </w:rPr>
        <w:t>CONTENTS</w:t>
      </w:r>
    </w:p>
    <w:p w14:paraId="7B84B419" w14:textId="53B31C16" w:rsidR="00CB628F" w:rsidRPr="00040719" w:rsidRDefault="00B11B6B">
      <w:pPr>
        <w:pStyle w:val="TOC1"/>
        <w:tabs>
          <w:tab w:val="left" w:pos="660"/>
          <w:tab w:val="right" w:leader="dot" w:pos="9016"/>
        </w:tabs>
        <w:rPr>
          <w:rFonts w:ascii="Calibri" w:hAnsi="Calibri"/>
          <w:noProof/>
          <w:szCs w:val="22"/>
        </w:rPr>
      </w:pPr>
      <w:r>
        <w:fldChar w:fldCharType="begin"/>
      </w:r>
      <w:r>
        <w:instrText xml:space="preserve"> TOC \z \o "1-3" \u \h</w:instrText>
      </w:r>
      <w:r>
        <w:fldChar w:fldCharType="separate"/>
      </w:r>
      <w:hyperlink w:anchor="_Toc70604979" w:history="1">
        <w:r w:rsidR="00CB628F" w:rsidRPr="00F26BDF">
          <w:rPr>
            <w:rStyle w:val="Hyperlink"/>
            <w:b/>
            <w:noProof/>
          </w:rPr>
          <w:t>1.0</w:t>
        </w:r>
        <w:r w:rsidR="00CB628F" w:rsidRPr="00040719">
          <w:rPr>
            <w:rFonts w:ascii="Calibri" w:hAnsi="Calibri"/>
            <w:noProof/>
            <w:szCs w:val="22"/>
          </w:rPr>
          <w:tab/>
        </w:r>
        <w:r w:rsidR="00CB628F" w:rsidRPr="00F26BDF">
          <w:rPr>
            <w:rStyle w:val="Hyperlink"/>
            <w:rFonts w:cs="Arial"/>
            <w:b/>
            <w:noProof/>
          </w:rPr>
          <w:t>INTRODUCTION</w:t>
        </w:r>
        <w:r w:rsidR="00CB628F">
          <w:rPr>
            <w:noProof/>
            <w:webHidden/>
          </w:rPr>
          <w:tab/>
        </w:r>
        <w:r w:rsidR="00CB628F">
          <w:rPr>
            <w:noProof/>
            <w:webHidden/>
          </w:rPr>
          <w:fldChar w:fldCharType="begin"/>
        </w:r>
        <w:r w:rsidR="00CB628F">
          <w:rPr>
            <w:noProof/>
            <w:webHidden/>
          </w:rPr>
          <w:instrText xml:space="preserve"> PAGEREF _Toc70604979 \h </w:instrText>
        </w:r>
        <w:r w:rsidR="00CB628F">
          <w:rPr>
            <w:noProof/>
            <w:webHidden/>
          </w:rPr>
        </w:r>
        <w:r w:rsidR="00CB628F">
          <w:rPr>
            <w:noProof/>
            <w:webHidden/>
          </w:rPr>
          <w:fldChar w:fldCharType="separate"/>
        </w:r>
        <w:r w:rsidR="001D72A3">
          <w:rPr>
            <w:noProof/>
            <w:webHidden/>
          </w:rPr>
          <w:t>4</w:t>
        </w:r>
        <w:r w:rsidR="00CB628F">
          <w:rPr>
            <w:noProof/>
            <w:webHidden/>
          </w:rPr>
          <w:fldChar w:fldCharType="end"/>
        </w:r>
      </w:hyperlink>
    </w:p>
    <w:p w14:paraId="2CFE2B3A" w14:textId="2CCF6A50" w:rsidR="00CB628F" w:rsidRPr="00040719" w:rsidRDefault="00CB628F">
      <w:pPr>
        <w:pStyle w:val="TOC1"/>
        <w:tabs>
          <w:tab w:val="left" w:pos="660"/>
          <w:tab w:val="right" w:leader="dot" w:pos="9016"/>
        </w:tabs>
        <w:rPr>
          <w:rFonts w:ascii="Calibri" w:hAnsi="Calibri"/>
          <w:noProof/>
          <w:szCs w:val="22"/>
        </w:rPr>
      </w:pPr>
      <w:hyperlink w:anchor="_Toc70604980" w:history="1">
        <w:r w:rsidRPr="00F26BDF">
          <w:rPr>
            <w:rStyle w:val="Hyperlink"/>
            <w:rFonts w:cs="Arial"/>
            <w:b/>
            <w:noProof/>
          </w:rPr>
          <w:t xml:space="preserve">2.0 </w:t>
        </w:r>
        <w:r w:rsidRPr="00040719">
          <w:rPr>
            <w:rFonts w:ascii="Calibri" w:hAnsi="Calibri"/>
            <w:noProof/>
            <w:szCs w:val="22"/>
          </w:rPr>
          <w:tab/>
        </w:r>
        <w:r w:rsidRPr="00F26BDF">
          <w:rPr>
            <w:rStyle w:val="Hyperlink"/>
            <w:rFonts w:cs="Arial"/>
            <w:b/>
            <w:noProof/>
          </w:rPr>
          <w:t>SCOPE</w:t>
        </w:r>
        <w:r>
          <w:rPr>
            <w:noProof/>
            <w:webHidden/>
          </w:rPr>
          <w:tab/>
        </w:r>
        <w:r>
          <w:rPr>
            <w:noProof/>
            <w:webHidden/>
          </w:rPr>
          <w:fldChar w:fldCharType="begin"/>
        </w:r>
        <w:r>
          <w:rPr>
            <w:noProof/>
            <w:webHidden/>
          </w:rPr>
          <w:instrText xml:space="preserve"> PAGEREF _Toc70604980 \h </w:instrText>
        </w:r>
        <w:r>
          <w:rPr>
            <w:noProof/>
            <w:webHidden/>
          </w:rPr>
        </w:r>
        <w:r>
          <w:rPr>
            <w:noProof/>
            <w:webHidden/>
          </w:rPr>
          <w:fldChar w:fldCharType="separate"/>
        </w:r>
        <w:r w:rsidR="001D72A3">
          <w:rPr>
            <w:noProof/>
            <w:webHidden/>
          </w:rPr>
          <w:t>4</w:t>
        </w:r>
        <w:r>
          <w:rPr>
            <w:noProof/>
            <w:webHidden/>
          </w:rPr>
          <w:fldChar w:fldCharType="end"/>
        </w:r>
      </w:hyperlink>
    </w:p>
    <w:p w14:paraId="2DCD2B8F" w14:textId="04809C5C" w:rsidR="00CB628F" w:rsidRPr="00040719" w:rsidRDefault="00CB628F">
      <w:pPr>
        <w:pStyle w:val="TOC1"/>
        <w:tabs>
          <w:tab w:val="left" w:pos="660"/>
          <w:tab w:val="right" w:leader="dot" w:pos="9016"/>
        </w:tabs>
        <w:rPr>
          <w:rFonts w:ascii="Calibri" w:hAnsi="Calibri"/>
          <w:noProof/>
          <w:szCs w:val="22"/>
        </w:rPr>
      </w:pPr>
      <w:hyperlink w:anchor="_Toc70604981" w:history="1">
        <w:r w:rsidRPr="00F26BDF">
          <w:rPr>
            <w:rStyle w:val="Hyperlink"/>
            <w:rFonts w:cs="Arial"/>
            <w:b/>
            <w:noProof/>
          </w:rPr>
          <w:t>3.0</w:t>
        </w:r>
        <w:r w:rsidRPr="00040719">
          <w:rPr>
            <w:rFonts w:ascii="Calibri" w:hAnsi="Calibri"/>
            <w:noProof/>
            <w:szCs w:val="22"/>
          </w:rPr>
          <w:tab/>
        </w:r>
        <w:r w:rsidRPr="00F26BDF">
          <w:rPr>
            <w:rStyle w:val="Hyperlink"/>
            <w:rFonts w:cs="Arial"/>
            <w:b/>
            <w:noProof/>
          </w:rPr>
          <w:t>PURPOSE</w:t>
        </w:r>
        <w:r>
          <w:rPr>
            <w:noProof/>
            <w:webHidden/>
          </w:rPr>
          <w:tab/>
        </w:r>
        <w:r>
          <w:rPr>
            <w:noProof/>
            <w:webHidden/>
          </w:rPr>
          <w:fldChar w:fldCharType="begin"/>
        </w:r>
        <w:r>
          <w:rPr>
            <w:noProof/>
            <w:webHidden/>
          </w:rPr>
          <w:instrText xml:space="preserve"> PAGEREF _Toc70604981 \h </w:instrText>
        </w:r>
        <w:r>
          <w:rPr>
            <w:noProof/>
            <w:webHidden/>
          </w:rPr>
        </w:r>
        <w:r>
          <w:rPr>
            <w:noProof/>
            <w:webHidden/>
          </w:rPr>
          <w:fldChar w:fldCharType="separate"/>
        </w:r>
        <w:r w:rsidR="001D72A3">
          <w:rPr>
            <w:noProof/>
            <w:webHidden/>
          </w:rPr>
          <w:t>4</w:t>
        </w:r>
        <w:r>
          <w:rPr>
            <w:noProof/>
            <w:webHidden/>
          </w:rPr>
          <w:fldChar w:fldCharType="end"/>
        </w:r>
      </w:hyperlink>
    </w:p>
    <w:p w14:paraId="330CDE79" w14:textId="414E9D62" w:rsidR="00CB628F" w:rsidRPr="00040719" w:rsidRDefault="00CB628F">
      <w:pPr>
        <w:pStyle w:val="TOC1"/>
        <w:tabs>
          <w:tab w:val="left" w:pos="660"/>
          <w:tab w:val="right" w:leader="dot" w:pos="9016"/>
        </w:tabs>
        <w:rPr>
          <w:rFonts w:ascii="Calibri" w:hAnsi="Calibri"/>
          <w:noProof/>
          <w:szCs w:val="22"/>
        </w:rPr>
      </w:pPr>
      <w:hyperlink w:anchor="_Toc70604982" w:history="1">
        <w:r w:rsidRPr="00F26BDF">
          <w:rPr>
            <w:rStyle w:val="Hyperlink"/>
            <w:rFonts w:cs="Arial"/>
            <w:b/>
            <w:noProof/>
          </w:rPr>
          <w:t>4.0</w:t>
        </w:r>
        <w:r w:rsidRPr="00040719">
          <w:rPr>
            <w:rFonts w:ascii="Calibri" w:hAnsi="Calibri"/>
            <w:noProof/>
            <w:szCs w:val="22"/>
          </w:rPr>
          <w:tab/>
        </w:r>
        <w:r w:rsidRPr="00F26BDF">
          <w:rPr>
            <w:rStyle w:val="Hyperlink"/>
            <w:rFonts w:cs="Arial"/>
            <w:b/>
            <w:noProof/>
          </w:rPr>
          <w:t>IMPACT ANALYSES</w:t>
        </w:r>
        <w:r>
          <w:rPr>
            <w:noProof/>
            <w:webHidden/>
          </w:rPr>
          <w:tab/>
        </w:r>
        <w:r>
          <w:rPr>
            <w:noProof/>
            <w:webHidden/>
          </w:rPr>
          <w:fldChar w:fldCharType="begin"/>
        </w:r>
        <w:r>
          <w:rPr>
            <w:noProof/>
            <w:webHidden/>
          </w:rPr>
          <w:instrText xml:space="preserve"> PAGEREF _Toc70604982 \h </w:instrText>
        </w:r>
        <w:r>
          <w:rPr>
            <w:noProof/>
            <w:webHidden/>
          </w:rPr>
        </w:r>
        <w:r>
          <w:rPr>
            <w:noProof/>
            <w:webHidden/>
          </w:rPr>
          <w:fldChar w:fldCharType="separate"/>
        </w:r>
        <w:r w:rsidR="001D72A3">
          <w:rPr>
            <w:noProof/>
            <w:webHidden/>
          </w:rPr>
          <w:t>4</w:t>
        </w:r>
        <w:r>
          <w:rPr>
            <w:noProof/>
            <w:webHidden/>
          </w:rPr>
          <w:fldChar w:fldCharType="end"/>
        </w:r>
      </w:hyperlink>
    </w:p>
    <w:p w14:paraId="0FBF936A" w14:textId="7E954507" w:rsidR="00CB628F" w:rsidRPr="00040719" w:rsidRDefault="00CB628F">
      <w:pPr>
        <w:pStyle w:val="TOC1"/>
        <w:tabs>
          <w:tab w:val="right" w:leader="dot" w:pos="9016"/>
        </w:tabs>
        <w:rPr>
          <w:rFonts w:ascii="Calibri" w:hAnsi="Calibri"/>
          <w:noProof/>
          <w:szCs w:val="22"/>
        </w:rPr>
      </w:pPr>
      <w:hyperlink w:anchor="_Toc70604983" w:history="1">
        <w:r w:rsidRPr="00F26BDF">
          <w:rPr>
            <w:rStyle w:val="Hyperlink"/>
            <w:rFonts w:cs="Arial"/>
            <w:b/>
            <w:bCs/>
            <w:noProof/>
          </w:rPr>
          <w:t>5.0     NHS CONSTITUTION</w:t>
        </w:r>
        <w:r>
          <w:rPr>
            <w:noProof/>
            <w:webHidden/>
          </w:rPr>
          <w:tab/>
        </w:r>
        <w:r>
          <w:rPr>
            <w:noProof/>
            <w:webHidden/>
          </w:rPr>
          <w:fldChar w:fldCharType="begin"/>
        </w:r>
        <w:r>
          <w:rPr>
            <w:noProof/>
            <w:webHidden/>
          </w:rPr>
          <w:instrText xml:space="preserve"> PAGEREF _Toc70604983 \h </w:instrText>
        </w:r>
        <w:r>
          <w:rPr>
            <w:noProof/>
            <w:webHidden/>
          </w:rPr>
        </w:r>
        <w:r>
          <w:rPr>
            <w:noProof/>
            <w:webHidden/>
          </w:rPr>
          <w:fldChar w:fldCharType="separate"/>
        </w:r>
        <w:r w:rsidR="001D72A3">
          <w:rPr>
            <w:noProof/>
            <w:webHidden/>
          </w:rPr>
          <w:t>5</w:t>
        </w:r>
        <w:r>
          <w:rPr>
            <w:noProof/>
            <w:webHidden/>
          </w:rPr>
          <w:fldChar w:fldCharType="end"/>
        </w:r>
      </w:hyperlink>
    </w:p>
    <w:p w14:paraId="4386F99D" w14:textId="18B6E88C" w:rsidR="00CB628F" w:rsidRPr="00040719" w:rsidRDefault="00CB628F">
      <w:pPr>
        <w:pStyle w:val="TOC1"/>
        <w:tabs>
          <w:tab w:val="left" w:pos="660"/>
          <w:tab w:val="right" w:leader="dot" w:pos="9016"/>
        </w:tabs>
        <w:rPr>
          <w:rFonts w:ascii="Calibri" w:hAnsi="Calibri"/>
          <w:noProof/>
          <w:szCs w:val="22"/>
        </w:rPr>
      </w:pPr>
      <w:hyperlink w:anchor="_Toc70604984" w:history="1">
        <w:r w:rsidRPr="00F26BDF">
          <w:rPr>
            <w:rStyle w:val="Hyperlink"/>
            <w:rFonts w:cs="Arial"/>
            <w:b/>
            <w:bCs/>
            <w:noProof/>
          </w:rPr>
          <w:t>6.0</w:t>
        </w:r>
        <w:r w:rsidRPr="00040719">
          <w:rPr>
            <w:rFonts w:ascii="Calibri" w:hAnsi="Calibri"/>
            <w:noProof/>
            <w:szCs w:val="22"/>
          </w:rPr>
          <w:tab/>
        </w:r>
        <w:r w:rsidRPr="00F26BDF">
          <w:rPr>
            <w:rStyle w:val="Hyperlink"/>
            <w:rFonts w:cs="Arial"/>
            <w:b/>
            <w:bCs/>
            <w:noProof/>
          </w:rPr>
          <w:t>ROLE AND RESPONSIBILITIES OF THE CCG</w:t>
        </w:r>
        <w:r>
          <w:rPr>
            <w:noProof/>
            <w:webHidden/>
          </w:rPr>
          <w:tab/>
        </w:r>
        <w:r>
          <w:rPr>
            <w:noProof/>
            <w:webHidden/>
          </w:rPr>
          <w:fldChar w:fldCharType="begin"/>
        </w:r>
        <w:r>
          <w:rPr>
            <w:noProof/>
            <w:webHidden/>
          </w:rPr>
          <w:instrText xml:space="preserve"> PAGEREF _Toc70604984 \h </w:instrText>
        </w:r>
        <w:r>
          <w:rPr>
            <w:noProof/>
            <w:webHidden/>
          </w:rPr>
        </w:r>
        <w:r>
          <w:rPr>
            <w:noProof/>
            <w:webHidden/>
          </w:rPr>
          <w:fldChar w:fldCharType="separate"/>
        </w:r>
        <w:r w:rsidR="001D72A3">
          <w:rPr>
            <w:noProof/>
            <w:webHidden/>
          </w:rPr>
          <w:t>5</w:t>
        </w:r>
        <w:r>
          <w:rPr>
            <w:noProof/>
            <w:webHidden/>
          </w:rPr>
          <w:fldChar w:fldCharType="end"/>
        </w:r>
      </w:hyperlink>
    </w:p>
    <w:p w14:paraId="2C22C70A" w14:textId="02470DCD" w:rsidR="00CB628F" w:rsidRPr="00040719" w:rsidRDefault="00CB628F">
      <w:pPr>
        <w:pStyle w:val="TOC1"/>
        <w:tabs>
          <w:tab w:val="left" w:pos="660"/>
          <w:tab w:val="right" w:leader="dot" w:pos="9016"/>
        </w:tabs>
        <w:rPr>
          <w:rFonts w:ascii="Calibri" w:hAnsi="Calibri"/>
          <w:noProof/>
          <w:szCs w:val="22"/>
        </w:rPr>
      </w:pPr>
      <w:hyperlink w:anchor="_Toc70604985" w:history="1">
        <w:r w:rsidRPr="00F26BDF">
          <w:rPr>
            <w:rStyle w:val="Hyperlink"/>
            <w:rFonts w:cs="Arial"/>
            <w:b/>
            <w:noProof/>
          </w:rPr>
          <w:t>7.0</w:t>
        </w:r>
        <w:r w:rsidRPr="00040719">
          <w:rPr>
            <w:rFonts w:ascii="Calibri" w:hAnsi="Calibri"/>
            <w:noProof/>
            <w:szCs w:val="22"/>
          </w:rPr>
          <w:tab/>
        </w:r>
        <w:r w:rsidRPr="00F26BDF">
          <w:rPr>
            <w:rStyle w:val="Hyperlink"/>
            <w:rFonts w:cs="Arial"/>
            <w:b/>
            <w:noProof/>
          </w:rPr>
          <w:t>DEFINITIONS</w:t>
        </w:r>
        <w:r>
          <w:rPr>
            <w:noProof/>
            <w:webHidden/>
          </w:rPr>
          <w:tab/>
        </w:r>
        <w:r>
          <w:rPr>
            <w:noProof/>
            <w:webHidden/>
          </w:rPr>
          <w:fldChar w:fldCharType="begin"/>
        </w:r>
        <w:r>
          <w:rPr>
            <w:noProof/>
            <w:webHidden/>
          </w:rPr>
          <w:instrText xml:space="preserve"> PAGEREF _Toc70604985 \h </w:instrText>
        </w:r>
        <w:r>
          <w:rPr>
            <w:noProof/>
            <w:webHidden/>
          </w:rPr>
        </w:r>
        <w:r>
          <w:rPr>
            <w:noProof/>
            <w:webHidden/>
          </w:rPr>
          <w:fldChar w:fldCharType="separate"/>
        </w:r>
        <w:r w:rsidR="001D72A3">
          <w:rPr>
            <w:noProof/>
            <w:webHidden/>
          </w:rPr>
          <w:t>9</w:t>
        </w:r>
        <w:r>
          <w:rPr>
            <w:noProof/>
            <w:webHidden/>
          </w:rPr>
          <w:fldChar w:fldCharType="end"/>
        </w:r>
      </w:hyperlink>
    </w:p>
    <w:p w14:paraId="4D3A9DA7" w14:textId="5E24257A" w:rsidR="00CB628F" w:rsidRPr="00040719" w:rsidRDefault="00CB628F">
      <w:pPr>
        <w:pStyle w:val="TOC1"/>
        <w:tabs>
          <w:tab w:val="left" w:pos="660"/>
          <w:tab w:val="right" w:leader="dot" w:pos="9016"/>
        </w:tabs>
        <w:rPr>
          <w:rFonts w:ascii="Calibri" w:hAnsi="Calibri"/>
          <w:noProof/>
          <w:szCs w:val="22"/>
        </w:rPr>
      </w:pPr>
      <w:hyperlink w:anchor="_Toc70604986" w:history="1">
        <w:r w:rsidRPr="00F26BDF">
          <w:rPr>
            <w:rStyle w:val="Hyperlink"/>
            <w:rFonts w:cs="Arial"/>
            <w:b/>
            <w:noProof/>
          </w:rPr>
          <w:t>8.0</w:t>
        </w:r>
        <w:r w:rsidRPr="00040719">
          <w:rPr>
            <w:rFonts w:ascii="Calibri" w:hAnsi="Calibri"/>
            <w:noProof/>
            <w:szCs w:val="22"/>
          </w:rPr>
          <w:tab/>
        </w:r>
        <w:r w:rsidRPr="00F26BDF">
          <w:rPr>
            <w:rStyle w:val="Hyperlink"/>
            <w:rFonts w:cs="Arial"/>
            <w:b/>
            <w:noProof/>
          </w:rPr>
          <w:t>ORGANISATIONAL CHART -  CCG STAFF</w:t>
        </w:r>
        <w:r>
          <w:rPr>
            <w:noProof/>
            <w:webHidden/>
          </w:rPr>
          <w:tab/>
        </w:r>
        <w:r>
          <w:rPr>
            <w:noProof/>
            <w:webHidden/>
          </w:rPr>
          <w:fldChar w:fldCharType="begin"/>
        </w:r>
        <w:r>
          <w:rPr>
            <w:noProof/>
            <w:webHidden/>
          </w:rPr>
          <w:instrText xml:space="preserve"> PAGEREF _Toc70604986 \h </w:instrText>
        </w:r>
        <w:r>
          <w:rPr>
            <w:noProof/>
            <w:webHidden/>
          </w:rPr>
        </w:r>
        <w:r>
          <w:rPr>
            <w:noProof/>
            <w:webHidden/>
          </w:rPr>
          <w:fldChar w:fldCharType="separate"/>
        </w:r>
        <w:r w:rsidR="001D72A3">
          <w:rPr>
            <w:noProof/>
            <w:webHidden/>
          </w:rPr>
          <w:t>10</w:t>
        </w:r>
        <w:r>
          <w:rPr>
            <w:noProof/>
            <w:webHidden/>
          </w:rPr>
          <w:fldChar w:fldCharType="end"/>
        </w:r>
      </w:hyperlink>
    </w:p>
    <w:p w14:paraId="5CBEF365" w14:textId="4879A511" w:rsidR="00CB628F" w:rsidRPr="00040719" w:rsidRDefault="00CB628F">
      <w:pPr>
        <w:pStyle w:val="TOC1"/>
        <w:tabs>
          <w:tab w:val="left" w:pos="660"/>
          <w:tab w:val="right" w:leader="dot" w:pos="9016"/>
        </w:tabs>
        <w:rPr>
          <w:rFonts w:ascii="Calibri" w:hAnsi="Calibri"/>
          <w:noProof/>
          <w:szCs w:val="22"/>
        </w:rPr>
      </w:pPr>
      <w:hyperlink w:anchor="_Toc70604987" w:history="1">
        <w:r w:rsidRPr="00F26BDF">
          <w:rPr>
            <w:rStyle w:val="Hyperlink"/>
            <w:rFonts w:cs="Arial"/>
            <w:b/>
            <w:noProof/>
          </w:rPr>
          <w:t>9.0</w:t>
        </w:r>
        <w:r w:rsidRPr="00040719">
          <w:rPr>
            <w:rFonts w:ascii="Calibri" w:hAnsi="Calibri"/>
            <w:noProof/>
            <w:szCs w:val="22"/>
          </w:rPr>
          <w:tab/>
        </w:r>
        <w:r w:rsidRPr="00F26BDF">
          <w:rPr>
            <w:rStyle w:val="Hyperlink"/>
            <w:rFonts w:cs="Arial"/>
            <w:b/>
            <w:noProof/>
          </w:rPr>
          <w:t>NHS EPRR ASSURANCE</w:t>
        </w:r>
        <w:r>
          <w:rPr>
            <w:noProof/>
            <w:webHidden/>
          </w:rPr>
          <w:tab/>
        </w:r>
        <w:r>
          <w:rPr>
            <w:noProof/>
            <w:webHidden/>
          </w:rPr>
          <w:fldChar w:fldCharType="begin"/>
        </w:r>
        <w:r>
          <w:rPr>
            <w:noProof/>
            <w:webHidden/>
          </w:rPr>
          <w:instrText xml:space="preserve"> PAGEREF _Toc70604987 \h </w:instrText>
        </w:r>
        <w:r>
          <w:rPr>
            <w:noProof/>
            <w:webHidden/>
          </w:rPr>
        </w:r>
        <w:r>
          <w:rPr>
            <w:noProof/>
            <w:webHidden/>
          </w:rPr>
          <w:fldChar w:fldCharType="separate"/>
        </w:r>
        <w:r w:rsidR="001D72A3">
          <w:rPr>
            <w:noProof/>
            <w:webHidden/>
          </w:rPr>
          <w:t>11</w:t>
        </w:r>
        <w:r>
          <w:rPr>
            <w:noProof/>
            <w:webHidden/>
          </w:rPr>
          <w:fldChar w:fldCharType="end"/>
        </w:r>
      </w:hyperlink>
    </w:p>
    <w:p w14:paraId="248C60D4" w14:textId="0B5EF7A5" w:rsidR="00CB628F" w:rsidRPr="00040719" w:rsidRDefault="00CB628F">
      <w:pPr>
        <w:pStyle w:val="TOC1"/>
        <w:tabs>
          <w:tab w:val="left" w:pos="660"/>
          <w:tab w:val="right" w:leader="dot" w:pos="9016"/>
        </w:tabs>
        <w:rPr>
          <w:rFonts w:ascii="Calibri" w:hAnsi="Calibri"/>
          <w:noProof/>
          <w:szCs w:val="22"/>
        </w:rPr>
      </w:pPr>
      <w:hyperlink w:anchor="_Toc70604988" w:history="1">
        <w:r w:rsidRPr="00F26BDF">
          <w:rPr>
            <w:rStyle w:val="Hyperlink"/>
            <w:rFonts w:cs="Arial"/>
            <w:b/>
            <w:noProof/>
          </w:rPr>
          <w:t>10.0</w:t>
        </w:r>
        <w:r w:rsidRPr="00040719">
          <w:rPr>
            <w:rFonts w:ascii="Calibri" w:hAnsi="Calibri"/>
            <w:noProof/>
            <w:szCs w:val="22"/>
          </w:rPr>
          <w:tab/>
        </w:r>
        <w:r w:rsidRPr="00F26BDF">
          <w:rPr>
            <w:rStyle w:val="Hyperlink"/>
            <w:rFonts w:cs="Arial"/>
            <w:b/>
            <w:noProof/>
          </w:rPr>
          <w:t>CCG POLICY AND PLANS</w:t>
        </w:r>
        <w:r>
          <w:rPr>
            <w:noProof/>
            <w:webHidden/>
          </w:rPr>
          <w:tab/>
        </w:r>
        <w:r>
          <w:rPr>
            <w:noProof/>
            <w:webHidden/>
          </w:rPr>
          <w:fldChar w:fldCharType="begin"/>
        </w:r>
        <w:r>
          <w:rPr>
            <w:noProof/>
            <w:webHidden/>
          </w:rPr>
          <w:instrText xml:space="preserve"> PAGEREF _Toc70604988 \h </w:instrText>
        </w:r>
        <w:r>
          <w:rPr>
            <w:noProof/>
            <w:webHidden/>
          </w:rPr>
        </w:r>
        <w:r>
          <w:rPr>
            <w:noProof/>
            <w:webHidden/>
          </w:rPr>
          <w:fldChar w:fldCharType="separate"/>
        </w:r>
        <w:r w:rsidR="001D72A3">
          <w:rPr>
            <w:noProof/>
            <w:webHidden/>
          </w:rPr>
          <w:t>11</w:t>
        </w:r>
        <w:r>
          <w:rPr>
            <w:noProof/>
            <w:webHidden/>
          </w:rPr>
          <w:fldChar w:fldCharType="end"/>
        </w:r>
      </w:hyperlink>
    </w:p>
    <w:p w14:paraId="386B7783" w14:textId="5894E521" w:rsidR="00CB628F" w:rsidRPr="00040719" w:rsidRDefault="00CB628F">
      <w:pPr>
        <w:pStyle w:val="TOC1"/>
        <w:tabs>
          <w:tab w:val="left" w:pos="660"/>
          <w:tab w:val="right" w:leader="dot" w:pos="9016"/>
        </w:tabs>
        <w:rPr>
          <w:rFonts w:ascii="Calibri" w:hAnsi="Calibri"/>
          <w:noProof/>
          <w:szCs w:val="22"/>
        </w:rPr>
      </w:pPr>
      <w:hyperlink w:anchor="_Toc70604989" w:history="1">
        <w:r w:rsidRPr="00F26BDF">
          <w:rPr>
            <w:rStyle w:val="Hyperlink"/>
            <w:rFonts w:cs="Arial"/>
            <w:b/>
            <w:noProof/>
          </w:rPr>
          <w:t>11.0</w:t>
        </w:r>
        <w:r w:rsidRPr="00040719">
          <w:rPr>
            <w:rFonts w:ascii="Calibri" w:hAnsi="Calibri"/>
            <w:noProof/>
            <w:szCs w:val="22"/>
          </w:rPr>
          <w:tab/>
        </w:r>
        <w:r w:rsidRPr="00F26BDF">
          <w:rPr>
            <w:rStyle w:val="Hyperlink"/>
            <w:rFonts w:cs="Arial"/>
            <w:b/>
            <w:noProof/>
          </w:rPr>
          <w:t>CCG RESOURCES FOR EPRR</w:t>
        </w:r>
        <w:r>
          <w:rPr>
            <w:noProof/>
            <w:webHidden/>
          </w:rPr>
          <w:tab/>
        </w:r>
        <w:r>
          <w:rPr>
            <w:noProof/>
            <w:webHidden/>
          </w:rPr>
          <w:fldChar w:fldCharType="begin"/>
        </w:r>
        <w:r>
          <w:rPr>
            <w:noProof/>
            <w:webHidden/>
          </w:rPr>
          <w:instrText xml:space="preserve"> PAGEREF _Toc70604989 \h </w:instrText>
        </w:r>
        <w:r>
          <w:rPr>
            <w:noProof/>
            <w:webHidden/>
          </w:rPr>
        </w:r>
        <w:r>
          <w:rPr>
            <w:noProof/>
            <w:webHidden/>
          </w:rPr>
          <w:fldChar w:fldCharType="separate"/>
        </w:r>
        <w:r w:rsidR="001D72A3">
          <w:rPr>
            <w:noProof/>
            <w:webHidden/>
          </w:rPr>
          <w:t>14</w:t>
        </w:r>
        <w:r>
          <w:rPr>
            <w:noProof/>
            <w:webHidden/>
          </w:rPr>
          <w:fldChar w:fldCharType="end"/>
        </w:r>
      </w:hyperlink>
    </w:p>
    <w:p w14:paraId="0DD4B5E8" w14:textId="6A8759A2" w:rsidR="00CB628F" w:rsidRPr="00040719" w:rsidRDefault="00CB628F">
      <w:pPr>
        <w:pStyle w:val="TOC1"/>
        <w:tabs>
          <w:tab w:val="right" w:leader="dot" w:pos="9016"/>
        </w:tabs>
        <w:rPr>
          <w:rFonts w:ascii="Calibri" w:hAnsi="Calibri"/>
          <w:noProof/>
          <w:szCs w:val="22"/>
        </w:rPr>
      </w:pPr>
      <w:hyperlink w:anchor="_Toc70604990" w:history="1">
        <w:r w:rsidRPr="00F26BDF">
          <w:rPr>
            <w:rStyle w:val="Hyperlink"/>
            <w:rFonts w:cs="Arial"/>
            <w:b/>
            <w:bCs/>
            <w:noProof/>
          </w:rPr>
          <w:t>12.      CONCLUSION</w:t>
        </w:r>
        <w:r>
          <w:rPr>
            <w:noProof/>
            <w:webHidden/>
          </w:rPr>
          <w:tab/>
        </w:r>
        <w:r>
          <w:rPr>
            <w:noProof/>
            <w:webHidden/>
          </w:rPr>
          <w:fldChar w:fldCharType="begin"/>
        </w:r>
        <w:r>
          <w:rPr>
            <w:noProof/>
            <w:webHidden/>
          </w:rPr>
          <w:instrText xml:space="preserve"> PAGEREF _Toc70604990 \h </w:instrText>
        </w:r>
        <w:r>
          <w:rPr>
            <w:noProof/>
            <w:webHidden/>
          </w:rPr>
        </w:r>
        <w:r>
          <w:rPr>
            <w:noProof/>
            <w:webHidden/>
          </w:rPr>
          <w:fldChar w:fldCharType="separate"/>
        </w:r>
        <w:r w:rsidR="001D72A3">
          <w:rPr>
            <w:noProof/>
            <w:webHidden/>
          </w:rPr>
          <w:t>15</w:t>
        </w:r>
        <w:r>
          <w:rPr>
            <w:noProof/>
            <w:webHidden/>
          </w:rPr>
          <w:fldChar w:fldCharType="end"/>
        </w:r>
      </w:hyperlink>
    </w:p>
    <w:p w14:paraId="34534C8A" w14:textId="750FB9EE" w:rsidR="00CB628F" w:rsidRPr="00040719" w:rsidRDefault="00CB628F">
      <w:pPr>
        <w:pStyle w:val="TOC1"/>
        <w:tabs>
          <w:tab w:val="left" w:pos="660"/>
          <w:tab w:val="right" w:leader="dot" w:pos="9016"/>
        </w:tabs>
        <w:rPr>
          <w:rFonts w:ascii="Calibri" w:hAnsi="Calibri"/>
          <w:noProof/>
          <w:szCs w:val="22"/>
        </w:rPr>
      </w:pPr>
      <w:hyperlink w:anchor="_Toc70604991" w:history="1">
        <w:r w:rsidRPr="00F26BDF">
          <w:rPr>
            <w:rStyle w:val="Hyperlink"/>
            <w:rFonts w:cs="Arial"/>
            <w:b/>
            <w:bCs/>
            <w:noProof/>
          </w:rPr>
          <w:t>12.0</w:t>
        </w:r>
        <w:r w:rsidRPr="00040719">
          <w:rPr>
            <w:rFonts w:ascii="Calibri" w:hAnsi="Calibri"/>
            <w:noProof/>
            <w:szCs w:val="22"/>
          </w:rPr>
          <w:tab/>
        </w:r>
        <w:r w:rsidRPr="00F26BDF">
          <w:rPr>
            <w:rStyle w:val="Hyperlink"/>
            <w:rFonts w:cs="Arial"/>
            <w:b/>
            <w:noProof/>
          </w:rPr>
          <w:t>IMPLEMENTATION</w:t>
        </w:r>
        <w:r>
          <w:rPr>
            <w:noProof/>
            <w:webHidden/>
          </w:rPr>
          <w:tab/>
        </w:r>
        <w:r>
          <w:rPr>
            <w:noProof/>
            <w:webHidden/>
          </w:rPr>
          <w:fldChar w:fldCharType="begin"/>
        </w:r>
        <w:r>
          <w:rPr>
            <w:noProof/>
            <w:webHidden/>
          </w:rPr>
          <w:instrText xml:space="preserve"> PAGEREF _Toc70604991 \h </w:instrText>
        </w:r>
        <w:r>
          <w:rPr>
            <w:noProof/>
            <w:webHidden/>
          </w:rPr>
        </w:r>
        <w:r>
          <w:rPr>
            <w:noProof/>
            <w:webHidden/>
          </w:rPr>
          <w:fldChar w:fldCharType="separate"/>
        </w:r>
        <w:r w:rsidR="001D72A3">
          <w:rPr>
            <w:noProof/>
            <w:webHidden/>
          </w:rPr>
          <w:t>15</w:t>
        </w:r>
        <w:r>
          <w:rPr>
            <w:noProof/>
            <w:webHidden/>
          </w:rPr>
          <w:fldChar w:fldCharType="end"/>
        </w:r>
      </w:hyperlink>
    </w:p>
    <w:p w14:paraId="7AAC1A01" w14:textId="422E00CC" w:rsidR="00CB628F" w:rsidRPr="00040719" w:rsidRDefault="00CB628F">
      <w:pPr>
        <w:pStyle w:val="TOC1"/>
        <w:tabs>
          <w:tab w:val="left" w:pos="660"/>
          <w:tab w:val="right" w:leader="dot" w:pos="9016"/>
        </w:tabs>
        <w:rPr>
          <w:rFonts w:ascii="Calibri" w:hAnsi="Calibri"/>
          <w:noProof/>
          <w:szCs w:val="22"/>
        </w:rPr>
      </w:pPr>
      <w:hyperlink w:anchor="_Toc70604992" w:history="1">
        <w:r w:rsidRPr="00F26BDF">
          <w:rPr>
            <w:rStyle w:val="Hyperlink"/>
            <w:rFonts w:eastAsia="Calibri" w:cs="Arial"/>
            <w:b/>
            <w:noProof/>
            <w:lang w:eastAsia="en-US"/>
          </w:rPr>
          <w:t>1</w:t>
        </w:r>
        <w:r w:rsidRPr="00F26BDF">
          <w:rPr>
            <w:rStyle w:val="Hyperlink"/>
            <w:rFonts w:cs="Arial"/>
            <w:b/>
            <w:noProof/>
            <w:lang w:eastAsia="en-US"/>
          </w:rPr>
          <w:t>3.0</w:t>
        </w:r>
        <w:r w:rsidRPr="00040719">
          <w:rPr>
            <w:rFonts w:ascii="Calibri" w:hAnsi="Calibri"/>
            <w:noProof/>
            <w:szCs w:val="22"/>
          </w:rPr>
          <w:tab/>
        </w:r>
        <w:r w:rsidRPr="00F26BDF">
          <w:rPr>
            <w:rStyle w:val="Hyperlink"/>
            <w:rFonts w:cs="Arial"/>
            <w:b/>
            <w:noProof/>
            <w:lang w:eastAsia="en-US"/>
          </w:rPr>
          <w:t>DISSEMINATION, ACCESS &amp; TRAINING</w:t>
        </w:r>
        <w:r>
          <w:rPr>
            <w:noProof/>
            <w:webHidden/>
          </w:rPr>
          <w:tab/>
        </w:r>
        <w:r>
          <w:rPr>
            <w:noProof/>
            <w:webHidden/>
          </w:rPr>
          <w:fldChar w:fldCharType="begin"/>
        </w:r>
        <w:r>
          <w:rPr>
            <w:noProof/>
            <w:webHidden/>
          </w:rPr>
          <w:instrText xml:space="preserve"> PAGEREF _Toc70604992 \h </w:instrText>
        </w:r>
        <w:r>
          <w:rPr>
            <w:noProof/>
            <w:webHidden/>
          </w:rPr>
        </w:r>
        <w:r>
          <w:rPr>
            <w:noProof/>
            <w:webHidden/>
          </w:rPr>
          <w:fldChar w:fldCharType="separate"/>
        </w:r>
        <w:r w:rsidR="001D72A3">
          <w:rPr>
            <w:noProof/>
            <w:webHidden/>
          </w:rPr>
          <w:t>15</w:t>
        </w:r>
        <w:r>
          <w:rPr>
            <w:noProof/>
            <w:webHidden/>
          </w:rPr>
          <w:fldChar w:fldCharType="end"/>
        </w:r>
      </w:hyperlink>
    </w:p>
    <w:p w14:paraId="376E8A54" w14:textId="56BAE92D" w:rsidR="00CB628F" w:rsidRPr="00040719" w:rsidRDefault="00CB628F">
      <w:pPr>
        <w:pStyle w:val="TOC1"/>
        <w:tabs>
          <w:tab w:val="left" w:pos="660"/>
          <w:tab w:val="right" w:leader="dot" w:pos="9016"/>
        </w:tabs>
        <w:rPr>
          <w:rFonts w:ascii="Calibri" w:hAnsi="Calibri"/>
          <w:noProof/>
          <w:szCs w:val="22"/>
        </w:rPr>
      </w:pPr>
      <w:hyperlink w:anchor="_Toc70604993" w:history="1">
        <w:r w:rsidRPr="00F26BDF">
          <w:rPr>
            <w:rStyle w:val="Hyperlink"/>
            <w:rFonts w:eastAsia="Calibri" w:cs="Arial"/>
            <w:b/>
            <w:noProof/>
            <w:lang w:eastAsia="en-US"/>
          </w:rPr>
          <w:t>14.0</w:t>
        </w:r>
        <w:r w:rsidRPr="00040719">
          <w:rPr>
            <w:rFonts w:ascii="Calibri" w:hAnsi="Calibri"/>
            <w:noProof/>
            <w:szCs w:val="22"/>
          </w:rPr>
          <w:tab/>
        </w:r>
        <w:r w:rsidRPr="00F26BDF">
          <w:rPr>
            <w:rStyle w:val="Hyperlink"/>
            <w:rFonts w:cs="Arial"/>
            <w:b/>
            <w:noProof/>
          </w:rPr>
          <w:t>REVIEW, MONITORING AND COMPLIANCE</w:t>
        </w:r>
        <w:r>
          <w:rPr>
            <w:noProof/>
            <w:webHidden/>
          </w:rPr>
          <w:tab/>
        </w:r>
        <w:r>
          <w:rPr>
            <w:noProof/>
            <w:webHidden/>
          </w:rPr>
          <w:fldChar w:fldCharType="begin"/>
        </w:r>
        <w:r>
          <w:rPr>
            <w:noProof/>
            <w:webHidden/>
          </w:rPr>
          <w:instrText xml:space="preserve"> PAGEREF _Toc70604993 \h </w:instrText>
        </w:r>
        <w:r>
          <w:rPr>
            <w:noProof/>
            <w:webHidden/>
          </w:rPr>
        </w:r>
        <w:r>
          <w:rPr>
            <w:noProof/>
            <w:webHidden/>
          </w:rPr>
          <w:fldChar w:fldCharType="separate"/>
        </w:r>
        <w:r w:rsidR="001D72A3">
          <w:rPr>
            <w:noProof/>
            <w:webHidden/>
          </w:rPr>
          <w:t>15</w:t>
        </w:r>
        <w:r>
          <w:rPr>
            <w:noProof/>
            <w:webHidden/>
          </w:rPr>
          <w:fldChar w:fldCharType="end"/>
        </w:r>
      </w:hyperlink>
    </w:p>
    <w:p w14:paraId="26BD9CFF" w14:textId="4668B90B" w:rsidR="00CB628F" w:rsidRPr="00040719" w:rsidRDefault="00CB628F">
      <w:pPr>
        <w:pStyle w:val="TOC1"/>
        <w:tabs>
          <w:tab w:val="left" w:pos="660"/>
          <w:tab w:val="right" w:leader="dot" w:pos="9016"/>
        </w:tabs>
        <w:rPr>
          <w:rFonts w:ascii="Calibri" w:hAnsi="Calibri"/>
          <w:noProof/>
          <w:szCs w:val="22"/>
        </w:rPr>
      </w:pPr>
      <w:hyperlink w:anchor="_Toc70604994" w:history="1">
        <w:r w:rsidRPr="00F26BDF">
          <w:rPr>
            <w:rStyle w:val="Hyperlink"/>
            <w:rFonts w:cs="Arial"/>
            <w:b/>
            <w:noProof/>
          </w:rPr>
          <w:t>15.0</w:t>
        </w:r>
        <w:r w:rsidRPr="00040719">
          <w:rPr>
            <w:rFonts w:ascii="Calibri" w:hAnsi="Calibri"/>
            <w:noProof/>
            <w:szCs w:val="22"/>
          </w:rPr>
          <w:tab/>
        </w:r>
        <w:r w:rsidRPr="00F26BDF">
          <w:rPr>
            <w:rStyle w:val="Hyperlink"/>
            <w:rFonts w:cs="Arial"/>
            <w:b/>
            <w:noProof/>
          </w:rPr>
          <w:t>REFERENCES AND LINKS TO OTHER DOCUMENTS (for this policy)</w:t>
        </w:r>
        <w:r>
          <w:rPr>
            <w:noProof/>
            <w:webHidden/>
          </w:rPr>
          <w:tab/>
        </w:r>
        <w:r>
          <w:rPr>
            <w:noProof/>
            <w:webHidden/>
          </w:rPr>
          <w:fldChar w:fldCharType="begin"/>
        </w:r>
        <w:r>
          <w:rPr>
            <w:noProof/>
            <w:webHidden/>
          </w:rPr>
          <w:instrText xml:space="preserve"> PAGEREF _Toc70604994 \h </w:instrText>
        </w:r>
        <w:r>
          <w:rPr>
            <w:noProof/>
            <w:webHidden/>
          </w:rPr>
        </w:r>
        <w:r>
          <w:rPr>
            <w:noProof/>
            <w:webHidden/>
          </w:rPr>
          <w:fldChar w:fldCharType="separate"/>
        </w:r>
        <w:r w:rsidR="001D72A3">
          <w:rPr>
            <w:noProof/>
            <w:webHidden/>
          </w:rPr>
          <w:t>15</w:t>
        </w:r>
        <w:r>
          <w:rPr>
            <w:noProof/>
            <w:webHidden/>
          </w:rPr>
          <w:fldChar w:fldCharType="end"/>
        </w:r>
      </w:hyperlink>
    </w:p>
    <w:p w14:paraId="533CAC5E" w14:textId="77777777" w:rsidR="00B11B6B" w:rsidRDefault="00B11B6B">
      <w:pPr>
        <w:tabs>
          <w:tab w:val="left" w:pos="440"/>
          <w:tab w:val="right" w:leader="dot" w:pos="10065"/>
        </w:tabs>
        <w:spacing w:after="0"/>
        <w:rPr>
          <w:rFonts w:ascii="Calibri" w:eastAsia="font588" w:hAnsi="Calibri" w:cs="font588"/>
          <w:b/>
          <w:bCs/>
          <w:szCs w:val="22"/>
          <w:lang w:val="en-US" w:eastAsia="ja-JP"/>
        </w:rPr>
      </w:pPr>
      <w:r>
        <w:fldChar w:fldCharType="end"/>
      </w:r>
    </w:p>
    <w:p w14:paraId="59AD61CC" w14:textId="77777777" w:rsidR="00B11B6B" w:rsidRDefault="00B11B6B">
      <w:pPr>
        <w:spacing w:before="0" w:line="276" w:lineRule="auto"/>
        <w:jc w:val="left"/>
        <w:rPr>
          <w:rFonts w:ascii="Calibri" w:eastAsia="font588" w:hAnsi="Calibri" w:cs="font588"/>
          <w:b/>
          <w:bCs/>
          <w:szCs w:val="22"/>
          <w:lang w:val="en-US" w:eastAsia="ja-JP"/>
        </w:rPr>
      </w:pPr>
    </w:p>
    <w:p w14:paraId="6B8DAC2B" w14:textId="77777777" w:rsidR="00B11B6B" w:rsidRDefault="00B11B6B">
      <w:pPr>
        <w:pageBreakBefore/>
        <w:tabs>
          <w:tab w:val="left" w:pos="440"/>
          <w:tab w:val="right" w:leader="dot" w:pos="10065"/>
        </w:tabs>
        <w:spacing w:after="0"/>
        <w:rPr>
          <w:rFonts w:ascii="Calibri" w:eastAsia="font588" w:hAnsi="Calibri" w:cs="font588"/>
          <w:b/>
          <w:bCs/>
          <w:szCs w:val="22"/>
          <w:lang w:val="en-US" w:eastAsia="ja-JP"/>
        </w:rPr>
      </w:pPr>
    </w:p>
    <w:p w14:paraId="3512DE64" w14:textId="77777777" w:rsidR="00B11B6B" w:rsidRDefault="00B11B6B">
      <w:pPr>
        <w:pStyle w:val="Heading1"/>
        <w:numPr>
          <w:ilvl w:val="0"/>
          <w:numId w:val="2"/>
        </w:numPr>
      </w:pPr>
      <w:bookmarkStart w:id="0" w:name="_Toc70604979"/>
      <w:r>
        <w:rPr>
          <w:rFonts w:ascii="Arial" w:hAnsi="Arial" w:cs="Arial"/>
          <w:b/>
          <w:color w:val="auto"/>
          <w:sz w:val="24"/>
          <w:szCs w:val="24"/>
        </w:rPr>
        <w:t>INTRODUCTION</w:t>
      </w:r>
      <w:bookmarkEnd w:id="0"/>
      <w:r>
        <w:rPr>
          <w:rFonts w:ascii="Arial" w:hAnsi="Arial" w:cs="Arial"/>
          <w:b/>
          <w:sz w:val="24"/>
          <w:szCs w:val="24"/>
        </w:rPr>
        <w:t xml:space="preserve"> </w:t>
      </w:r>
    </w:p>
    <w:p w14:paraId="2FEA640B" w14:textId="77777777" w:rsidR="00B11B6B" w:rsidRDefault="00B11B6B">
      <w:pPr>
        <w:pStyle w:val="Default"/>
        <w:ind w:left="709"/>
        <w:rPr>
          <w:i/>
          <w:iCs/>
          <w:color w:val="00B0F0"/>
          <w:sz w:val="22"/>
          <w:szCs w:val="22"/>
        </w:rPr>
      </w:pPr>
    </w:p>
    <w:p w14:paraId="4E0CB8EF" w14:textId="77777777" w:rsidR="00AF3CD1" w:rsidRPr="00C12A16" w:rsidRDefault="00AF3CD1" w:rsidP="00AF3CD1">
      <w:pPr>
        <w:pStyle w:val="Default"/>
        <w:ind w:left="709"/>
        <w:jc w:val="both"/>
        <w:rPr>
          <w:sz w:val="22"/>
          <w:szCs w:val="22"/>
        </w:rPr>
      </w:pPr>
      <w:r w:rsidRPr="00C12A16">
        <w:rPr>
          <w:sz w:val="22"/>
          <w:szCs w:val="22"/>
        </w:rPr>
        <w:t xml:space="preserve">The NHS England Emergency Preparedness Resilience and Response (EPRR) Framework provides the framework for NHS funded organisations in England to help with meeting the requirements of the Civil Contingencies Act 2004 (CCA 2004), the NHS Act 2006 as amended by the Health and Social Care Act 2012 and the NHS Standard Contract. </w:t>
      </w:r>
    </w:p>
    <w:p w14:paraId="591F98D7" w14:textId="77777777" w:rsidR="00AF3CD1" w:rsidRPr="00C12A16" w:rsidRDefault="00AF3CD1" w:rsidP="00AF3CD1">
      <w:pPr>
        <w:pStyle w:val="Default"/>
        <w:ind w:left="709"/>
        <w:jc w:val="both"/>
        <w:rPr>
          <w:sz w:val="22"/>
          <w:szCs w:val="22"/>
        </w:rPr>
      </w:pPr>
    </w:p>
    <w:p w14:paraId="2C375F27" w14:textId="77777777" w:rsidR="00AF3CD1" w:rsidRPr="00C12A16" w:rsidRDefault="00AF3CD1" w:rsidP="00AF3CD1">
      <w:pPr>
        <w:pStyle w:val="Default"/>
        <w:ind w:left="709"/>
        <w:jc w:val="both"/>
        <w:rPr>
          <w:sz w:val="22"/>
          <w:szCs w:val="22"/>
        </w:rPr>
      </w:pPr>
      <w:r w:rsidRPr="00C12A16">
        <w:rPr>
          <w:sz w:val="22"/>
          <w:szCs w:val="22"/>
        </w:rPr>
        <w:t xml:space="preserve">In essence it describes how the NHS in England will go about its duty to be properly prepared for dealing with emergencies. Oversight of EPRR activities is led by the NHS through Local Health Resilience Partnerships (LHRPs). </w:t>
      </w:r>
    </w:p>
    <w:p w14:paraId="634A15FC" w14:textId="77777777" w:rsidR="00AF3CD1" w:rsidRPr="00C12A16" w:rsidRDefault="00AF3CD1" w:rsidP="00AF3CD1">
      <w:pPr>
        <w:pStyle w:val="Default"/>
        <w:ind w:left="709"/>
        <w:jc w:val="both"/>
        <w:rPr>
          <w:sz w:val="22"/>
          <w:szCs w:val="22"/>
        </w:rPr>
      </w:pPr>
    </w:p>
    <w:p w14:paraId="2C3A54F1" w14:textId="105F831B" w:rsidR="00AF3CD1" w:rsidRPr="00C12A16" w:rsidRDefault="00AF3CD1" w:rsidP="00AF3CD1">
      <w:pPr>
        <w:pStyle w:val="Default"/>
        <w:ind w:left="709"/>
        <w:jc w:val="both"/>
        <w:rPr>
          <w:sz w:val="22"/>
          <w:szCs w:val="22"/>
        </w:rPr>
      </w:pPr>
      <w:r w:rsidRPr="00C12A16">
        <w:rPr>
          <w:sz w:val="22"/>
          <w:szCs w:val="22"/>
        </w:rPr>
        <w:t xml:space="preserve">Further, under the Civil Contingencies Act, the </w:t>
      </w:r>
      <w:r w:rsidR="007C5EB3" w:rsidRPr="00C12A16">
        <w:rPr>
          <w:sz w:val="22"/>
          <w:szCs w:val="22"/>
        </w:rPr>
        <w:t>principal</w:t>
      </w:r>
      <w:r w:rsidRPr="00C12A16">
        <w:rPr>
          <w:sz w:val="22"/>
          <w:szCs w:val="22"/>
        </w:rPr>
        <w:t xml:space="preserve"> mechanism for multi-agency co-operation at the local level is the Local Resilience Forum (LRF). LRFs are generally based on local police </w:t>
      </w:r>
      <w:r w:rsidR="007C5EB3" w:rsidRPr="00C12A16">
        <w:rPr>
          <w:sz w:val="22"/>
          <w:szCs w:val="22"/>
        </w:rPr>
        <w:t>areas and</w:t>
      </w:r>
      <w:r w:rsidRPr="00C12A16">
        <w:rPr>
          <w:sz w:val="22"/>
          <w:szCs w:val="22"/>
        </w:rPr>
        <w:t xml:space="preserve"> bring together all the organisations that have a duty to co-operate under the Civil Contingencies Act, along with others who would be involved in the response. The purpose of the LRF process is to ensure effective delivery of those duties under the Act that need to be developed in a multi-agency environment.</w:t>
      </w:r>
    </w:p>
    <w:p w14:paraId="54D966B5" w14:textId="77777777" w:rsidR="00AF3CD1" w:rsidRPr="00C12A16" w:rsidRDefault="00AF3CD1" w:rsidP="00AF3CD1">
      <w:pPr>
        <w:pStyle w:val="Default"/>
        <w:ind w:left="709"/>
        <w:jc w:val="both"/>
        <w:rPr>
          <w:sz w:val="22"/>
          <w:szCs w:val="22"/>
        </w:rPr>
      </w:pPr>
    </w:p>
    <w:p w14:paraId="24611892" w14:textId="3B3552C3" w:rsidR="00AF3CD1" w:rsidRPr="00C12A16" w:rsidRDefault="00AF3CD1" w:rsidP="007C5EB3">
      <w:pPr>
        <w:pStyle w:val="Default"/>
        <w:ind w:left="709"/>
        <w:jc w:val="both"/>
        <w:rPr>
          <w:sz w:val="22"/>
          <w:szCs w:val="22"/>
        </w:rPr>
      </w:pPr>
      <w:r w:rsidRPr="00C12A16">
        <w:rPr>
          <w:sz w:val="22"/>
          <w:szCs w:val="22"/>
        </w:rPr>
        <w:t>There is a significant overlap in the scope of consideration of the LHRP and LRF in terms of the likely impact on NHS funded and other commissioned services and there is a clear expectation that NHSE would seek to work through and with CCGs to ensure a response is effectively managed.</w:t>
      </w:r>
    </w:p>
    <w:p w14:paraId="3BF84C97" w14:textId="77777777" w:rsidR="00B11B6B" w:rsidRDefault="00B11B6B">
      <w:pPr>
        <w:pStyle w:val="Heading1"/>
      </w:pPr>
      <w:bookmarkStart w:id="1" w:name="_Toc70604980"/>
      <w:r>
        <w:rPr>
          <w:rFonts w:ascii="Arial" w:hAnsi="Arial" w:cs="Arial"/>
          <w:b/>
          <w:color w:val="auto"/>
          <w:sz w:val="24"/>
          <w:szCs w:val="24"/>
        </w:rPr>
        <w:t xml:space="preserve">2.0 </w:t>
      </w:r>
      <w:r>
        <w:rPr>
          <w:rFonts w:ascii="Arial" w:hAnsi="Arial" w:cs="Arial"/>
          <w:b/>
          <w:color w:val="auto"/>
          <w:sz w:val="24"/>
          <w:szCs w:val="24"/>
        </w:rPr>
        <w:tab/>
        <w:t>SCOPE</w:t>
      </w:r>
      <w:bookmarkEnd w:id="1"/>
      <w:r>
        <w:rPr>
          <w:rFonts w:ascii="Arial" w:hAnsi="Arial" w:cs="Arial"/>
          <w:b/>
          <w:color w:val="auto"/>
          <w:sz w:val="24"/>
          <w:szCs w:val="24"/>
        </w:rPr>
        <w:t xml:space="preserve"> </w:t>
      </w:r>
    </w:p>
    <w:p w14:paraId="3F9F157F" w14:textId="77777777" w:rsidR="00B11B6B" w:rsidRDefault="00B11B6B">
      <w:pPr>
        <w:pStyle w:val="Default"/>
        <w:ind w:left="709"/>
        <w:rPr>
          <w:i/>
          <w:iCs/>
          <w:color w:val="00B0F0"/>
          <w:sz w:val="22"/>
          <w:szCs w:val="22"/>
        </w:rPr>
      </w:pPr>
    </w:p>
    <w:p w14:paraId="41E62A62" w14:textId="07B4E646" w:rsidR="00B11B6B" w:rsidRPr="007C5EB3" w:rsidRDefault="00AF3CD1" w:rsidP="007C5EB3">
      <w:pPr>
        <w:pStyle w:val="Default"/>
        <w:ind w:left="709"/>
        <w:jc w:val="both"/>
        <w:rPr>
          <w:sz w:val="22"/>
          <w:szCs w:val="22"/>
        </w:rPr>
      </w:pPr>
      <w:r w:rsidRPr="00C12A16">
        <w:rPr>
          <w:sz w:val="22"/>
          <w:szCs w:val="22"/>
        </w:rPr>
        <w:t xml:space="preserve">This policy applies to all CCG staff, specifically CCG emergency planning and strategic planning staff. </w:t>
      </w:r>
    </w:p>
    <w:p w14:paraId="35F4B9D5" w14:textId="77777777" w:rsidR="00B11B6B" w:rsidRDefault="00B11B6B">
      <w:pPr>
        <w:pStyle w:val="Heading1"/>
      </w:pPr>
      <w:bookmarkStart w:id="2" w:name="_Toc70604981"/>
      <w:r>
        <w:rPr>
          <w:rFonts w:ascii="Arial" w:hAnsi="Arial" w:cs="Arial"/>
          <w:b/>
          <w:color w:val="auto"/>
          <w:sz w:val="24"/>
          <w:szCs w:val="24"/>
        </w:rPr>
        <w:t>3.0</w:t>
      </w:r>
      <w:r>
        <w:rPr>
          <w:rFonts w:ascii="Arial" w:hAnsi="Arial" w:cs="Arial"/>
          <w:b/>
          <w:color w:val="auto"/>
          <w:sz w:val="24"/>
          <w:szCs w:val="24"/>
        </w:rPr>
        <w:tab/>
        <w:t>PURPOSE</w:t>
      </w:r>
      <w:bookmarkEnd w:id="2"/>
      <w:r>
        <w:rPr>
          <w:rFonts w:ascii="Arial" w:hAnsi="Arial" w:cs="Arial"/>
          <w:b/>
          <w:color w:val="auto"/>
          <w:sz w:val="24"/>
          <w:szCs w:val="24"/>
        </w:rPr>
        <w:t xml:space="preserve"> </w:t>
      </w:r>
    </w:p>
    <w:p w14:paraId="0889FE1E" w14:textId="77777777" w:rsidR="00B11B6B" w:rsidRDefault="00B11B6B">
      <w:pPr>
        <w:pStyle w:val="Default"/>
        <w:ind w:left="1256" w:hanging="547"/>
        <w:rPr>
          <w:i/>
          <w:iCs/>
          <w:color w:val="00B0F0"/>
          <w:sz w:val="22"/>
          <w:szCs w:val="22"/>
        </w:rPr>
      </w:pPr>
    </w:p>
    <w:p w14:paraId="30E6814B" w14:textId="77777777" w:rsidR="00B11B6B" w:rsidRPr="00C12A16" w:rsidRDefault="00AF3CD1" w:rsidP="00AF3CD1">
      <w:pPr>
        <w:pStyle w:val="Default"/>
        <w:ind w:left="709"/>
        <w:jc w:val="both"/>
        <w:rPr>
          <w:sz w:val="22"/>
          <w:szCs w:val="22"/>
        </w:rPr>
      </w:pPr>
      <w:r w:rsidRPr="00C12A16">
        <w:rPr>
          <w:sz w:val="22"/>
          <w:szCs w:val="22"/>
        </w:rPr>
        <w:t>The purpose of this document is to ensure that the CCG has a policy and work plan associated with emergency planning which spans the LHRP and LRF scope and supports the building of resilience to incidents in NELCCG and its providers</w:t>
      </w:r>
      <w:r w:rsidR="004E1299" w:rsidRPr="00C12A16">
        <w:rPr>
          <w:sz w:val="22"/>
          <w:szCs w:val="22"/>
        </w:rPr>
        <w:t xml:space="preserve">; whilst satisfying the requirements of the CCG as a Category 2 responder under the Civil Contingencies Act 2004 and NHS England Core Standards for Emergency Planning. </w:t>
      </w:r>
    </w:p>
    <w:p w14:paraId="15FADD29" w14:textId="77777777" w:rsidR="00B11B6B" w:rsidRDefault="00B11B6B">
      <w:pPr>
        <w:pStyle w:val="Heading1"/>
        <w:tabs>
          <w:tab w:val="left" w:pos="709"/>
        </w:tabs>
      </w:pPr>
      <w:bookmarkStart w:id="3" w:name="_Toc70604982"/>
      <w:r>
        <w:rPr>
          <w:rFonts w:ascii="Arial" w:hAnsi="Arial" w:cs="Arial"/>
          <w:b/>
          <w:color w:val="auto"/>
          <w:sz w:val="24"/>
          <w:szCs w:val="24"/>
        </w:rPr>
        <w:t>4.0</w:t>
      </w:r>
      <w:r>
        <w:rPr>
          <w:rFonts w:ascii="Arial" w:hAnsi="Arial" w:cs="Arial"/>
          <w:b/>
          <w:color w:val="auto"/>
          <w:sz w:val="24"/>
          <w:szCs w:val="24"/>
        </w:rPr>
        <w:tab/>
        <w:t>IMPACT ANALYSES</w:t>
      </w:r>
      <w:bookmarkEnd w:id="3"/>
    </w:p>
    <w:p w14:paraId="5403293D" w14:textId="77777777" w:rsidR="00B11B6B" w:rsidRDefault="00B11B6B">
      <w:pPr>
        <w:pStyle w:val="Default"/>
        <w:ind w:left="720"/>
        <w:contextualSpacing/>
        <w:rPr>
          <w:sz w:val="22"/>
          <w:szCs w:val="22"/>
        </w:rPr>
      </w:pPr>
    </w:p>
    <w:p w14:paraId="1851DD9B" w14:textId="77777777" w:rsidR="00B11B6B" w:rsidRPr="004E72C3" w:rsidRDefault="00B11B6B">
      <w:pPr>
        <w:pStyle w:val="Default"/>
        <w:ind w:left="720"/>
        <w:contextualSpacing/>
        <w:rPr>
          <w:rStyle w:val="SubtleEmphasis"/>
          <w:i w:val="0"/>
          <w:iCs w:val="0"/>
          <w:color w:val="auto"/>
        </w:rPr>
      </w:pPr>
      <w:r w:rsidRPr="004E72C3">
        <w:rPr>
          <w:rStyle w:val="SubtleEmphasis"/>
          <w:i w:val="0"/>
          <w:iCs w:val="0"/>
          <w:color w:val="auto"/>
        </w:rPr>
        <w:t>4.1 Equality</w:t>
      </w:r>
    </w:p>
    <w:p w14:paraId="17AF51FC" w14:textId="77777777" w:rsidR="00B11B6B" w:rsidRDefault="00B11B6B">
      <w:pPr>
        <w:pStyle w:val="Default"/>
        <w:contextualSpacing/>
        <w:rPr>
          <w:i/>
          <w:iCs/>
          <w:color w:val="00B0F0"/>
          <w:sz w:val="22"/>
          <w:szCs w:val="22"/>
        </w:rPr>
      </w:pPr>
    </w:p>
    <w:p w14:paraId="3BE8FFBF" w14:textId="77777777" w:rsidR="00B11B6B" w:rsidRPr="00C12A16" w:rsidRDefault="00B11B6B" w:rsidP="004E1299">
      <w:pPr>
        <w:pStyle w:val="Default"/>
        <w:ind w:left="709"/>
        <w:jc w:val="both"/>
        <w:rPr>
          <w:sz w:val="22"/>
          <w:szCs w:val="22"/>
        </w:rPr>
      </w:pPr>
      <w:r w:rsidRPr="00C12A16">
        <w:rPr>
          <w:sz w:val="22"/>
          <w:szCs w:val="22"/>
        </w:rPr>
        <w:t>The CCG is committed to creating an environment where everyone is treated equitably and the potential for discrimination is identified and mitigated.</w:t>
      </w:r>
    </w:p>
    <w:p w14:paraId="74A81C00" w14:textId="77777777" w:rsidR="00B11B6B" w:rsidRPr="00C12A16" w:rsidRDefault="00B11B6B" w:rsidP="004E1299">
      <w:pPr>
        <w:pStyle w:val="Default"/>
        <w:ind w:left="709"/>
        <w:jc w:val="both"/>
        <w:rPr>
          <w:sz w:val="22"/>
          <w:szCs w:val="22"/>
        </w:rPr>
      </w:pPr>
    </w:p>
    <w:p w14:paraId="70470F21" w14:textId="77777777" w:rsidR="004E1299" w:rsidRPr="00C12A16" w:rsidRDefault="00B11B6B" w:rsidP="004E1299">
      <w:pPr>
        <w:pStyle w:val="Default"/>
        <w:ind w:left="709"/>
        <w:jc w:val="both"/>
        <w:rPr>
          <w:sz w:val="22"/>
          <w:szCs w:val="22"/>
        </w:rPr>
      </w:pPr>
      <w:r w:rsidRPr="00C12A16">
        <w:rPr>
          <w:sz w:val="22"/>
          <w:szCs w:val="22"/>
        </w:rPr>
        <w:t>All policies require an Equality Impact Assessment, document authors, are required to complete an Equality Impact Assessment as part of the consultation process.</w:t>
      </w:r>
    </w:p>
    <w:p w14:paraId="711C4AD0" w14:textId="77777777" w:rsidR="004E1299" w:rsidRPr="00C12A16" w:rsidRDefault="004E1299" w:rsidP="004E1299">
      <w:pPr>
        <w:pStyle w:val="Default"/>
        <w:ind w:left="709"/>
        <w:jc w:val="both"/>
        <w:rPr>
          <w:sz w:val="22"/>
          <w:szCs w:val="22"/>
        </w:rPr>
      </w:pPr>
    </w:p>
    <w:p w14:paraId="656F0811" w14:textId="77777777" w:rsidR="004E1299" w:rsidRDefault="004E1299" w:rsidP="004E1299">
      <w:pPr>
        <w:pStyle w:val="Default"/>
        <w:ind w:left="709"/>
        <w:jc w:val="both"/>
        <w:rPr>
          <w:i/>
          <w:iCs/>
          <w:color w:val="365F91"/>
          <w:sz w:val="22"/>
          <w:szCs w:val="22"/>
        </w:rPr>
      </w:pPr>
      <w:r w:rsidRPr="00C12A16">
        <w:rPr>
          <w:sz w:val="22"/>
          <w:szCs w:val="22"/>
        </w:rPr>
        <w:t>An Equality Impact Assessment was completed when this document was reviewed on 28</w:t>
      </w:r>
      <w:r w:rsidRPr="00C12A16">
        <w:rPr>
          <w:sz w:val="22"/>
          <w:szCs w:val="22"/>
          <w:vertAlign w:val="superscript"/>
        </w:rPr>
        <w:t>th</w:t>
      </w:r>
      <w:r w:rsidRPr="00C12A16">
        <w:rPr>
          <w:sz w:val="22"/>
          <w:szCs w:val="22"/>
        </w:rPr>
        <w:t xml:space="preserve"> April 2021 and rated “Green”. </w:t>
      </w:r>
    </w:p>
    <w:p w14:paraId="6F9573C7" w14:textId="77777777" w:rsidR="00B11B6B" w:rsidRDefault="00B11B6B">
      <w:pPr>
        <w:pStyle w:val="Default"/>
        <w:ind w:left="720"/>
        <w:contextualSpacing/>
      </w:pPr>
      <w:r>
        <w:rPr>
          <w:i/>
          <w:iCs/>
          <w:color w:val="365F91"/>
          <w:sz w:val="22"/>
          <w:szCs w:val="22"/>
        </w:rPr>
        <w:t>.</w:t>
      </w:r>
    </w:p>
    <w:p w14:paraId="53877FF2" w14:textId="77777777" w:rsidR="00B11B6B" w:rsidRDefault="00B11B6B">
      <w:pPr>
        <w:pStyle w:val="Default"/>
        <w:ind w:left="720"/>
        <w:contextualSpacing/>
        <w:rPr>
          <w:i/>
          <w:iCs/>
          <w:color w:val="00B0F0"/>
          <w:sz w:val="22"/>
          <w:szCs w:val="22"/>
        </w:rPr>
      </w:pPr>
    </w:p>
    <w:p w14:paraId="10443B10" w14:textId="77777777" w:rsidR="00B11B6B" w:rsidRDefault="00B11B6B">
      <w:pPr>
        <w:pStyle w:val="Default"/>
        <w:ind w:left="720"/>
        <w:contextualSpacing/>
      </w:pPr>
    </w:p>
    <w:p w14:paraId="249A879E" w14:textId="77777777" w:rsidR="00B11B6B" w:rsidRPr="00C12A16" w:rsidRDefault="00B11B6B" w:rsidP="004E1299">
      <w:pPr>
        <w:pStyle w:val="Default"/>
        <w:ind w:left="709"/>
        <w:jc w:val="both"/>
        <w:rPr>
          <w:sz w:val="22"/>
          <w:szCs w:val="22"/>
        </w:rPr>
      </w:pPr>
      <w:r w:rsidRPr="00C12A16">
        <w:rPr>
          <w:sz w:val="22"/>
          <w:szCs w:val="22"/>
        </w:rPr>
        <w:t xml:space="preserve">As a result of preforming the screening analysis, the policy does not appear to have any adverse effects on people who share Protected </w:t>
      </w:r>
      <w:proofErr w:type="gramStart"/>
      <w:r w:rsidRPr="00C12A16">
        <w:rPr>
          <w:sz w:val="22"/>
          <w:szCs w:val="22"/>
        </w:rPr>
        <w:t>Characteristics</w:t>
      </w:r>
      <w:proofErr w:type="gramEnd"/>
      <w:r w:rsidRPr="00C12A16">
        <w:rPr>
          <w:sz w:val="22"/>
          <w:szCs w:val="22"/>
        </w:rPr>
        <w:t xml:space="preserve"> and no further actions are recommended at this stage</w:t>
      </w:r>
    </w:p>
    <w:p w14:paraId="575171B8" w14:textId="77777777" w:rsidR="00B11B6B" w:rsidRPr="00C12A16" w:rsidRDefault="00B11B6B" w:rsidP="004E1299">
      <w:pPr>
        <w:pStyle w:val="Default"/>
        <w:ind w:left="709"/>
        <w:jc w:val="both"/>
        <w:rPr>
          <w:sz w:val="22"/>
          <w:szCs w:val="22"/>
        </w:rPr>
      </w:pPr>
      <w:r w:rsidRPr="00C12A16">
        <w:rPr>
          <w:sz w:val="22"/>
          <w:szCs w:val="22"/>
        </w:rPr>
        <w:t xml:space="preserve"> </w:t>
      </w:r>
    </w:p>
    <w:p w14:paraId="6A8477F5" w14:textId="77777777" w:rsidR="00B11B6B" w:rsidRPr="00C12A16" w:rsidRDefault="00B11B6B" w:rsidP="004E1299">
      <w:pPr>
        <w:pStyle w:val="Default"/>
        <w:ind w:left="709"/>
        <w:jc w:val="both"/>
        <w:rPr>
          <w:sz w:val="22"/>
          <w:szCs w:val="22"/>
        </w:rPr>
      </w:pPr>
      <w:r w:rsidRPr="00C12A16">
        <w:rPr>
          <w:sz w:val="22"/>
          <w:szCs w:val="22"/>
        </w:rPr>
        <w:t xml:space="preserve">The assessment needs to be approved by EQUIA panel before being presented for approval. </w:t>
      </w:r>
    </w:p>
    <w:p w14:paraId="76FAE338" w14:textId="77777777" w:rsidR="00B11B6B" w:rsidRPr="00C12A16" w:rsidRDefault="00B11B6B" w:rsidP="004E1299">
      <w:pPr>
        <w:pStyle w:val="Default"/>
        <w:ind w:left="709"/>
        <w:jc w:val="both"/>
        <w:rPr>
          <w:sz w:val="22"/>
          <w:szCs w:val="22"/>
        </w:rPr>
      </w:pPr>
    </w:p>
    <w:p w14:paraId="1D361F82" w14:textId="41F2C054" w:rsidR="00B11B6B" w:rsidRPr="007C5EB3" w:rsidRDefault="00B11B6B" w:rsidP="007C5EB3">
      <w:pPr>
        <w:pStyle w:val="Default"/>
        <w:ind w:left="709"/>
        <w:jc w:val="both"/>
      </w:pPr>
      <w:r w:rsidRPr="00C12A16">
        <w:rPr>
          <w:sz w:val="22"/>
          <w:szCs w:val="22"/>
        </w:rPr>
        <w:t>The full EIA should be submitted with the policy at the approval stage and made available as a separate document to be placed alongside the policy once approved</w:t>
      </w:r>
      <w:r>
        <w:rPr>
          <w:i/>
          <w:iCs/>
          <w:color w:val="365F91"/>
          <w:sz w:val="22"/>
          <w:szCs w:val="22"/>
        </w:rPr>
        <w:t>.</w:t>
      </w:r>
    </w:p>
    <w:p w14:paraId="406375D3" w14:textId="77777777" w:rsidR="00B11B6B" w:rsidRDefault="00B11B6B">
      <w:pPr>
        <w:pStyle w:val="Default"/>
        <w:ind w:left="720"/>
        <w:rPr>
          <w:rFonts w:ascii="Calibri" w:hAnsi="Calibri" w:cs="Calibri"/>
          <w:b/>
          <w:i/>
          <w:sz w:val="22"/>
          <w:szCs w:val="22"/>
        </w:rPr>
      </w:pPr>
    </w:p>
    <w:p w14:paraId="42ABF0F3" w14:textId="77777777" w:rsidR="00B11B6B" w:rsidRPr="004E72C3" w:rsidRDefault="00B11B6B">
      <w:pPr>
        <w:pStyle w:val="Default"/>
        <w:ind w:left="720"/>
        <w:rPr>
          <w:rStyle w:val="SubtleEmphasis"/>
          <w:i w:val="0"/>
          <w:iCs w:val="0"/>
          <w:color w:val="auto"/>
        </w:rPr>
      </w:pPr>
      <w:r w:rsidRPr="004E72C3">
        <w:rPr>
          <w:rStyle w:val="SubtleEmphasis"/>
          <w:i w:val="0"/>
          <w:iCs w:val="0"/>
          <w:color w:val="auto"/>
        </w:rPr>
        <w:t>4.2 Bribery Act 2010</w:t>
      </w:r>
    </w:p>
    <w:p w14:paraId="59477730" w14:textId="77777777" w:rsidR="00B11B6B" w:rsidRDefault="00B11B6B">
      <w:pPr>
        <w:pStyle w:val="Default"/>
        <w:ind w:left="720"/>
        <w:rPr>
          <w:i/>
          <w:sz w:val="22"/>
          <w:szCs w:val="22"/>
        </w:rPr>
      </w:pPr>
    </w:p>
    <w:p w14:paraId="25B44F45" w14:textId="77777777" w:rsidR="00B11B6B" w:rsidRPr="00C12A16" w:rsidRDefault="00B11B6B" w:rsidP="004E1299">
      <w:pPr>
        <w:pStyle w:val="Default"/>
        <w:ind w:left="709"/>
        <w:jc w:val="both"/>
        <w:rPr>
          <w:sz w:val="22"/>
          <w:szCs w:val="22"/>
        </w:rPr>
      </w:pPr>
      <w:r w:rsidRPr="00C12A16">
        <w:rPr>
          <w:sz w:val="22"/>
          <w:szCs w:val="22"/>
        </w:rPr>
        <w:t>The relevance of the Bribery Act 2010 must be considered in respect of every policy.</w:t>
      </w:r>
    </w:p>
    <w:p w14:paraId="1151D3F3" w14:textId="77777777" w:rsidR="00B11B6B" w:rsidRPr="00C12A16" w:rsidRDefault="00B11B6B" w:rsidP="004E1299">
      <w:pPr>
        <w:pStyle w:val="Default"/>
        <w:ind w:left="709"/>
        <w:jc w:val="both"/>
        <w:rPr>
          <w:sz w:val="22"/>
          <w:szCs w:val="22"/>
        </w:rPr>
      </w:pPr>
    </w:p>
    <w:p w14:paraId="0B3CC881" w14:textId="77777777" w:rsidR="00B11B6B" w:rsidRPr="00C12A16" w:rsidRDefault="00B11B6B" w:rsidP="004E1299">
      <w:pPr>
        <w:pStyle w:val="Default"/>
        <w:ind w:left="709"/>
        <w:jc w:val="both"/>
        <w:rPr>
          <w:sz w:val="22"/>
          <w:szCs w:val="22"/>
        </w:rPr>
      </w:pPr>
      <w:r w:rsidRPr="00C12A16">
        <w:rPr>
          <w:sz w:val="22"/>
          <w:szCs w:val="22"/>
        </w:rPr>
        <w:t xml:space="preserve">The CCG follows good NHS business practice as outlined in the Business Conduct Policy and the Conflicts of Interest Policy and has robust controls in place to prevent fraud, </w:t>
      </w:r>
      <w:proofErr w:type="gramStart"/>
      <w:r w:rsidRPr="00C12A16">
        <w:rPr>
          <w:sz w:val="22"/>
          <w:szCs w:val="22"/>
        </w:rPr>
        <w:t>bribery</w:t>
      </w:r>
      <w:proofErr w:type="gramEnd"/>
      <w:r w:rsidRPr="00C12A16">
        <w:rPr>
          <w:sz w:val="22"/>
          <w:szCs w:val="22"/>
        </w:rPr>
        <w:t xml:space="preserve"> and corruption.  Due consideration has been given to the Bribery Act 2010 in the development (or review, as appropriate) of this policy document and no specific risks were identified</w:t>
      </w:r>
      <w:r w:rsidR="004E1299" w:rsidRPr="00C12A16">
        <w:rPr>
          <w:sz w:val="22"/>
          <w:szCs w:val="22"/>
        </w:rPr>
        <w:t>.</w:t>
      </w:r>
    </w:p>
    <w:p w14:paraId="35E4AB52" w14:textId="77777777" w:rsidR="004E1299" w:rsidRPr="00C12A16" w:rsidRDefault="004E1299" w:rsidP="004E1299">
      <w:pPr>
        <w:pStyle w:val="Default"/>
        <w:ind w:left="709"/>
        <w:jc w:val="both"/>
        <w:rPr>
          <w:sz w:val="22"/>
          <w:szCs w:val="22"/>
        </w:rPr>
      </w:pPr>
    </w:p>
    <w:p w14:paraId="208D33F2" w14:textId="77777777" w:rsidR="004E1299" w:rsidRPr="00C12A16" w:rsidRDefault="00B11B6B" w:rsidP="004E1299">
      <w:pPr>
        <w:pStyle w:val="Default"/>
        <w:ind w:left="709"/>
        <w:jc w:val="both"/>
        <w:rPr>
          <w:sz w:val="22"/>
          <w:szCs w:val="22"/>
        </w:rPr>
      </w:pPr>
      <w:r w:rsidRPr="00C12A16">
        <w:rPr>
          <w:sz w:val="22"/>
          <w:szCs w:val="22"/>
        </w:rPr>
        <w:t xml:space="preserve">Anyone with concerns or reasonably held suspicions about potentially fraudulent activity or practice should refer to the Local Anti-Fraud and Corruption Policy and contact the Local Counter Fraud Specialist. </w:t>
      </w:r>
    </w:p>
    <w:p w14:paraId="640E8582" w14:textId="77777777" w:rsidR="004E1299" w:rsidRPr="00C12A16" w:rsidRDefault="004E1299" w:rsidP="004E1299">
      <w:pPr>
        <w:pStyle w:val="Default"/>
        <w:ind w:left="709"/>
        <w:jc w:val="both"/>
        <w:rPr>
          <w:sz w:val="22"/>
          <w:szCs w:val="22"/>
        </w:rPr>
      </w:pPr>
    </w:p>
    <w:p w14:paraId="4542E901" w14:textId="18C93980" w:rsidR="00B11B6B" w:rsidRDefault="004E1299" w:rsidP="007C5EB3">
      <w:pPr>
        <w:pStyle w:val="Default"/>
        <w:ind w:left="709"/>
        <w:jc w:val="both"/>
        <w:rPr>
          <w:sz w:val="22"/>
          <w:szCs w:val="22"/>
        </w:rPr>
      </w:pPr>
      <w:hyperlink r:id="rId8" w:history="1">
        <w:r w:rsidRPr="00C12A16">
          <w:rPr>
            <w:sz w:val="22"/>
          </w:rPr>
          <w:t>http://www.northeastlincolnshireccg.nhs.uk/countering-fraud-in-the-nhs</w:t>
        </w:r>
      </w:hyperlink>
    </w:p>
    <w:p w14:paraId="32F196D1" w14:textId="77777777" w:rsidR="00B11B6B" w:rsidRPr="00C12A16" w:rsidRDefault="009821B7" w:rsidP="002B5BD4">
      <w:pPr>
        <w:pStyle w:val="Heading1"/>
        <w:rPr>
          <w:rFonts w:ascii="Arial" w:hAnsi="Arial" w:cs="Arial"/>
          <w:b/>
          <w:bCs/>
          <w:color w:val="000000"/>
          <w:sz w:val="24"/>
          <w:szCs w:val="24"/>
        </w:rPr>
      </w:pPr>
      <w:bookmarkStart w:id="4" w:name="_Toc70604983"/>
      <w:r w:rsidRPr="00C12A16">
        <w:rPr>
          <w:rStyle w:val="Heading1Char"/>
          <w:rFonts w:ascii="Arial" w:hAnsi="Arial" w:cs="Arial"/>
          <w:b/>
          <w:bCs/>
          <w:color w:val="000000"/>
          <w:sz w:val="24"/>
          <w:szCs w:val="24"/>
        </w:rPr>
        <w:t xml:space="preserve">5.0 </w:t>
      </w:r>
      <w:r w:rsidR="002B5BD4" w:rsidRPr="00C12A16">
        <w:rPr>
          <w:rStyle w:val="Heading1Char"/>
          <w:rFonts w:ascii="Arial" w:hAnsi="Arial" w:cs="Arial"/>
          <w:b/>
          <w:bCs/>
          <w:color w:val="000000"/>
          <w:sz w:val="24"/>
          <w:szCs w:val="24"/>
        </w:rPr>
        <w:t xml:space="preserve">    </w:t>
      </w:r>
      <w:r w:rsidR="00B11B6B" w:rsidRPr="00C12A16">
        <w:rPr>
          <w:rFonts w:ascii="Arial" w:hAnsi="Arial" w:cs="Arial"/>
          <w:b/>
          <w:bCs/>
          <w:color w:val="000000"/>
          <w:sz w:val="24"/>
          <w:szCs w:val="24"/>
        </w:rPr>
        <w:t xml:space="preserve">NHS </w:t>
      </w:r>
      <w:r w:rsidR="007A2C89">
        <w:rPr>
          <w:rFonts w:ascii="Arial" w:hAnsi="Arial" w:cs="Arial"/>
          <w:b/>
          <w:bCs/>
          <w:color w:val="000000"/>
          <w:sz w:val="24"/>
          <w:szCs w:val="24"/>
        </w:rPr>
        <w:t>CONSTITUTION</w:t>
      </w:r>
      <w:bookmarkEnd w:id="4"/>
    </w:p>
    <w:p w14:paraId="7933A664" w14:textId="77777777" w:rsidR="00B11B6B" w:rsidRDefault="00B11B6B">
      <w:pPr>
        <w:tabs>
          <w:tab w:val="left" w:pos="1134"/>
        </w:tabs>
        <w:spacing w:before="0" w:after="0"/>
        <w:ind w:left="1134" w:hanging="425"/>
        <w:jc w:val="left"/>
        <w:rPr>
          <w:rFonts w:eastAsia="Calibri" w:cs="Arial"/>
          <w:i/>
          <w:color w:val="00B0F0"/>
          <w:szCs w:val="22"/>
        </w:rPr>
      </w:pPr>
    </w:p>
    <w:p w14:paraId="4D833BB2" w14:textId="77777777" w:rsidR="00B11B6B" w:rsidRPr="00C12A16" w:rsidRDefault="009821B7" w:rsidP="009821B7">
      <w:pPr>
        <w:pStyle w:val="Default"/>
        <w:ind w:left="709"/>
        <w:jc w:val="both"/>
        <w:rPr>
          <w:sz w:val="22"/>
          <w:szCs w:val="22"/>
        </w:rPr>
      </w:pPr>
      <w:r w:rsidRPr="00C12A16">
        <w:rPr>
          <w:sz w:val="22"/>
          <w:szCs w:val="22"/>
        </w:rPr>
        <w:t xml:space="preserve">The CCG is committed to upholding the NHS constitution which establishes the principles and values of the NHS in England. This policy supports the NHS Constitution by ensuring that the CCG plans for major and critical incidents and disasters to enable the NHS to continue running to the best of its ability throughout emergencies. This helps to ensure “excellence and professionalism”, a “comprehensive” service that continues to be available to all. The EPRR Policy is also central to the NHS Constitution Commitment to Quality of Care as emergencies and incidents can hinder the safety of patient care when not prepared for properly. </w:t>
      </w:r>
    </w:p>
    <w:p w14:paraId="31417E31" w14:textId="3892E8E1" w:rsidR="007C5EB3" w:rsidRPr="007C5EB3" w:rsidRDefault="00B11B6B" w:rsidP="007C5EB3">
      <w:pPr>
        <w:pStyle w:val="Heading1"/>
        <w:rPr>
          <w:rFonts w:ascii="Arial" w:hAnsi="Arial" w:cs="Arial"/>
          <w:b/>
          <w:bCs/>
          <w:color w:val="000000"/>
          <w:sz w:val="24"/>
          <w:szCs w:val="24"/>
        </w:rPr>
      </w:pPr>
      <w:bookmarkStart w:id="5" w:name="_Toc70604984"/>
      <w:r w:rsidRPr="00C12A16">
        <w:rPr>
          <w:rFonts w:ascii="Arial" w:hAnsi="Arial" w:cs="Arial"/>
          <w:b/>
          <w:bCs/>
          <w:color w:val="000000"/>
          <w:sz w:val="24"/>
          <w:szCs w:val="24"/>
        </w:rPr>
        <w:t>6.0</w:t>
      </w:r>
      <w:r w:rsidRPr="00C12A16">
        <w:rPr>
          <w:rFonts w:ascii="Arial" w:hAnsi="Arial" w:cs="Arial"/>
          <w:b/>
          <w:bCs/>
          <w:color w:val="000000"/>
          <w:sz w:val="24"/>
          <w:szCs w:val="24"/>
        </w:rPr>
        <w:tab/>
      </w:r>
      <w:r w:rsidRPr="00C12A16">
        <w:rPr>
          <w:rStyle w:val="Heading1Char"/>
          <w:rFonts w:ascii="Arial" w:hAnsi="Arial" w:cs="Arial"/>
          <w:b/>
          <w:bCs/>
          <w:color w:val="000000"/>
          <w:sz w:val="24"/>
          <w:szCs w:val="24"/>
        </w:rPr>
        <w:t>ROLE AND RESPONSIBILITIES</w:t>
      </w:r>
      <w:r w:rsidRPr="00C12A16">
        <w:rPr>
          <w:rFonts w:ascii="Arial" w:hAnsi="Arial" w:cs="Arial"/>
          <w:b/>
          <w:bCs/>
          <w:color w:val="000000"/>
          <w:sz w:val="24"/>
          <w:szCs w:val="24"/>
        </w:rPr>
        <w:t xml:space="preserve"> </w:t>
      </w:r>
      <w:r w:rsidR="009821B7" w:rsidRPr="00C12A16">
        <w:rPr>
          <w:rFonts w:ascii="Arial" w:hAnsi="Arial" w:cs="Arial"/>
          <w:b/>
          <w:bCs/>
          <w:color w:val="000000"/>
          <w:sz w:val="24"/>
          <w:szCs w:val="24"/>
        </w:rPr>
        <w:t>OF THE CCG</w:t>
      </w:r>
      <w:bookmarkEnd w:id="5"/>
      <w:r w:rsidR="009821B7" w:rsidRPr="00C12A16">
        <w:rPr>
          <w:rFonts w:ascii="Arial" w:hAnsi="Arial" w:cs="Arial"/>
          <w:b/>
          <w:bCs/>
          <w:color w:val="000000"/>
          <w:sz w:val="24"/>
          <w:szCs w:val="24"/>
        </w:rPr>
        <w:t xml:space="preserve"> </w:t>
      </w:r>
    </w:p>
    <w:p w14:paraId="5D39942D" w14:textId="77777777" w:rsidR="007C5EB3" w:rsidRDefault="007C5EB3" w:rsidP="009821B7">
      <w:pPr>
        <w:pStyle w:val="Default"/>
        <w:ind w:left="709"/>
        <w:jc w:val="both"/>
        <w:rPr>
          <w:sz w:val="22"/>
          <w:szCs w:val="22"/>
        </w:rPr>
      </w:pPr>
    </w:p>
    <w:p w14:paraId="1B505200" w14:textId="76FCD9B9" w:rsidR="009821B7" w:rsidRPr="00C12A16" w:rsidRDefault="009821B7" w:rsidP="009821B7">
      <w:pPr>
        <w:pStyle w:val="Default"/>
        <w:ind w:left="709"/>
        <w:jc w:val="both"/>
        <w:rPr>
          <w:sz w:val="22"/>
          <w:szCs w:val="22"/>
        </w:rPr>
      </w:pPr>
      <w:r w:rsidRPr="00C12A16">
        <w:rPr>
          <w:sz w:val="22"/>
          <w:szCs w:val="22"/>
        </w:rPr>
        <w:t>This section contains extracts from the NHS EPRR Framework which explain and clarify the statutory role of CCGs and expectations in emergency planning.</w:t>
      </w:r>
    </w:p>
    <w:p w14:paraId="73669CDE" w14:textId="77777777" w:rsidR="009821B7" w:rsidRPr="00C12A16" w:rsidRDefault="009821B7" w:rsidP="009821B7">
      <w:pPr>
        <w:pStyle w:val="Default"/>
        <w:ind w:left="709"/>
        <w:jc w:val="both"/>
        <w:rPr>
          <w:sz w:val="22"/>
          <w:szCs w:val="22"/>
        </w:rPr>
      </w:pPr>
    </w:p>
    <w:p w14:paraId="429CECCE" w14:textId="77777777" w:rsidR="009821B7" w:rsidRPr="004E72C3" w:rsidRDefault="009821B7" w:rsidP="009821B7">
      <w:pPr>
        <w:pStyle w:val="Default"/>
        <w:ind w:left="720"/>
        <w:rPr>
          <w:rStyle w:val="SubtleEmphasis"/>
          <w:i w:val="0"/>
          <w:iCs w:val="0"/>
          <w:color w:val="auto"/>
        </w:rPr>
      </w:pPr>
      <w:bookmarkStart w:id="6" w:name="_Toc522610913"/>
      <w:bookmarkStart w:id="7" w:name="_Toc523405089"/>
      <w:r w:rsidRPr="004E72C3">
        <w:rPr>
          <w:rStyle w:val="SubtleEmphasis"/>
          <w:i w:val="0"/>
          <w:iCs w:val="0"/>
          <w:color w:val="auto"/>
        </w:rPr>
        <w:t>6.1 Statutory Requirements under the CCA 2004</w:t>
      </w:r>
      <w:bookmarkEnd w:id="6"/>
      <w:bookmarkEnd w:id="7"/>
    </w:p>
    <w:p w14:paraId="193573EE" w14:textId="77777777" w:rsidR="009821B7" w:rsidRPr="009821B7" w:rsidRDefault="009821B7" w:rsidP="009821B7">
      <w:pPr>
        <w:pStyle w:val="Default"/>
        <w:ind w:left="720"/>
        <w:rPr>
          <w:sz w:val="22"/>
          <w:szCs w:val="22"/>
        </w:rPr>
      </w:pPr>
    </w:p>
    <w:p w14:paraId="32AD23D0" w14:textId="77777777" w:rsidR="009821B7" w:rsidRPr="00C12A16" w:rsidRDefault="009821B7" w:rsidP="009821B7">
      <w:pPr>
        <w:pStyle w:val="Default"/>
        <w:ind w:left="709"/>
        <w:jc w:val="both"/>
        <w:rPr>
          <w:sz w:val="22"/>
          <w:szCs w:val="22"/>
        </w:rPr>
      </w:pPr>
      <w:r w:rsidRPr="00C12A16">
        <w:rPr>
          <w:sz w:val="22"/>
          <w:szCs w:val="22"/>
        </w:rPr>
        <w:t xml:space="preserve">Category 1 responders for health are: </w:t>
      </w:r>
    </w:p>
    <w:p w14:paraId="3743BECD" w14:textId="77777777" w:rsidR="009821B7" w:rsidRPr="00C12A16" w:rsidRDefault="009821B7" w:rsidP="009821B7">
      <w:pPr>
        <w:pStyle w:val="Default"/>
        <w:ind w:left="709"/>
        <w:jc w:val="both"/>
        <w:rPr>
          <w:sz w:val="22"/>
          <w:szCs w:val="22"/>
        </w:rPr>
      </w:pPr>
    </w:p>
    <w:p w14:paraId="3CFB88F4" w14:textId="77777777" w:rsidR="009821B7" w:rsidRPr="00C12A16" w:rsidRDefault="009821B7" w:rsidP="009821B7">
      <w:pPr>
        <w:pStyle w:val="Default"/>
        <w:numPr>
          <w:ilvl w:val="0"/>
          <w:numId w:val="10"/>
        </w:numPr>
        <w:jc w:val="both"/>
        <w:rPr>
          <w:sz w:val="22"/>
          <w:szCs w:val="22"/>
        </w:rPr>
      </w:pPr>
      <w:r w:rsidRPr="00C12A16">
        <w:rPr>
          <w:sz w:val="22"/>
          <w:szCs w:val="22"/>
        </w:rPr>
        <w:t xml:space="preserve">Department of Health (DH) on behalf of Secretary of State for Health </w:t>
      </w:r>
    </w:p>
    <w:p w14:paraId="18C1C140" w14:textId="77777777" w:rsidR="009821B7" w:rsidRPr="00C12A16" w:rsidRDefault="009821B7" w:rsidP="009821B7">
      <w:pPr>
        <w:pStyle w:val="Default"/>
        <w:numPr>
          <w:ilvl w:val="0"/>
          <w:numId w:val="10"/>
        </w:numPr>
        <w:jc w:val="both"/>
        <w:rPr>
          <w:sz w:val="22"/>
          <w:szCs w:val="22"/>
        </w:rPr>
      </w:pPr>
      <w:r w:rsidRPr="00C12A16">
        <w:rPr>
          <w:sz w:val="22"/>
          <w:szCs w:val="22"/>
        </w:rPr>
        <w:t xml:space="preserve">NHS England </w:t>
      </w:r>
    </w:p>
    <w:p w14:paraId="5C1F6819" w14:textId="77777777" w:rsidR="009821B7" w:rsidRPr="00C12A16" w:rsidRDefault="009821B7" w:rsidP="009821B7">
      <w:pPr>
        <w:pStyle w:val="Default"/>
        <w:numPr>
          <w:ilvl w:val="0"/>
          <w:numId w:val="10"/>
        </w:numPr>
        <w:jc w:val="both"/>
        <w:rPr>
          <w:sz w:val="22"/>
          <w:szCs w:val="22"/>
        </w:rPr>
      </w:pPr>
      <w:r w:rsidRPr="00C12A16">
        <w:rPr>
          <w:sz w:val="22"/>
          <w:szCs w:val="22"/>
        </w:rPr>
        <w:t xml:space="preserve">Acute service providers </w:t>
      </w:r>
    </w:p>
    <w:p w14:paraId="3BE97B99" w14:textId="77777777" w:rsidR="009821B7" w:rsidRPr="00C12A16" w:rsidRDefault="009821B7" w:rsidP="009821B7">
      <w:pPr>
        <w:pStyle w:val="Default"/>
        <w:numPr>
          <w:ilvl w:val="0"/>
          <w:numId w:val="10"/>
        </w:numPr>
        <w:jc w:val="both"/>
        <w:rPr>
          <w:sz w:val="22"/>
          <w:szCs w:val="22"/>
        </w:rPr>
      </w:pPr>
      <w:r w:rsidRPr="00C12A16">
        <w:rPr>
          <w:sz w:val="22"/>
          <w:szCs w:val="22"/>
        </w:rPr>
        <w:t xml:space="preserve">Ambulance service providers </w:t>
      </w:r>
    </w:p>
    <w:p w14:paraId="0737615F" w14:textId="77777777" w:rsidR="009821B7" w:rsidRPr="00C12A16" w:rsidRDefault="009821B7" w:rsidP="009821B7">
      <w:pPr>
        <w:pStyle w:val="Default"/>
        <w:numPr>
          <w:ilvl w:val="0"/>
          <w:numId w:val="10"/>
        </w:numPr>
        <w:jc w:val="both"/>
        <w:rPr>
          <w:sz w:val="22"/>
          <w:szCs w:val="22"/>
        </w:rPr>
      </w:pPr>
      <w:r w:rsidRPr="00C12A16">
        <w:rPr>
          <w:sz w:val="22"/>
          <w:szCs w:val="22"/>
        </w:rPr>
        <w:t xml:space="preserve">Public Health England (PHE) </w:t>
      </w:r>
    </w:p>
    <w:p w14:paraId="729F233E" w14:textId="77777777" w:rsidR="009821B7" w:rsidRPr="00C12A16" w:rsidRDefault="009821B7" w:rsidP="009821B7">
      <w:pPr>
        <w:pStyle w:val="Default"/>
        <w:numPr>
          <w:ilvl w:val="0"/>
          <w:numId w:val="10"/>
        </w:numPr>
        <w:jc w:val="both"/>
        <w:rPr>
          <w:sz w:val="22"/>
          <w:szCs w:val="22"/>
        </w:rPr>
      </w:pPr>
      <w:r w:rsidRPr="00C12A16">
        <w:rPr>
          <w:sz w:val="22"/>
          <w:szCs w:val="22"/>
        </w:rPr>
        <w:t>Local authorities (Inc. Directors of Public Health (</w:t>
      </w:r>
      <w:proofErr w:type="spellStart"/>
      <w:r w:rsidRPr="00C12A16">
        <w:rPr>
          <w:sz w:val="22"/>
          <w:szCs w:val="22"/>
        </w:rPr>
        <w:t>DsPH</w:t>
      </w:r>
      <w:proofErr w:type="spellEnd"/>
      <w:r w:rsidRPr="00C12A16">
        <w:rPr>
          <w:sz w:val="22"/>
          <w:szCs w:val="22"/>
        </w:rPr>
        <w:t xml:space="preserve">)) </w:t>
      </w:r>
    </w:p>
    <w:p w14:paraId="5E180865" w14:textId="77777777" w:rsidR="009821B7" w:rsidRPr="00C12A16" w:rsidRDefault="009821B7" w:rsidP="009821B7">
      <w:pPr>
        <w:pStyle w:val="Default"/>
        <w:ind w:left="709"/>
        <w:jc w:val="both"/>
        <w:rPr>
          <w:sz w:val="22"/>
          <w:szCs w:val="22"/>
        </w:rPr>
      </w:pPr>
    </w:p>
    <w:p w14:paraId="5B06E2BB" w14:textId="77777777" w:rsidR="009821B7" w:rsidRPr="00C12A16" w:rsidRDefault="009821B7" w:rsidP="009821B7">
      <w:pPr>
        <w:pStyle w:val="Default"/>
        <w:ind w:left="709"/>
        <w:jc w:val="both"/>
        <w:rPr>
          <w:sz w:val="22"/>
          <w:szCs w:val="22"/>
        </w:rPr>
      </w:pPr>
      <w:r w:rsidRPr="00C12A16">
        <w:rPr>
          <w:sz w:val="22"/>
          <w:szCs w:val="22"/>
        </w:rPr>
        <w:lastRenderedPageBreak/>
        <w:t xml:space="preserve">Category 2 responders for health are: </w:t>
      </w:r>
    </w:p>
    <w:p w14:paraId="32350A2F" w14:textId="77777777" w:rsidR="009821B7" w:rsidRPr="00C12A16" w:rsidRDefault="009821B7" w:rsidP="009821B7">
      <w:pPr>
        <w:pStyle w:val="Default"/>
        <w:ind w:left="709"/>
        <w:jc w:val="both"/>
        <w:rPr>
          <w:sz w:val="22"/>
          <w:szCs w:val="22"/>
        </w:rPr>
      </w:pPr>
    </w:p>
    <w:p w14:paraId="37D47648" w14:textId="77777777" w:rsidR="009821B7" w:rsidRPr="00C12A16" w:rsidRDefault="009821B7" w:rsidP="009821B7">
      <w:pPr>
        <w:pStyle w:val="Default"/>
        <w:numPr>
          <w:ilvl w:val="0"/>
          <w:numId w:val="11"/>
        </w:numPr>
        <w:jc w:val="both"/>
        <w:rPr>
          <w:sz w:val="22"/>
          <w:szCs w:val="22"/>
        </w:rPr>
      </w:pPr>
      <w:r w:rsidRPr="00C12A16">
        <w:rPr>
          <w:sz w:val="22"/>
          <w:szCs w:val="22"/>
        </w:rPr>
        <w:t xml:space="preserve">CCGs </w:t>
      </w:r>
    </w:p>
    <w:p w14:paraId="6CCA6D63" w14:textId="77777777" w:rsidR="009821B7" w:rsidRPr="00C12A16" w:rsidRDefault="009821B7" w:rsidP="009821B7">
      <w:pPr>
        <w:pStyle w:val="Default"/>
        <w:ind w:left="709"/>
        <w:jc w:val="both"/>
        <w:rPr>
          <w:sz w:val="22"/>
          <w:szCs w:val="22"/>
        </w:rPr>
      </w:pPr>
    </w:p>
    <w:p w14:paraId="2CD368E0" w14:textId="77777777" w:rsidR="009821B7" w:rsidRPr="00C12A16" w:rsidRDefault="009821B7" w:rsidP="009821B7">
      <w:pPr>
        <w:pStyle w:val="Default"/>
        <w:ind w:left="709"/>
        <w:jc w:val="both"/>
        <w:rPr>
          <w:sz w:val="22"/>
          <w:szCs w:val="22"/>
        </w:rPr>
      </w:pPr>
      <w:r w:rsidRPr="00C12A16">
        <w:rPr>
          <w:sz w:val="22"/>
          <w:szCs w:val="22"/>
        </w:rPr>
        <w:t>CCGs are expected to provide support to NHS England in relation to the coordination of their local health economy.</w:t>
      </w:r>
    </w:p>
    <w:p w14:paraId="456B213B" w14:textId="77777777" w:rsidR="009821B7" w:rsidRPr="00C12A16" w:rsidRDefault="009821B7" w:rsidP="009821B7">
      <w:pPr>
        <w:pStyle w:val="Default"/>
        <w:ind w:left="709"/>
        <w:jc w:val="both"/>
        <w:rPr>
          <w:sz w:val="22"/>
          <w:szCs w:val="22"/>
        </w:rPr>
      </w:pPr>
    </w:p>
    <w:p w14:paraId="39E6B5B1" w14:textId="6A0E2B43" w:rsidR="009821B7" w:rsidRPr="00C12A16" w:rsidRDefault="009821B7" w:rsidP="009821B7">
      <w:pPr>
        <w:pStyle w:val="Default"/>
        <w:ind w:left="709"/>
        <w:jc w:val="both"/>
        <w:rPr>
          <w:sz w:val="22"/>
          <w:szCs w:val="22"/>
        </w:rPr>
      </w:pPr>
      <w:r w:rsidRPr="00C12A16">
        <w:rPr>
          <w:sz w:val="22"/>
          <w:szCs w:val="22"/>
        </w:rPr>
        <w:t xml:space="preserve">Category 2 responders are critical players in EPRR who are expected to work closely with partners. They are required to cooperate with and support other Category 1 and Category 2 responders. They are less likely to be involved in the heart of planning </w:t>
      </w:r>
      <w:r w:rsidR="007C5EB3" w:rsidRPr="00C12A16">
        <w:rPr>
          <w:sz w:val="22"/>
          <w:szCs w:val="22"/>
        </w:rPr>
        <w:t>work but</w:t>
      </w:r>
      <w:r w:rsidRPr="00C12A16">
        <w:rPr>
          <w:sz w:val="22"/>
          <w:szCs w:val="22"/>
        </w:rPr>
        <w:t xml:space="preserve"> will be heavily involved in incidents that affect their own sector. Category 2 responders have a lesser set of duties - co-operating and sharing relevant information with other Category 1 and 2 responders.</w:t>
      </w:r>
    </w:p>
    <w:p w14:paraId="62D5184C" w14:textId="77777777" w:rsidR="009821B7" w:rsidRPr="00C12A16" w:rsidRDefault="009821B7" w:rsidP="009821B7">
      <w:pPr>
        <w:pStyle w:val="Default"/>
        <w:ind w:left="709"/>
        <w:jc w:val="both"/>
        <w:rPr>
          <w:sz w:val="22"/>
          <w:szCs w:val="22"/>
        </w:rPr>
      </w:pPr>
    </w:p>
    <w:p w14:paraId="24120303" w14:textId="5F1E964D" w:rsidR="009821B7" w:rsidRPr="00C12A16" w:rsidRDefault="009821B7" w:rsidP="009821B7">
      <w:pPr>
        <w:pStyle w:val="Default"/>
        <w:ind w:left="709"/>
        <w:jc w:val="both"/>
        <w:rPr>
          <w:sz w:val="22"/>
          <w:szCs w:val="22"/>
        </w:rPr>
      </w:pPr>
      <w:r w:rsidRPr="00C12A16">
        <w:rPr>
          <w:sz w:val="22"/>
          <w:szCs w:val="22"/>
        </w:rPr>
        <w:t xml:space="preserve">Primary care, including out of hours providers, community providers, mental health service providers, specialist providers, NHS Property </w:t>
      </w:r>
      <w:proofErr w:type="gramStart"/>
      <w:r w:rsidRPr="00C12A16">
        <w:rPr>
          <w:sz w:val="22"/>
          <w:szCs w:val="22"/>
        </w:rPr>
        <w:t>Services</w:t>
      </w:r>
      <w:proofErr w:type="gramEnd"/>
      <w:r w:rsidRPr="00C12A16">
        <w:rPr>
          <w:sz w:val="22"/>
          <w:szCs w:val="22"/>
        </w:rPr>
        <w:t xml:space="preserve"> and other NHS organisations (for example NHS Blood &amp;Transplant, NHS Supply Chain and NHS 111) are not listed in the CCA 2004. However, DH and NHS England guidance expects them to plan for and respond to emergencies and incidents in a manner which is relevant, </w:t>
      </w:r>
      <w:r w:rsidR="007C5EB3" w:rsidRPr="00C12A16">
        <w:rPr>
          <w:sz w:val="22"/>
          <w:szCs w:val="22"/>
        </w:rPr>
        <w:t>necessary,</w:t>
      </w:r>
      <w:r w:rsidRPr="00C12A16">
        <w:rPr>
          <w:sz w:val="22"/>
          <w:szCs w:val="22"/>
        </w:rPr>
        <w:t xml:space="preserve"> and proportionate to the scale and services provided.</w:t>
      </w:r>
    </w:p>
    <w:p w14:paraId="620A570A" w14:textId="77777777" w:rsidR="009821B7" w:rsidRPr="00C12A16" w:rsidRDefault="009821B7" w:rsidP="009821B7">
      <w:pPr>
        <w:pStyle w:val="Default"/>
        <w:ind w:left="709"/>
        <w:jc w:val="both"/>
        <w:rPr>
          <w:sz w:val="22"/>
          <w:szCs w:val="22"/>
        </w:rPr>
      </w:pPr>
    </w:p>
    <w:p w14:paraId="41BA0961" w14:textId="77777777" w:rsidR="009821B7" w:rsidRPr="00C12A16" w:rsidRDefault="009821B7" w:rsidP="009821B7">
      <w:pPr>
        <w:pStyle w:val="Default"/>
        <w:ind w:left="709"/>
        <w:jc w:val="both"/>
        <w:rPr>
          <w:sz w:val="22"/>
          <w:szCs w:val="22"/>
        </w:rPr>
      </w:pPr>
      <w:r w:rsidRPr="00C12A16">
        <w:rPr>
          <w:sz w:val="22"/>
          <w:szCs w:val="22"/>
        </w:rPr>
        <w:t xml:space="preserve">NHS England will represent the NHS at the Local Resilience Forum (LRF); NHS ambulance service providers will also be present as an emergency service. </w:t>
      </w:r>
    </w:p>
    <w:p w14:paraId="1906938D" w14:textId="77777777" w:rsidR="009821B7" w:rsidRPr="00C12A16" w:rsidRDefault="009821B7" w:rsidP="009821B7">
      <w:pPr>
        <w:pStyle w:val="Default"/>
        <w:ind w:left="709"/>
        <w:jc w:val="both"/>
        <w:rPr>
          <w:sz w:val="22"/>
          <w:szCs w:val="22"/>
        </w:rPr>
      </w:pPr>
    </w:p>
    <w:p w14:paraId="2C573C60" w14:textId="77777777" w:rsidR="009821B7" w:rsidRPr="004E72C3" w:rsidRDefault="009821B7" w:rsidP="009821B7">
      <w:pPr>
        <w:pStyle w:val="Default"/>
        <w:ind w:left="709"/>
        <w:jc w:val="both"/>
        <w:rPr>
          <w:rStyle w:val="SubtleEmphasis"/>
          <w:i w:val="0"/>
          <w:iCs w:val="0"/>
          <w:color w:val="auto"/>
        </w:rPr>
      </w:pPr>
      <w:bookmarkStart w:id="8" w:name="_Toc522610914"/>
      <w:bookmarkStart w:id="9" w:name="_Toc523405090"/>
      <w:r w:rsidRPr="004E72C3">
        <w:rPr>
          <w:rStyle w:val="SubtleEmphasis"/>
          <w:i w:val="0"/>
          <w:iCs w:val="0"/>
          <w:color w:val="auto"/>
        </w:rPr>
        <w:t>6.2 Statutory requirements applicable within the NHS Act 2006</w:t>
      </w:r>
      <w:bookmarkEnd w:id="8"/>
      <w:bookmarkEnd w:id="9"/>
      <w:r w:rsidRPr="004E72C3">
        <w:rPr>
          <w:rStyle w:val="SubtleEmphasis"/>
          <w:i w:val="0"/>
          <w:iCs w:val="0"/>
          <w:color w:val="auto"/>
        </w:rPr>
        <w:t xml:space="preserve"> </w:t>
      </w:r>
    </w:p>
    <w:p w14:paraId="29B3F289" w14:textId="77777777" w:rsidR="009821B7" w:rsidRPr="00C12A16" w:rsidRDefault="009821B7" w:rsidP="009821B7">
      <w:pPr>
        <w:pStyle w:val="Default"/>
        <w:ind w:left="709"/>
        <w:jc w:val="both"/>
        <w:rPr>
          <w:sz w:val="22"/>
          <w:szCs w:val="22"/>
        </w:rPr>
      </w:pPr>
    </w:p>
    <w:p w14:paraId="776C4C6E" w14:textId="77777777" w:rsidR="009821B7" w:rsidRPr="00C12A16" w:rsidRDefault="009821B7" w:rsidP="009821B7">
      <w:pPr>
        <w:pStyle w:val="Default"/>
        <w:ind w:left="709"/>
        <w:jc w:val="both"/>
        <w:rPr>
          <w:sz w:val="22"/>
          <w:szCs w:val="22"/>
        </w:rPr>
      </w:pPr>
      <w:r w:rsidRPr="00C12A16">
        <w:rPr>
          <w:sz w:val="22"/>
          <w:szCs w:val="22"/>
        </w:rPr>
        <w:t xml:space="preserve">The NHS Act 2006 (as amended) requires NHS England to ensure that the NHS is properly prepared to deal with an emergency. CCGs, as local system leaders, should assure themselves that their commissioned providers are compliant with relevant guidance and standards and they are ready to assist NHS England in coordinating the NHS response. </w:t>
      </w:r>
    </w:p>
    <w:p w14:paraId="10BD0FED" w14:textId="77777777" w:rsidR="009821B7" w:rsidRPr="00C12A16" w:rsidRDefault="009821B7" w:rsidP="009821B7">
      <w:pPr>
        <w:pStyle w:val="Default"/>
        <w:ind w:left="709"/>
        <w:jc w:val="both"/>
        <w:rPr>
          <w:sz w:val="22"/>
          <w:szCs w:val="22"/>
        </w:rPr>
      </w:pPr>
    </w:p>
    <w:p w14:paraId="4018A33B" w14:textId="77777777" w:rsidR="009821B7" w:rsidRPr="00C12A16" w:rsidRDefault="009821B7" w:rsidP="009821B7">
      <w:pPr>
        <w:pStyle w:val="Default"/>
        <w:ind w:left="709"/>
        <w:jc w:val="both"/>
        <w:rPr>
          <w:sz w:val="22"/>
          <w:szCs w:val="22"/>
        </w:rPr>
      </w:pPr>
      <w:r w:rsidRPr="00C12A16">
        <w:rPr>
          <w:sz w:val="22"/>
          <w:szCs w:val="22"/>
        </w:rPr>
        <w:t xml:space="preserve">The key elements are contained in Section 252A of the NHS act 2006 (as amended) and are: </w:t>
      </w:r>
    </w:p>
    <w:p w14:paraId="0C3AE7C0" w14:textId="77777777" w:rsidR="009821B7" w:rsidRPr="00C12A16" w:rsidRDefault="009821B7" w:rsidP="009821B7">
      <w:pPr>
        <w:pStyle w:val="Default"/>
        <w:ind w:left="709"/>
        <w:jc w:val="both"/>
        <w:rPr>
          <w:sz w:val="22"/>
          <w:szCs w:val="22"/>
        </w:rPr>
      </w:pPr>
    </w:p>
    <w:p w14:paraId="4AD97802" w14:textId="1E4AE488" w:rsidR="009821B7" w:rsidRPr="00C12A16" w:rsidRDefault="009821B7" w:rsidP="009821B7">
      <w:pPr>
        <w:pStyle w:val="Default"/>
        <w:numPr>
          <w:ilvl w:val="0"/>
          <w:numId w:val="11"/>
        </w:numPr>
        <w:jc w:val="both"/>
        <w:rPr>
          <w:sz w:val="22"/>
          <w:szCs w:val="22"/>
        </w:rPr>
      </w:pPr>
      <w:r w:rsidRPr="00C12A16">
        <w:rPr>
          <w:sz w:val="22"/>
          <w:szCs w:val="22"/>
        </w:rPr>
        <w:t xml:space="preserve">NHS England and each CCG must take appropriate steps for securing that it is properly prepared for dealing with a relevant </w:t>
      </w:r>
      <w:r w:rsidR="007C5EB3" w:rsidRPr="00C12A16">
        <w:rPr>
          <w:sz w:val="22"/>
          <w:szCs w:val="22"/>
        </w:rPr>
        <w:t>emergency.</w:t>
      </w:r>
      <w:r w:rsidRPr="00C12A16">
        <w:rPr>
          <w:sz w:val="22"/>
          <w:szCs w:val="22"/>
        </w:rPr>
        <w:t xml:space="preserve"> </w:t>
      </w:r>
    </w:p>
    <w:p w14:paraId="13DDB49A" w14:textId="77777777" w:rsidR="009821B7" w:rsidRPr="00C12A16" w:rsidRDefault="009821B7" w:rsidP="009821B7">
      <w:pPr>
        <w:pStyle w:val="Default"/>
        <w:ind w:left="709"/>
        <w:jc w:val="both"/>
        <w:rPr>
          <w:sz w:val="22"/>
          <w:szCs w:val="22"/>
        </w:rPr>
      </w:pPr>
    </w:p>
    <w:p w14:paraId="3B66438C" w14:textId="47DF5401" w:rsidR="009821B7" w:rsidRPr="00C12A16" w:rsidRDefault="009821B7" w:rsidP="009821B7">
      <w:pPr>
        <w:pStyle w:val="Default"/>
        <w:numPr>
          <w:ilvl w:val="0"/>
          <w:numId w:val="11"/>
        </w:numPr>
        <w:jc w:val="both"/>
        <w:rPr>
          <w:sz w:val="22"/>
          <w:szCs w:val="22"/>
        </w:rPr>
      </w:pPr>
      <w:r w:rsidRPr="00C12A16">
        <w:rPr>
          <w:sz w:val="22"/>
          <w:szCs w:val="22"/>
        </w:rPr>
        <w:t xml:space="preserve">NHS England must take steps as it considers appropriate for securing that each CCG and each relevant service provider is properly prepared for dealing with a relevant </w:t>
      </w:r>
      <w:r w:rsidR="007C5EB3" w:rsidRPr="00C12A16">
        <w:rPr>
          <w:sz w:val="22"/>
          <w:szCs w:val="22"/>
        </w:rPr>
        <w:t>emergency.</w:t>
      </w:r>
      <w:r w:rsidRPr="00C12A16">
        <w:rPr>
          <w:sz w:val="22"/>
          <w:szCs w:val="22"/>
        </w:rPr>
        <w:t xml:space="preserve"> </w:t>
      </w:r>
    </w:p>
    <w:p w14:paraId="5D3A3643" w14:textId="77777777" w:rsidR="009821B7" w:rsidRPr="00C12A16" w:rsidRDefault="009821B7" w:rsidP="009821B7">
      <w:pPr>
        <w:pStyle w:val="Default"/>
        <w:ind w:left="709"/>
        <w:jc w:val="both"/>
        <w:rPr>
          <w:sz w:val="22"/>
          <w:szCs w:val="22"/>
        </w:rPr>
      </w:pPr>
    </w:p>
    <w:p w14:paraId="1D409177" w14:textId="77777777" w:rsidR="009821B7" w:rsidRPr="00C12A16" w:rsidRDefault="009821B7" w:rsidP="009821B7">
      <w:pPr>
        <w:pStyle w:val="Default"/>
        <w:numPr>
          <w:ilvl w:val="0"/>
          <w:numId w:val="11"/>
        </w:numPr>
        <w:jc w:val="both"/>
        <w:rPr>
          <w:sz w:val="22"/>
          <w:szCs w:val="22"/>
        </w:rPr>
      </w:pPr>
      <w:r w:rsidRPr="00C12A16">
        <w:rPr>
          <w:sz w:val="22"/>
          <w:szCs w:val="22"/>
        </w:rPr>
        <w:t xml:space="preserve">The steps taken by NHS England must include monitoring compliance by each CCG and service provider; and </w:t>
      </w:r>
    </w:p>
    <w:p w14:paraId="51195600" w14:textId="77777777" w:rsidR="009821B7" w:rsidRPr="00C12A16" w:rsidRDefault="009821B7" w:rsidP="009821B7">
      <w:pPr>
        <w:pStyle w:val="Default"/>
        <w:ind w:left="709"/>
        <w:jc w:val="both"/>
        <w:rPr>
          <w:sz w:val="22"/>
          <w:szCs w:val="22"/>
        </w:rPr>
      </w:pPr>
    </w:p>
    <w:p w14:paraId="54051AAF" w14:textId="0F15AB07" w:rsidR="009821B7" w:rsidRPr="00C12A16" w:rsidRDefault="009821B7" w:rsidP="009821B7">
      <w:pPr>
        <w:pStyle w:val="Default"/>
        <w:numPr>
          <w:ilvl w:val="0"/>
          <w:numId w:val="11"/>
        </w:numPr>
        <w:jc w:val="both"/>
        <w:rPr>
          <w:sz w:val="22"/>
          <w:szCs w:val="22"/>
        </w:rPr>
      </w:pPr>
      <w:r w:rsidRPr="00C12A16">
        <w:rPr>
          <w:sz w:val="22"/>
          <w:szCs w:val="22"/>
        </w:rPr>
        <w:t xml:space="preserve">NHS England must take such steps as it considers appropriate for facilitating a coordinated response to an emergency by the CCGs and relevant service providers for which it is a relevant </w:t>
      </w:r>
      <w:r w:rsidR="007C5EB3" w:rsidRPr="00C12A16">
        <w:rPr>
          <w:sz w:val="22"/>
          <w:szCs w:val="22"/>
        </w:rPr>
        <w:t>emergency.</w:t>
      </w:r>
      <w:r w:rsidRPr="00C12A16">
        <w:rPr>
          <w:sz w:val="22"/>
          <w:szCs w:val="22"/>
        </w:rPr>
        <w:t xml:space="preserve"> </w:t>
      </w:r>
    </w:p>
    <w:p w14:paraId="62DD9FDC" w14:textId="77777777" w:rsidR="009821B7" w:rsidRPr="00C12A16" w:rsidRDefault="009821B7" w:rsidP="009821B7">
      <w:pPr>
        <w:pStyle w:val="Default"/>
        <w:ind w:left="709"/>
        <w:jc w:val="both"/>
        <w:rPr>
          <w:sz w:val="22"/>
          <w:szCs w:val="22"/>
        </w:rPr>
      </w:pPr>
    </w:p>
    <w:p w14:paraId="6B4AB786" w14:textId="77777777" w:rsidR="009821B7" w:rsidRPr="00C12A16" w:rsidRDefault="009821B7" w:rsidP="009821B7">
      <w:pPr>
        <w:pStyle w:val="Default"/>
        <w:ind w:left="709"/>
        <w:jc w:val="both"/>
        <w:rPr>
          <w:sz w:val="22"/>
          <w:szCs w:val="22"/>
        </w:rPr>
      </w:pPr>
      <w:r w:rsidRPr="00C12A16">
        <w:rPr>
          <w:sz w:val="22"/>
          <w:szCs w:val="22"/>
        </w:rPr>
        <w:t xml:space="preserve">These elements clearly establish the relationship between NHS England and CCGs. In essence NHS England would seek to work with and through the local CCGs to ensure the NHS response can be effectively managed at strategic and tactical levels delivering the service-wide aim and objectives. </w:t>
      </w:r>
    </w:p>
    <w:p w14:paraId="2C6F9282" w14:textId="77777777" w:rsidR="009821B7" w:rsidRPr="00C12A16" w:rsidRDefault="009821B7" w:rsidP="009821B7">
      <w:pPr>
        <w:pStyle w:val="Default"/>
        <w:ind w:left="709"/>
        <w:jc w:val="both"/>
        <w:rPr>
          <w:sz w:val="22"/>
          <w:szCs w:val="22"/>
        </w:rPr>
      </w:pPr>
    </w:p>
    <w:p w14:paraId="4F543E65" w14:textId="77777777" w:rsidR="009821B7" w:rsidRPr="00C12A16" w:rsidRDefault="009821B7" w:rsidP="009821B7">
      <w:pPr>
        <w:pStyle w:val="Default"/>
        <w:ind w:left="709"/>
        <w:jc w:val="both"/>
        <w:rPr>
          <w:sz w:val="22"/>
          <w:szCs w:val="22"/>
        </w:rPr>
      </w:pPr>
      <w:r w:rsidRPr="00C12A16">
        <w:rPr>
          <w:sz w:val="22"/>
          <w:szCs w:val="22"/>
        </w:rPr>
        <w:lastRenderedPageBreak/>
        <w:t xml:space="preserve">The NHS in England will also have in place strategic forums for joint planning for health incidents: Local Health Resilience Partnerships (LHRP). These partnerships will support the health sector’s contribution to multi-agency planning through the </w:t>
      </w:r>
      <w:proofErr w:type="gramStart"/>
      <w:r w:rsidRPr="00C12A16">
        <w:rPr>
          <w:sz w:val="22"/>
          <w:szCs w:val="22"/>
        </w:rPr>
        <w:t>LRF</w:t>
      </w:r>
      <w:proofErr w:type="gramEnd"/>
    </w:p>
    <w:p w14:paraId="6DEA993B" w14:textId="77777777" w:rsidR="009821B7" w:rsidRPr="00C12A16" w:rsidRDefault="009821B7" w:rsidP="009821B7">
      <w:pPr>
        <w:pStyle w:val="Default"/>
        <w:ind w:left="709"/>
        <w:jc w:val="both"/>
        <w:rPr>
          <w:sz w:val="22"/>
          <w:szCs w:val="22"/>
        </w:rPr>
      </w:pPr>
    </w:p>
    <w:p w14:paraId="5C0565E4" w14:textId="77777777" w:rsidR="009821B7" w:rsidRPr="004E72C3" w:rsidRDefault="009821B7" w:rsidP="009821B7">
      <w:pPr>
        <w:pStyle w:val="Default"/>
        <w:ind w:left="709"/>
        <w:jc w:val="both"/>
        <w:rPr>
          <w:rStyle w:val="SubtleEmphasis"/>
          <w:i w:val="0"/>
          <w:iCs w:val="0"/>
          <w:color w:val="auto"/>
        </w:rPr>
      </w:pPr>
      <w:r w:rsidRPr="004E72C3">
        <w:rPr>
          <w:rStyle w:val="SubtleEmphasis"/>
          <w:i w:val="0"/>
          <w:iCs w:val="0"/>
          <w:color w:val="auto"/>
        </w:rPr>
        <w:t>6.3 Contractual Obligations</w:t>
      </w:r>
    </w:p>
    <w:p w14:paraId="5622C69A" w14:textId="77777777" w:rsidR="009821B7" w:rsidRPr="00C12A16" w:rsidRDefault="009821B7" w:rsidP="009821B7">
      <w:pPr>
        <w:pStyle w:val="Default"/>
        <w:ind w:left="709"/>
        <w:jc w:val="both"/>
        <w:rPr>
          <w:sz w:val="22"/>
          <w:szCs w:val="22"/>
        </w:rPr>
      </w:pPr>
    </w:p>
    <w:p w14:paraId="0F29D592" w14:textId="77777777" w:rsidR="009821B7" w:rsidRPr="00C12A16" w:rsidRDefault="009821B7" w:rsidP="009821B7">
      <w:pPr>
        <w:pStyle w:val="Default"/>
        <w:ind w:left="709"/>
        <w:jc w:val="both"/>
        <w:rPr>
          <w:sz w:val="22"/>
          <w:szCs w:val="22"/>
        </w:rPr>
      </w:pPr>
      <w:r w:rsidRPr="00C12A16">
        <w:rPr>
          <w:sz w:val="22"/>
          <w:szCs w:val="22"/>
        </w:rPr>
        <w:t xml:space="preserve">The NHS Standard Contract Service Conditions require providers to comply with EPRR Guidance. Therefore commissioners must ensure providers are compliant with the requirements of the Core Standards as part of the annual national assurance process (see section </w:t>
      </w:r>
      <w:r w:rsidR="00FA4AC7" w:rsidRPr="00C12A16">
        <w:rPr>
          <w:sz w:val="22"/>
          <w:szCs w:val="22"/>
        </w:rPr>
        <w:t>9</w:t>
      </w:r>
      <w:r w:rsidRPr="00C12A16">
        <w:rPr>
          <w:sz w:val="22"/>
          <w:szCs w:val="22"/>
        </w:rPr>
        <w:t>). NHS England will ensure that commissioners are compliant with the requirements of the Core Standards as part of the annual CCG assurance framework.</w:t>
      </w:r>
    </w:p>
    <w:p w14:paraId="52F2EA6D" w14:textId="77777777" w:rsidR="009821B7" w:rsidRPr="00C12A16" w:rsidRDefault="009821B7" w:rsidP="009821B7">
      <w:pPr>
        <w:pStyle w:val="Default"/>
        <w:ind w:left="709"/>
        <w:jc w:val="both"/>
        <w:rPr>
          <w:sz w:val="22"/>
          <w:szCs w:val="22"/>
        </w:rPr>
      </w:pPr>
    </w:p>
    <w:p w14:paraId="4C182DC4" w14:textId="77777777" w:rsidR="009821B7" w:rsidRPr="004E72C3" w:rsidRDefault="009821B7" w:rsidP="009821B7">
      <w:pPr>
        <w:pStyle w:val="Default"/>
        <w:ind w:left="709"/>
        <w:jc w:val="both"/>
        <w:rPr>
          <w:rStyle w:val="SubtleEmphasis"/>
          <w:i w:val="0"/>
          <w:iCs w:val="0"/>
          <w:color w:val="auto"/>
        </w:rPr>
      </w:pPr>
      <w:r w:rsidRPr="004E72C3">
        <w:rPr>
          <w:rStyle w:val="SubtleEmphasis"/>
          <w:i w:val="0"/>
          <w:iCs w:val="0"/>
          <w:color w:val="auto"/>
        </w:rPr>
        <w:t>6.4 CCG Specific Roles and Responsibilities (as per NHS EPRR Framework)</w:t>
      </w:r>
    </w:p>
    <w:p w14:paraId="56A08DB2" w14:textId="77777777" w:rsidR="009821B7" w:rsidRDefault="009821B7" w:rsidP="009821B7">
      <w:pPr>
        <w:pStyle w:val="Default"/>
        <w:ind w:left="709"/>
        <w:jc w:val="both"/>
        <w:rPr>
          <w:rStyle w:val="SubtleEmphasis"/>
        </w:rPr>
      </w:pPr>
    </w:p>
    <w:p w14:paraId="6868C92B" w14:textId="77777777" w:rsidR="009821B7" w:rsidRPr="00C12A16" w:rsidRDefault="009821B7" w:rsidP="009821B7">
      <w:pPr>
        <w:pStyle w:val="Default"/>
        <w:ind w:left="709"/>
        <w:jc w:val="both"/>
        <w:rPr>
          <w:b/>
          <w:bCs/>
          <w:sz w:val="22"/>
          <w:szCs w:val="22"/>
          <w:u w:val="single"/>
        </w:rPr>
      </w:pPr>
      <w:bookmarkStart w:id="10" w:name="_Toc523405093"/>
      <w:r w:rsidRPr="00C12A16">
        <w:rPr>
          <w:b/>
          <w:bCs/>
          <w:sz w:val="22"/>
          <w:szCs w:val="22"/>
          <w:u w:val="single"/>
        </w:rPr>
        <w:t>Accountable Emergency Officers (AEOs)</w:t>
      </w:r>
      <w:bookmarkEnd w:id="10"/>
      <w:r w:rsidRPr="00C12A16">
        <w:rPr>
          <w:b/>
          <w:bCs/>
          <w:sz w:val="22"/>
          <w:szCs w:val="22"/>
          <w:u w:val="single"/>
        </w:rPr>
        <w:t xml:space="preserve"> </w:t>
      </w:r>
    </w:p>
    <w:p w14:paraId="16FA58DB" w14:textId="77777777" w:rsidR="009821B7" w:rsidRPr="00C12A16" w:rsidRDefault="009821B7" w:rsidP="009821B7">
      <w:pPr>
        <w:pStyle w:val="Default"/>
        <w:ind w:left="709"/>
        <w:jc w:val="both"/>
        <w:rPr>
          <w:sz w:val="22"/>
          <w:szCs w:val="22"/>
        </w:rPr>
      </w:pPr>
    </w:p>
    <w:p w14:paraId="1D2F820F" w14:textId="77777777" w:rsidR="009821B7" w:rsidRPr="00C12A16" w:rsidRDefault="009821B7" w:rsidP="009821B7">
      <w:pPr>
        <w:pStyle w:val="Default"/>
        <w:ind w:left="709"/>
        <w:jc w:val="both"/>
        <w:rPr>
          <w:sz w:val="22"/>
          <w:szCs w:val="22"/>
        </w:rPr>
      </w:pPr>
      <w:r w:rsidRPr="00C12A16">
        <w:rPr>
          <w:sz w:val="22"/>
          <w:szCs w:val="22"/>
        </w:rPr>
        <w:t xml:space="preserve">Chief executives of organisations commissioning or providing care on behalf of the NHS will designate the responsibility for EPRR as a core part of the organisation’s governance and its operational delivery programmes. Chief executives will be able to delegate this responsibility to a named director, the AEO. The AEO will be a Board level director responsible for EPRR. They will have executive authority and responsibility for ensuring that the organisation complies with legal and policy requirements. They will provide assurance to the Board that strategies, systems, training, </w:t>
      </w:r>
      <w:proofErr w:type="gramStart"/>
      <w:r w:rsidRPr="00C12A16">
        <w:rPr>
          <w:sz w:val="22"/>
          <w:szCs w:val="22"/>
        </w:rPr>
        <w:t>policies</w:t>
      </w:r>
      <w:proofErr w:type="gramEnd"/>
      <w:r w:rsidRPr="00C12A16">
        <w:rPr>
          <w:sz w:val="22"/>
          <w:szCs w:val="22"/>
        </w:rPr>
        <w:t xml:space="preserve"> and procedures are in place to ensure an appropriate response for their organisation in the event of an incident. </w:t>
      </w:r>
    </w:p>
    <w:p w14:paraId="429D2B47" w14:textId="77777777" w:rsidR="009821B7" w:rsidRPr="00C12A16" w:rsidRDefault="009821B7" w:rsidP="009821B7">
      <w:pPr>
        <w:pStyle w:val="Default"/>
        <w:ind w:left="709"/>
        <w:jc w:val="both"/>
        <w:rPr>
          <w:sz w:val="22"/>
          <w:szCs w:val="22"/>
        </w:rPr>
      </w:pPr>
    </w:p>
    <w:p w14:paraId="2292149E" w14:textId="77777777" w:rsidR="009821B7" w:rsidRPr="00C12A16" w:rsidRDefault="009821B7" w:rsidP="009821B7">
      <w:pPr>
        <w:pStyle w:val="Default"/>
        <w:ind w:left="709"/>
        <w:jc w:val="both"/>
        <w:rPr>
          <w:sz w:val="22"/>
          <w:szCs w:val="22"/>
        </w:rPr>
      </w:pPr>
      <w:r w:rsidRPr="00C12A16">
        <w:rPr>
          <w:sz w:val="22"/>
          <w:szCs w:val="22"/>
        </w:rPr>
        <w:t xml:space="preserve">AEOs will be aware of their legal duties to ensure preparedness to respond to an incident within their health community to maintain the public’s protection and maximise the NHS response. </w:t>
      </w:r>
    </w:p>
    <w:p w14:paraId="592DB25C" w14:textId="77777777" w:rsidR="009821B7" w:rsidRPr="00C12A16" w:rsidRDefault="009821B7" w:rsidP="009821B7">
      <w:pPr>
        <w:pStyle w:val="Default"/>
        <w:ind w:left="709"/>
        <w:jc w:val="both"/>
        <w:rPr>
          <w:sz w:val="22"/>
          <w:szCs w:val="22"/>
        </w:rPr>
      </w:pPr>
    </w:p>
    <w:p w14:paraId="49205FC5" w14:textId="77777777" w:rsidR="009821B7" w:rsidRPr="00C12A16" w:rsidRDefault="009821B7" w:rsidP="009821B7">
      <w:pPr>
        <w:pStyle w:val="Default"/>
        <w:ind w:left="709"/>
        <w:jc w:val="both"/>
        <w:rPr>
          <w:sz w:val="22"/>
          <w:szCs w:val="22"/>
        </w:rPr>
      </w:pPr>
      <w:r w:rsidRPr="00C12A16">
        <w:rPr>
          <w:sz w:val="22"/>
          <w:szCs w:val="22"/>
        </w:rPr>
        <w:t xml:space="preserve">The AEO will be supported by a non-executive director or other appropriate Board member to endorse assurance to the Board that the organisation is meeting its obligations with respect to EPRR and relevant statutory duties under the CCA 2004 and the NHS Act 2006 (as amended). This will include assurance that the organisation has allocated sufficient experienced and qualified resource to meet these requirements. </w:t>
      </w:r>
    </w:p>
    <w:p w14:paraId="7A06D511" w14:textId="77777777" w:rsidR="009821B7" w:rsidRPr="00C12A16" w:rsidRDefault="009821B7" w:rsidP="009821B7">
      <w:pPr>
        <w:pStyle w:val="Default"/>
        <w:ind w:left="709"/>
        <w:jc w:val="both"/>
        <w:rPr>
          <w:sz w:val="22"/>
          <w:szCs w:val="22"/>
        </w:rPr>
      </w:pPr>
    </w:p>
    <w:p w14:paraId="7328D878" w14:textId="77777777" w:rsidR="009821B7" w:rsidRPr="00C12A16" w:rsidRDefault="009821B7" w:rsidP="009821B7">
      <w:pPr>
        <w:pStyle w:val="Default"/>
        <w:ind w:left="709"/>
        <w:jc w:val="both"/>
        <w:rPr>
          <w:sz w:val="22"/>
          <w:szCs w:val="22"/>
        </w:rPr>
      </w:pPr>
      <w:r w:rsidRPr="00C12A16">
        <w:rPr>
          <w:sz w:val="22"/>
          <w:szCs w:val="22"/>
        </w:rPr>
        <w:t xml:space="preserve">Specifically the AEO will be responsible for: </w:t>
      </w:r>
    </w:p>
    <w:p w14:paraId="010577FF" w14:textId="77777777" w:rsidR="009821B7" w:rsidRPr="00C12A16" w:rsidRDefault="009821B7" w:rsidP="009821B7">
      <w:pPr>
        <w:pStyle w:val="Default"/>
        <w:ind w:left="709"/>
        <w:jc w:val="both"/>
        <w:rPr>
          <w:sz w:val="22"/>
          <w:szCs w:val="22"/>
        </w:rPr>
      </w:pPr>
    </w:p>
    <w:p w14:paraId="49D9239D" w14:textId="77777777" w:rsidR="009821B7" w:rsidRPr="00C12A16" w:rsidRDefault="009821B7" w:rsidP="009821B7">
      <w:pPr>
        <w:pStyle w:val="Default"/>
        <w:numPr>
          <w:ilvl w:val="0"/>
          <w:numId w:val="12"/>
        </w:numPr>
        <w:jc w:val="both"/>
        <w:rPr>
          <w:sz w:val="22"/>
          <w:szCs w:val="22"/>
        </w:rPr>
      </w:pPr>
      <w:r w:rsidRPr="00C12A16">
        <w:rPr>
          <w:sz w:val="22"/>
          <w:szCs w:val="22"/>
        </w:rPr>
        <w:t xml:space="preserve">Ensuring that the organisation, and any sub-contractors, is compliant with the EPRR requirements as set out in the CCA 2004, the NHS Act 2006 (as amended) and the NHS Standard Contract, including the NHS England Emergency Preparedness, Resilience and Response Framework and the NHS England Core Standards for EPRR </w:t>
      </w:r>
    </w:p>
    <w:p w14:paraId="2A381DCC" w14:textId="77777777" w:rsidR="009821B7" w:rsidRPr="00C12A16" w:rsidRDefault="009821B7" w:rsidP="009821B7">
      <w:pPr>
        <w:pStyle w:val="Default"/>
        <w:ind w:left="709"/>
        <w:jc w:val="both"/>
        <w:rPr>
          <w:sz w:val="22"/>
          <w:szCs w:val="22"/>
        </w:rPr>
      </w:pPr>
    </w:p>
    <w:p w14:paraId="45DBDF4B" w14:textId="6A6A4E51" w:rsidR="009821B7" w:rsidRPr="00C12A16" w:rsidRDefault="009821B7" w:rsidP="009821B7">
      <w:pPr>
        <w:pStyle w:val="Default"/>
        <w:numPr>
          <w:ilvl w:val="0"/>
          <w:numId w:val="12"/>
        </w:numPr>
        <w:jc w:val="both"/>
        <w:rPr>
          <w:sz w:val="22"/>
          <w:szCs w:val="22"/>
        </w:rPr>
      </w:pPr>
      <w:r w:rsidRPr="00C12A16">
        <w:rPr>
          <w:sz w:val="22"/>
          <w:szCs w:val="22"/>
        </w:rPr>
        <w:t xml:space="preserve">Ensuring that the organisation is properly prepared and resourced for dealing with an </w:t>
      </w:r>
      <w:r w:rsidR="007C5EB3" w:rsidRPr="00C12A16">
        <w:rPr>
          <w:sz w:val="22"/>
          <w:szCs w:val="22"/>
        </w:rPr>
        <w:t>incident.</w:t>
      </w:r>
    </w:p>
    <w:p w14:paraId="1F122554" w14:textId="77777777" w:rsidR="009821B7" w:rsidRPr="00C12A16" w:rsidRDefault="009821B7" w:rsidP="009821B7">
      <w:pPr>
        <w:pStyle w:val="Default"/>
        <w:ind w:left="709"/>
        <w:jc w:val="both"/>
        <w:rPr>
          <w:sz w:val="22"/>
          <w:szCs w:val="22"/>
        </w:rPr>
      </w:pPr>
      <w:r w:rsidRPr="00C12A16">
        <w:rPr>
          <w:sz w:val="22"/>
          <w:szCs w:val="22"/>
        </w:rPr>
        <w:t xml:space="preserve"> </w:t>
      </w:r>
    </w:p>
    <w:p w14:paraId="162EBC45" w14:textId="4DEECFCC" w:rsidR="009821B7" w:rsidRPr="00C12A16" w:rsidRDefault="009821B7" w:rsidP="009821B7">
      <w:pPr>
        <w:pStyle w:val="Default"/>
        <w:numPr>
          <w:ilvl w:val="0"/>
          <w:numId w:val="12"/>
        </w:numPr>
        <w:jc w:val="both"/>
        <w:rPr>
          <w:sz w:val="22"/>
          <w:szCs w:val="22"/>
        </w:rPr>
      </w:pPr>
      <w:r w:rsidRPr="00C12A16">
        <w:rPr>
          <w:sz w:val="22"/>
          <w:szCs w:val="22"/>
        </w:rPr>
        <w:t xml:space="preserve">Ensuring that their organisation, any providers they </w:t>
      </w:r>
      <w:r w:rsidR="007C5EB3" w:rsidRPr="00C12A16">
        <w:rPr>
          <w:sz w:val="22"/>
          <w:szCs w:val="22"/>
        </w:rPr>
        <w:t>commission,</w:t>
      </w:r>
      <w:r w:rsidRPr="00C12A16">
        <w:rPr>
          <w:sz w:val="22"/>
          <w:szCs w:val="22"/>
        </w:rPr>
        <w:t xml:space="preserve"> and any sub-contractors have robust business continuity planning arrangements in place which are aligned to ISO 22301 or subsequent guidance which may supersede </w:t>
      </w:r>
      <w:proofErr w:type="gramStart"/>
      <w:r w:rsidRPr="00C12A16">
        <w:rPr>
          <w:sz w:val="22"/>
          <w:szCs w:val="22"/>
        </w:rPr>
        <w:t>this</w:t>
      </w:r>
      <w:proofErr w:type="gramEnd"/>
      <w:r w:rsidRPr="00C12A16">
        <w:rPr>
          <w:sz w:val="22"/>
          <w:szCs w:val="22"/>
        </w:rPr>
        <w:t xml:space="preserve"> </w:t>
      </w:r>
    </w:p>
    <w:p w14:paraId="19F951C0" w14:textId="77777777" w:rsidR="009821B7" w:rsidRPr="00C12A16" w:rsidRDefault="009821B7" w:rsidP="009821B7">
      <w:pPr>
        <w:pStyle w:val="Default"/>
        <w:ind w:left="709"/>
        <w:jc w:val="both"/>
        <w:rPr>
          <w:sz w:val="22"/>
          <w:szCs w:val="22"/>
        </w:rPr>
      </w:pPr>
    </w:p>
    <w:p w14:paraId="0CC1EC73" w14:textId="236F0C48" w:rsidR="009821B7" w:rsidRPr="00C12A16" w:rsidRDefault="009821B7" w:rsidP="009821B7">
      <w:pPr>
        <w:pStyle w:val="Default"/>
        <w:numPr>
          <w:ilvl w:val="0"/>
          <w:numId w:val="12"/>
        </w:numPr>
        <w:jc w:val="both"/>
        <w:rPr>
          <w:sz w:val="22"/>
          <w:szCs w:val="22"/>
        </w:rPr>
      </w:pPr>
      <w:r w:rsidRPr="00C12A16">
        <w:rPr>
          <w:sz w:val="22"/>
          <w:szCs w:val="22"/>
        </w:rPr>
        <w:lastRenderedPageBreak/>
        <w:t xml:space="preserve">Ensuring that the organisation has a robust surge capacity plan that provides an integrated organisational response and that it has been tested with other providers and partner organisations in the local area </w:t>
      </w:r>
      <w:r w:rsidR="007C5EB3" w:rsidRPr="00C12A16">
        <w:rPr>
          <w:sz w:val="22"/>
          <w:szCs w:val="22"/>
        </w:rPr>
        <w:t>served.</w:t>
      </w:r>
      <w:r w:rsidRPr="00C12A16">
        <w:rPr>
          <w:sz w:val="22"/>
          <w:szCs w:val="22"/>
        </w:rPr>
        <w:t xml:space="preserve"> </w:t>
      </w:r>
    </w:p>
    <w:p w14:paraId="0698A603" w14:textId="77777777" w:rsidR="009821B7" w:rsidRPr="00C12A16" w:rsidRDefault="009821B7" w:rsidP="009821B7">
      <w:pPr>
        <w:pStyle w:val="Default"/>
        <w:ind w:left="709"/>
        <w:jc w:val="both"/>
        <w:rPr>
          <w:sz w:val="22"/>
          <w:szCs w:val="22"/>
        </w:rPr>
      </w:pPr>
    </w:p>
    <w:p w14:paraId="29257757" w14:textId="0774643C" w:rsidR="009821B7" w:rsidRPr="00C12A16" w:rsidRDefault="009821B7" w:rsidP="009821B7">
      <w:pPr>
        <w:pStyle w:val="Default"/>
        <w:numPr>
          <w:ilvl w:val="0"/>
          <w:numId w:val="12"/>
        </w:numPr>
        <w:jc w:val="both"/>
        <w:rPr>
          <w:sz w:val="22"/>
          <w:szCs w:val="22"/>
        </w:rPr>
      </w:pPr>
      <w:r w:rsidRPr="00C12A16">
        <w:rPr>
          <w:sz w:val="22"/>
          <w:szCs w:val="22"/>
        </w:rPr>
        <w:t xml:space="preserve">Ensuring that the organisation complies with any requirements of NHS England, or agents of NHS England, in respect of monitoring </w:t>
      </w:r>
      <w:r w:rsidR="007C5EB3" w:rsidRPr="00C12A16">
        <w:rPr>
          <w:sz w:val="22"/>
          <w:szCs w:val="22"/>
        </w:rPr>
        <w:t>compliance.</w:t>
      </w:r>
      <w:r w:rsidRPr="00C12A16">
        <w:rPr>
          <w:sz w:val="22"/>
          <w:szCs w:val="22"/>
        </w:rPr>
        <w:t xml:space="preserve"> </w:t>
      </w:r>
    </w:p>
    <w:p w14:paraId="1D600B91" w14:textId="77777777" w:rsidR="009821B7" w:rsidRPr="00C12A16" w:rsidRDefault="009821B7" w:rsidP="009821B7">
      <w:pPr>
        <w:pStyle w:val="Default"/>
        <w:ind w:left="709"/>
        <w:jc w:val="both"/>
        <w:rPr>
          <w:sz w:val="22"/>
          <w:szCs w:val="22"/>
        </w:rPr>
      </w:pPr>
    </w:p>
    <w:p w14:paraId="08A86DAE" w14:textId="2A7EAA73" w:rsidR="009821B7" w:rsidRPr="00C12A16" w:rsidRDefault="009821B7" w:rsidP="009821B7">
      <w:pPr>
        <w:pStyle w:val="Default"/>
        <w:numPr>
          <w:ilvl w:val="0"/>
          <w:numId w:val="12"/>
        </w:numPr>
        <w:jc w:val="both"/>
        <w:rPr>
          <w:sz w:val="22"/>
          <w:szCs w:val="22"/>
        </w:rPr>
      </w:pPr>
      <w:r w:rsidRPr="00C12A16">
        <w:rPr>
          <w:sz w:val="22"/>
          <w:szCs w:val="22"/>
        </w:rPr>
        <w:t xml:space="preserve">Providing NHS England with such information as it may require for the purpose of discharging its </w:t>
      </w:r>
      <w:r w:rsidR="007C5EB3" w:rsidRPr="00C12A16">
        <w:rPr>
          <w:sz w:val="22"/>
          <w:szCs w:val="22"/>
        </w:rPr>
        <w:t>functions.</w:t>
      </w:r>
      <w:r w:rsidRPr="00C12A16">
        <w:rPr>
          <w:sz w:val="22"/>
          <w:szCs w:val="22"/>
        </w:rPr>
        <w:t xml:space="preserve"> </w:t>
      </w:r>
    </w:p>
    <w:p w14:paraId="408461EF" w14:textId="77777777" w:rsidR="009821B7" w:rsidRPr="00C12A16" w:rsidRDefault="009821B7" w:rsidP="009821B7">
      <w:pPr>
        <w:pStyle w:val="Default"/>
        <w:ind w:left="709"/>
        <w:jc w:val="both"/>
        <w:rPr>
          <w:sz w:val="22"/>
          <w:szCs w:val="22"/>
        </w:rPr>
      </w:pPr>
    </w:p>
    <w:p w14:paraId="31ADF0BB" w14:textId="20D061D8" w:rsidR="009821B7" w:rsidRPr="00C12A16" w:rsidRDefault="009821B7" w:rsidP="009821B7">
      <w:pPr>
        <w:pStyle w:val="Default"/>
        <w:numPr>
          <w:ilvl w:val="0"/>
          <w:numId w:val="12"/>
        </w:numPr>
        <w:jc w:val="both"/>
        <w:rPr>
          <w:sz w:val="22"/>
          <w:szCs w:val="22"/>
        </w:rPr>
      </w:pPr>
      <w:r w:rsidRPr="00C12A16">
        <w:rPr>
          <w:sz w:val="22"/>
          <w:szCs w:val="22"/>
        </w:rPr>
        <w:t xml:space="preserve">Ensuring that the organisation is appropriately represented by director level engagement with, and effectively contributes to any governance meetings, sub-groups or working groups of the LHRP and/or LRF, as </w:t>
      </w:r>
      <w:r w:rsidR="007C5EB3" w:rsidRPr="00C12A16">
        <w:rPr>
          <w:sz w:val="22"/>
          <w:szCs w:val="22"/>
        </w:rPr>
        <w:t>appropriate.</w:t>
      </w:r>
      <w:r w:rsidRPr="00C12A16">
        <w:rPr>
          <w:sz w:val="22"/>
          <w:szCs w:val="22"/>
        </w:rPr>
        <w:t xml:space="preserve"> </w:t>
      </w:r>
    </w:p>
    <w:p w14:paraId="78F906C7" w14:textId="77777777" w:rsidR="009821B7" w:rsidRPr="00C12A16" w:rsidRDefault="009821B7" w:rsidP="009821B7">
      <w:pPr>
        <w:pStyle w:val="Default"/>
        <w:ind w:left="709"/>
        <w:jc w:val="both"/>
        <w:rPr>
          <w:sz w:val="22"/>
          <w:szCs w:val="22"/>
        </w:rPr>
      </w:pPr>
    </w:p>
    <w:p w14:paraId="04860020" w14:textId="75466C3D" w:rsidR="009821B7" w:rsidRPr="00C12A16" w:rsidRDefault="009821B7" w:rsidP="009821B7">
      <w:pPr>
        <w:pStyle w:val="Default"/>
        <w:ind w:left="709"/>
        <w:jc w:val="both"/>
        <w:rPr>
          <w:b/>
          <w:bCs/>
          <w:sz w:val="22"/>
          <w:szCs w:val="22"/>
          <w:u w:val="single"/>
        </w:rPr>
      </w:pPr>
      <w:bookmarkStart w:id="11" w:name="_Toc523405094"/>
      <w:r w:rsidRPr="00C12A16">
        <w:rPr>
          <w:b/>
          <w:bCs/>
          <w:sz w:val="22"/>
          <w:szCs w:val="22"/>
          <w:u w:val="single"/>
        </w:rPr>
        <w:t>CCGs</w:t>
      </w:r>
      <w:bookmarkEnd w:id="11"/>
    </w:p>
    <w:p w14:paraId="23BF7A9B" w14:textId="77777777" w:rsidR="009821B7" w:rsidRPr="00C12A16" w:rsidRDefault="009821B7" w:rsidP="009821B7">
      <w:pPr>
        <w:pStyle w:val="Default"/>
        <w:ind w:left="709"/>
        <w:jc w:val="both"/>
        <w:rPr>
          <w:sz w:val="22"/>
          <w:szCs w:val="22"/>
        </w:rPr>
      </w:pPr>
    </w:p>
    <w:p w14:paraId="03CF61E1" w14:textId="77777777" w:rsidR="009821B7" w:rsidRPr="00C12A16" w:rsidRDefault="009821B7" w:rsidP="009821B7">
      <w:pPr>
        <w:pStyle w:val="Default"/>
        <w:ind w:left="709"/>
        <w:jc w:val="both"/>
        <w:rPr>
          <w:sz w:val="22"/>
          <w:szCs w:val="22"/>
        </w:rPr>
      </w:pPr>
      <w:r w:rsidRPr="00C12A16">
        <w:rPr>
          <w:sz w:val="22"/>
          <w:szCs w:val="22"/>
        </w:rPr>
        <w:t xml:space="preserve">The EPRR role and responsibilities of CCGs are to: </w:t>
      </w:r>
    </w:p>
    <w:p w14:paraId="45EAB8D9" w14:textId="77777777" w:rsidR="009821B7" w:rsidRPr="00C12A16" w:rsidRDefault="009821B7" w:rsidP="009821B7">
      <w:pPr>
        <w:pStyle w:val="Default"/>
        <w:ind w:left="709"/>
        <w:jc w:val="both"/>
        <w:rPr>
          <w:sz w:val="22"/>
          <w:szCs w:val="22"/>
        </w:rPr>
      </w:pPr>
    </w:p>
    <w:p w14:paraId="58C23AF1" w14:textId="0141357C" w:rsidR="009821B7" w:rsidRPr="00C12A16" w:rsidRDefault="009821B7" w:rsidP="009821B7">
      <w:pPr>
        <w:pStyle w:val="Default"/>
        <w:numPr>
          <w:ilvl w:val="0"/>
          <w:numId w:val="13"/>
        </w:numPr>
        <w:jc w:val="both"/>
        <w:rPr>
          <w:sz w:val="22"/>
          <w:szCs w:val="22"/>
        </w:rPr>
      </w:pPr>
      <w:r w:rsidRPr="00C12A16">
        <w:rPr>
          <w:sz w:val="22"/>
          <w:szCs w:val="22"/>
        </w:rPr>
        <w:t xml:space="preserve">Ensure contracts with all commissioned provider organisations (including independent and third sector) contain relevant EPRR elements, including business </w:t>
      </w:r>
      <w:r w:rsidR="007C5EB3" w:rsidRPr="00C12A16">
        <w:rPr>
          <w:sz w:val="22"/>
          <w:szCs w:val="22"/>
        </w:rPr>
        <w:t>continuity.</w:t>
      </w:r>
      <w:r w:rsidRPr="00C12A16">
        <w:rPr>
          <w:sz w:val="22"/>
          <w:szCs w:val="22"/>
        </w:rPr>
        <w:t xml:space="preserve"> </w:t>
      </w:r>
    </w:p>
    <w:p w14:paraId="2E5C0EC9" w14:textId="689AD385" w:rsidR="009821B7" w:rsidRPr="00C12A16" w:rsidRDefault="009821B7" w:rsidP="009821B7">
      <w:pPr>
        <w:pStyle w:val="Default"/>
        <w:numPr>
          <w:ilvl w:val="0"/>
          <w:numId w:val="13"/>
        </w:numPr>
        <w:jc w:val="both"/>
        <w:rPr>
          <w:sz w:val="22"/>
          <w:szCs w:val="22"/>
        </w:rPr>
      </w:pPr>
      <w:r w:rsidRPr="00C12A16">
        <w:rPr>
          <w:sz w:val="22"/>
          <w:szCs w:val="22"/>
        </w:rPr>
        <w:t xml:space="preserve">Monitor compliance by each commissioned provider organisation with their contractual obligations in respect of EPRR and with applicable Core </w:t>
      </w:r>
      <w:r w:rsidR="004C07C5" w:rsidRPr="00C12A16">
        <w:rPr>
          <w:sz w:val="22"/>
          <w:szCs w:val="22"/>
        </w:rPr>
        <w:t>Standards.</w:t>
      </w:r>
      <w:r w:rsidRPr="00C12A16">
        <w:rPr>
          <w:sz w:val="22"/>
          <w:szCs w:val="22"/>
        </w:rPr>
        <w:t xml:space="preserve"> </w:t>
      </w:r>
    </w:p>
    <w:p w14:paraId="1CB009B1" w14:textId="77777777" w:rsidR="009821B7" w:rsidRPr="00C12A16" w:rsidRDefault="009821B7" w:rsidP="009821B7">
      <w:pPr>
        <w:pStyle w:val="Default"/>
        <w:numPr>
          <w:ilvl w:val="0"/>
          <w:numId w:val="13"/>
        </w:numPr>
        <w:jc w:val="both"/>
        <w:rPr>
          <w:sz w:val="22"/>
          <w:szCs w:val="22"/>
        </w:rPr>
      </w:pPr>
      <w:r w:rsidRPr="00C12A16">
        <w:rPr>
          <w:sz w:val="22"/>
          <w:szCs w:val="22"/>
        </w:rPr>
        <w:t xml:space="preserve">Ensure robust escalation procedures are in place so that if a commissioned provider has an incident the provider can inform the CCG 24/7 </w:t>
      </w:r>
    </w:p>
    <w:p w14:paraId="28708885" w14:textId="081C17C2" w:rsidR="009821B7" w:rsidRPr="00C12A16" w:rsidRDefault="009821B7" w:rsidP="009821B7">
      <w:pPr>
        <w:pStyle w:val="Default"/>
        <w:numPr>
          <w:ilvl w:val="0"/>
          <w:numId w:val="13"/>
        </w:numPr>
        <w:jc w:val="both"/>
        <w:rPr>
          <w:sz w:val="22"/>
          <w:szCs w:val="22"/>
        </w:rPr>
      </w:pPr>
      <w:r w:rsidRPr="00C12A16">
        <w:rPr>
          <w:sz w:val="22"/>
          <w:szCs w:val="22"/>
        </w:rPr>
        <w:t xml:space="preserve">Ensure effective processes are in place for the CCG to properly prepare for and rehearse incident response arrangements with local partners and </w:t>
      </w:r>
      <w:r w:rsidR="004C07C5" w:rsidRPr="00C12A16">
        <w:rPr>
          <w:sz w:val="22"/>
          <w:szCs w:val="22"/>
        </w:rPr>
        <w:t>providers.</w:t>
      </w:r>
      <w:r w:rsidRPr="00C12A16">
        <w:rPr>
          <w:sz w:val="22"/>
          <w:szCs w:val="22"/>
        </w:rPr>
        <w:t xml:space="preserve"> </w:t>
      </w:r>
    </w:p>
    <w:p w14:paraId="00321928" w14:textId="77777777" w:rsidR="009821B7" w:rsidRPr="00C12A16" w:rsidRDefault="009821B7" w:rsidP="009821B7">
      <w:pPr>
        <w:pStyle w:val="Default"/>
        <w:numPr>
          <w:ilvl w:val="0"/>
          <w:numId w:val="13"/>
        </w:numPr>
        <w:jc w:val="both"/>
        <w:rPr>
          <w:sz w:val="22"/>
          <w:szCs w:val="22"/>
        </w:rPr>
      </w:pPr>
      <w:r w:rsidRPr="00C12A16">
        <w:rPr>
          <w:sz w:val="22"/>
          <w:szCs w:val="22"/>
        </w:rPr>
        <w:t xml:space="preserve">Be represented at the LHRP, either on their own behalf or through a nominated lead CCG representative </w:t>
      </w:r>
    </w:p>
    <w:p w14:paraId="1CFBC7E9" w14:textId="0B2A59C1" w:rsidR="009821B7" w:rsidRPr="00C12A16" w:rsidRDefault="009821B7" w:rsidP="009821B7">
      <w:pPr>
        <w:pStyle w:val="Default"/>
        <w:numPr>
          <w:ilvl w:val="0"/>
          <w:numId w:val="13"/>
        </w:numPr>
        <w:jc w:val="both"/>
        <w:rPr>
          <w:sz w:val="22"/>
          <w:szCs w:val="22"/>
        </w:rPr>
      </w:pPr>
      <w:r w:rsidRPr="00C12A16">
        <w:rPr>
          <w:sz w:val="22"/>
          <w:szCs w:val="22"/>
        </w:rPr>
        <w:t xml:space="preserve">Provide a route of escalation for the LHRP in respect of commissioned provider EPRR </w:t>
      </w:r>
      <w:r w:rsidR="004C07C5" w:rsidRPr="00C12A16">
        <w:rPr>
          <w:sz w:val="22"/>
          <w:szCs w:val="22"/>
        </w:rPr>
        <w:t>preparedness.</w:t>
      </w:r>
      <w:r w:rsidRPr="00C12A16">
        <w:rPr>
          <w:sz w:val="22"/>
          <w:szCs w:val="22"/>
        </w:rPr>
        <w:t xml:space="preserve"> </w:t>
      </w:r>
    </w:p>
    <w:p w14:paraId="0230E7DA" w14:textId="77777777" w:rsidR="009821B7" w:rsidRPr="00C12A16" w:rsidRDefault="009821B7" w:rsidP="009821B7">
      <w:pPr>
        <w:pStyle w:val="Default"/>
        <w:numPr>
          <w:ilvl w:val="0"/>
          <w:numId w:val="13"/>
        </w:numPr>
        <w:jc w:val="both"/>
        <w:rPr>
          <w:sz w:val="22"/>
          <w:szCs w:val="22"/>
        </w:rPr>
      </w:pPr>
      <w:r w:rsidRPr="00C12A16">
        <w:rPr>
          <w:sz w:val="22"/>
          <w:szCs w:val="22"/>
        </w:rPr>
        <w:t xml:space="preserve">Support NHS England in discharging its EPRR functions and duties locally, including supporting health economy tactical coordination during incidents (Alert Level 2-4) </w:t>
      </w:r>
    </w:p>
    <w:p w14:paraId="293B4C85" w14:textId="77777777" w:rsidR="009821B7" w:rsidRPr="00C12A16" w:rsidRDefault="009821B7" w:rsidP="009821B7">
      <w:pPr>
        <w:pStyle w:val="Default"/>
        <w:numPr>
          <w:ilvl w:val="0"/>
          <w:numId w:val="13"/>
        </w:numPr>
        <w:jc w:val="both"/>
        <w:rPr>
          <w:sz w:val="22"/>
          <w:szCs w:val="22"/>
        </w:rPr>
      </w:pPr>
      <w:r w:rsidRPr="00C12A16">
        <w:rPr>
          <w:sz w:val="22"/>
          <w:szCs w:val="22"/>
        </w:rPr>
        <w:t xml:space="preserve">Fulfil the duties of a Category 2 responder under the CCA 2004 and the requirements in respect of emergencies within the NHS Act 2006 (as amended </w:t>
      </w:r>
    </w:p>
    <w:p w14:paraId="62F3583E" w14:textId="77777777" w:rsidR="009821B7" w:rsidRPr="00C12A16" w:rsidRDefault="009821B7" w:rsidP="009821B7">
      <w:pPr>
        <w:pStyle w:val="Default"/>
        <w:ind w:left="709"/>
        <w:jc w:val="both"/>
        <w:rPr>
          <w:sz w:val="22"/>
          <w:szCs w:val="22"/>
        </w:rPr>
      </w:pPr>
    </w:p>
    <w:p w14:paraId="2C8D2FC5" w14:textId="77777777" w:rsidR="009821B7" w:rsidRPr="00C12A16" w:rsidRDefault="009821B7" w:rsidP="009821B7">
      <w:pPr>
        <w:pStyle w:val="Default"/>
        <w:ind w:left="709"/>
        <w:jc w:val="both"/>
        <w:rPr>
          <w:b/>
          <w:bCs/>
          <w:sz w:val="22"/>
          <w:szCs w:val="22"/>
          <w:u w:val="single"/>
        </w:rPr>
      </w:pPr>
      <w:bookmarkStart w:id="12" w:name="_Toc523405095"/>
      <w:r w:rsidRPr="00C12A16">
        <w:rPr>
          <w:b/>
          <w:bCs/>
          <w:sz w:val="22"/>
          <w:szCs w:val="22"/>
          <w:u w:val="single"/>
        </w:rPr>
        <w:t>On-call Directors</w:t>
      </w:r>
      <w:bookmarkEnd w:id="12"/>
    </w:p>
    <w:p w14:paraId="3F6E6BF6" w14:textId="77777777" w:rsidR="009821B7" w:rsidRPr="00C12A16" w:rsidRDefault="009821B7" w:rsidP="009821B7">
      <w:pPr>
        <w:pStyle w:val="Default"/>
        <w:ind w:left="709"/>
        <w:jc w:val="both"/>
        <w:rPr>
          <w:sz w:val="22"/>
          <w:szCs w:val="22"/>
        </w:rPr>
      </w:pPr>
    </w:p>
    <w:p w14:paraId="0A309C94" w14:textId="77777777" w:rsidR="009821B7" w:rsidRPr="00C12A16" w:rsidRDefault="009821B7" w:rsidP="009821B7">
      <w:pPr>
        <w:pStyle w:val="Default"/>
        <w:ind w:left="709"/>
        <w:jc w:val="both"/>
        <w:rPr>
          <w:sz w:val="22"/>
          <w:szCs w:val="22"/>
        </w:rPr>
      </w:pPr>
      <w:r w:rsidRPr="00C12A16">
        <w:rPr>
          <w:sz w:val="22"/>
          <w:szCs w:val="22"/>
        </w:rPr>
        <w:t xml:space="preserve">There are 3 on-call directors employed by North East Lincolnshire CCG, one of which is the AEO. The 3 NELCCG on-call directors are part of a Humber-wide on-call contingent with North Lincolnshire CCG, East Riding of Yorkshire CCG, and Hull CCG. </w:t>
      </w:r>
    </w:p>
    <w:p w14:paraId="05F395F0" w14:textId="77777777" w:rsidR="009821B7" w:rsidRPr="00C12A16" w:rsidRDefault="009821B7" w:rsidP="009821B7">
      <w:pPr>
        <w:pStyle w:val="Default"/>
        <w:ind w:left="709"/>
        <w:jc w:val="both"/>
        <w:rPr>
          <w:sz w:val="22"/>
          <w:szCs w:val="22"/>
        </w:rPr>
      </w:pPr>
    </w:p>
    <w:p w14:paraId="6CCBC631" w14:textId="6458E71A" w:rsidR="009821B7" w:rsidRPr="00C12A16" w:rsidRDefault="009821B7" w:rsidP="009821B7">
      <w:pPr>
        <w:pStyle w:val="Default"/>
        <w:ind w:left="709"/>
        <w:jc w:val="both"/>
        <w:rPr>
          <w:sz w:val="22"/>
          <w:szCs w:val="22"/>
        </w:rPr>
      </w:pPr>
      <w:r w:rsidRPr="00C12A16">
        <w:rPr>
          <w:sz w:val="22"/>
          <w:szCs w:val="22"/>
        </w:rPr>
        <w:t>The full details of the roles and responsibilities of the on-call directors are outlined in the Humber On-call Policy; however generally speaking the on-call director fulfils the CCG’s requirement to be available 24</w:t>
      </w:r>
      <w:r w:rsidR="004E72C3">
        <w:rPr>
          <w:sz w:val="22"/>
          <w:szCs w:val="22"/>
        </w:rPr>
        <w:t xml:space="preserve"> </w:t>
      </w:r>
      <w:r w:rsidRPr="00C12A16">
        <w:rPr>
          <w:sz w:val="22"/>
          <w:szCs w:val="22"/>
        </w:rPr>
        <w:t xml:space="preserve">hours 7 days a week in the event of an emergency. </w:t>
      </w:r>
    </w:p>
    <w:p w14:paraId="607F33DE" w14:textId="77777777" w:rsidR="009821B7" w:rsidRPr="00C12A16" w:rsidRDefault="009821B7" w:rsidP="009821B7">
      <w:pPr>
        <w:pStyle w:val="Default"/>
        <w:ind w:left="709"/>
        <w:jc w:val="both"/>
        <w:rPr>
          <w:sz w:val="22"/>
          <w:szCs w:val="22"/>
        </w:rPr>
      </w:pPr>
    </w:p>
    <w:p w14:paraId="0AF5C569" w14:textId="77777777" w:rsidR="009821B7" w:rsidRPr="00C12A16" w:rsidRDefault="009821B7" w:rsidP="009821B7">
      <w:pPr>
        <w:pStyle w:val="Default"/>
        <w:ind w:left="709"/>
        <w:jc w:val="both"/>
        <w:rPr>
          <w:sz w:val="22"/>
          <w:szCs w:val="22"/>
        </w:rPr>
      </w:pPr>
      <w:r w:rsidRPr="00C12A16">
        <w:rPr>
          <w:sz w:val="22"/>
          <w:szCs w:val="22"/>
        </w:rPr>
        <w:t xml:space="preserve">On-call Directors will maintain a continuous portfolio of EPRR exercise and training attendance. </w:t>
      </w:r>
    </w:p>
    <w:p w14:paraId="11A306FE" w14:textId="77777777" w:rsidR="009821B7" w:rsidRPr="00C12A16" w:rsidRDefault="009821B7" w:rsidP="009821B7">
      <w:pPr>
        <w:pStyle w:val="Default"/>
        <w:ind w:left="709"/>
        <w:jc w:val="both"/>
        <w:rPr>
          <w:sz w:val="22"/>
          <w:szCs w:val="22"/>
        </w:rPr>
      </w:pPr>
    </w:p>
    <w:p w14:paraId="364FFA71" w14:textId="77777777" w:rsidR="009821B7" w:rsidRPr="00C12A16" w:rsidRDefault="009821B7" w:rsidP="009821B7">
      <w:pPr>
        <w:pStyle w:val="Default"/>
        <w:ind w:left="709"/>
        <w:jc w:val="both"/>
        <w:rPr>
          <w:b/>
          <w:bCs/>
          <w:sz w:val="22"/>
          <w:szCs w:val="22"/>
          <w:u w:val="single"/>
        </w:rPr>
      </w:pPr>
      <w:bookmarkStart w:id="13" w:name="_Toc523405096"/>
      <w:r w:rsidRPr="00C12A16">
        <w:rPr>
          <w:b/>
          <w:bCs/>
          <w:sz w:val="22"/>
          <w:szCs w:val="22"/>
          <w:u w:val="single"/>
        </w:rPr>
        <w:t>Assistant Director for Strategic Planning</w:t>
      </w:r>
      <w:bookmarkEnd w:id="13"/>
    </w:p>
    <w:p w14:paraId="3547956C" w14:textId="77777777" w:rsidR="009821B7" w:rsidRPr="00C12A16" w:rsidRDefault="009821B7" w:rsidP="009821B7">
      <w:pPr>
        <w:pStyle w:val="Default"/>
        <w:ind w:left="709"/>
        <w:jc w:val="both"/>
        <w:rPr>
          <w:sz w:val="22"/>
          <w:szCs w:val="22"/>
        </w:rPr>
      </w:pPr>
    </w:p>
    <w:p w14:paraId="163C17F2" w14:textId="77777777" w:rsidR="009821B7" w:rsidRPr="00C12A16" w:rsidRDefault="009821B7" w:rsidP="009821B7">
      <w:pPr>
        <w:pStyle w:val="Default"/>
        <w:ind w:left="709"/>
        <w:jc w:val="both"/>
        <w:rPr>
          <w:sz w:val="22"/>
          <w:szCs w:val="22"/>
        </w:rPr>
      </w:pPr>
      <w:r w:rsidRPr="00C12A16">
        <w:rPr>
          <w:sz w:val="22"/>
          <w:szCs w:val="22"/>
        </w:rPr>
        <w:t xml:space="preserve">The Assistant Director for Strategic Planning will, together with the Emergency Planning and Resilience Manager, plan and strategize for EPRR and Business Continuity Incidents. </w:t>
      </w:r>
    </w:p>
    <w:p w14:paraId="1A6F4BE0" w14:textId="77777777" w:rsidR="009821B7" w:rsidRPr="00C12A16" w:rsidRDefault="009821B7" w:rsidP="009821B7">
      <w:pPr>
        <w:pStyle w:val="Default"/>
        <w:ind w:left="709"/>
        <w:jc w:val="both"/>
        <w:rPr>
          <w:sz w:val="22"/>
          <w:szCs w:val="22"/>
        </w:rPr>
      </w:pPr>
    </w:p>
    <w:p w14:paraId="3ABE8341" w14:textId="77777777" w:rsidR="009821B7" w:rsidRPr="00C12A16" w:rsidRDefault="009821B7" w:rsidP="009821B7">
      <w:pPr>
        <w:pStyle w:val="Default"/>
        <w:ind w:left="709"/>
        <w:jc w:val="both"/>
        <w:rPr>
          <w:b/>
          <w:bCs/>
          <w:sz w:val="22"/>
          <w:szCs w:val="22"/>
          <w:u w:val="single"/>
        </w:rPr>
      </w:pPr>
      <w:r w:rsidRPr="00C12A16">
        <w:rPr>
          <w:b/>
          <w:bCs/>
          <w:sz w:val="22"/>
          <w:szCs w:val="22"/>
          <w:u w:val="single"/>
        </w:rPr>
        <w:t>Emergency Planning and Resilience Manager</w:t>
      </w:r>
    </w:p>
    <w:p w14:paraId="39BE14E7" w14:textId="77777777" w:rsidR="009821B7" w:rsidRPr="00C12A16" w:rsidRDefault="009821B7" w:rsidP="009821B7">
      <w:pPr>
        <w:pStyle w:val="Default"/>
        <w:ind w:left="709"/>
        <w:jc w:val="both"/>
        <w:rPr>
          <w:sz w:val="22"/>
          <w:szCs w:val="22"/>
        </w:rPr>
      </w:pPr>
    </w:p>
    <w:p w14:paraId="4C34B5EA" w14:textId="77777777" w:rsidR="009821B7" w:rsidRPr="00C12A16" w:rsidRDefault="009821B7" w:rsidP="009821B7">
      <w:pPr>
        <w:pStyle w:val="Default"/>
        <w:ind w:left="709"/>
        <w:jc w:val="both"/>
        <w:rPr>
          <w:sz w:val="22"/>
          <w:szCs w:val="22"/>
        </w:rPr>
      </w:pPr>
      <w:r w:rsidRPr="00C12A16">
        <w:rPr>
          <w:sz w:val="22"/>
          <w:szCs w:val="22"/>
        </w:rPr>
        <w:t xml:space="preserve">The Emergency Planning and Resilience Manager is responsible for completing the administration of the EPRR Assurance Process, chairing the local EPRR group (EPARG) and leading on exercising and training planning for NEL CCG. They are also responsible for the writing and maintenance of all NELCCG EPRR policies and procedures including the CCG Business Continuity Plan. </w:t>
      </w:r>
    </w:p>
    <w:p w14:paraId="1D339D3D" w14:textId="77777777" w:rsidR="009821B7" w:rsidRPr="00C12A16" w:rsidRDefault="009821B7" w:rsidP="009821B7">
      <w:pPr>
        <w:pStyle w:val="Default"/>
        <w:ind w:left="709"/>
        <w:jc w:val="both"/>
        <w:rPr>
          <w:sz w:val="22"/>
          <w:szCs w:val="22"/>
        </w:rPr>
      </w:pPr>
    </w:p>
    <w:p w14:paraId="6023EEB9" w14:textId="7C476651" w:rsidR="009821B7" w:rsidRPr="00C12A16" w:rsidRDefault="009821B7" w:rsidP="009821B7">
      <w:pPr>
        <w:pStyle w:val="Default"/>
        <w:ind w:left="709"/>
        <w:jc w:val="both"/>
        <w:rPr>
          <w:sz w:val="22"/>
          <w:szCs w:val="22"/>
        </w:rPr>
      </w:pPr>
      <w:r w:rsidRPr="00C12A16">
        <w:rPr>
          <w:sz w:val="22"/>
          <w:szCs w:val="22"/>
        </w:rPr>
        <w:t xml:space="preserve">They will lead on specific workstreams and projects associated with improving the resilience of the CCG and </w:t>
      </w:r>
      <w:r w:rsidR="004E72C3" w:rsidRPr="00C12A16">
        <w:rPr>
          <w:sz w:val="22"/>
          <w:szCs w:val="22"/>
        </w:rPr>
        <w:t>its</w:t>
      </w:r>
      <w:r w:rsidRPr="00C12A16">
        <w:rPr>
          <w:sz w:val="22"/>
          <w:szCs w:val="22"/>
        </w:rPr>
        <w:t xml:space="preserve"> commissioned providers. </w:t>
      </w:r>
    </w:p>
    <w:p w14:paraId="5D8A0692" w14:textId="77777777" w:rsidR="009821B7" w:rsidRPr="00C12A16" w:rsidRDefault="009821B7" w:rsidP="009821B7">
      <w:pPr>
        <w:pStyle w:val="Default"/>
        <w:ind w:left="709"/>
        <w:jc w:val="both"/>
        <w:rPr>
          <w:sz w:val="22"/>
          <w:szCs w:val="22"/>
        </w:rPr>
      </w:pPr>
    </w:p>
    <w:p w14:paraId="132B074D" w14:textId="77777777" w:rsidR="009821B7" w:rsidRPr="00C12A16" w:rsidRDefault="009821B7" w:rsidP="009821B7">
      <w:pPr>
        <w:pStyle w:val="Default"/>
        <w:ind w:left="709"/>
        <w:jc w:val="both"/>
        <w:rPr>
          <w:b/>
          <w:bCs/>
          <w:sz w:val="22"/>
          <w:szCs w:val="22"/>
          <w:u w:val="single"/>
        </w:rPr>
      </w:pPr>
      <w:r w:rsidRPr="00C12A16">
        <w:rPr>
          <w:b/>
          <w:bCs/>
          <w:sz w:val="22"/>
          <w:szCs w:val="22"/>
          <w:u w:val="single"/>
        </w:rPr>
        <w:t xml:space="preserve">Unplanned Care Team </w:t>
      </w:r>
    </w:p>
    <w:p w14:paraId="74C3DCE7" w14:textId="77777777" w:rsidR="009821B7" w:rsidRPr="00C12A16" w:rsidRDefault="009821B7" w:rsidP="009821B7">
      <w:pPr>
        <w:pStyle w:val="Default"/>
        <w:ind w:left="709"/>
        <w:jc w:val="both"/>
        <w:rPr>
          <w:b/>
          <w:bCs/>
          <w:sz w:val="22"/>
          <w:szCs w:val="22"/>
          <w:u w:val="single"/>
        </w:rPr>
      </w:pPr>
    </w:p>
    <w:p w14:paraId="18FE7225" w14:textId="77777777" w:rsidR="009821B7" w:rsidRPr="00C12A16" w:rsidRDefault="009821B7" w:rsidP="009821B7">
      <w:pPr>
        <w:pStyle w:val="Default"/>
        <w:ind w:left="709"/>
        <w:jc w:val="both"/>
        <w:rPr>
          <w:sz w:val="22"/>
          <w:szCs w:val="22"/>
        </w:rPr>
      </w:pPr>
      <w:r w:rsidRPr="00C12A16">
        <w:rPr>
          <w:sz w:val="22"/>
          <w:szCs w:val="22"/>
        </w:rPr>
        <w:t xml:space="preserve">The Service Lead for Unplanned Care and Project Officer for Unplanned Care also undergo relevant exercises and emergency planning training for resilience purposes, and the Emergency Planning and Resilience Manager will work with the Unplanned Care Team </w:t>
      </w:r>
      <w:r w:rsidR="00EE44B6" w:rsidRPr="00C12A16">
        <w:rPr>
          <w:sz w:val="22"/>
          <w:szCs w:val="22"/>
        </w:rPr>
        <w:t xml:space="preserve">to </w:t>
      </w:r>
      <w:proofErr w:type="gramStart"/>
      <w:r w:rsidR="00EE44B6" w:rsidRPr="00C12A16">
        <w:rPr>
          <w:sz w:val="22"/>
          <w:szCs w:val="22"/>
        </w:rPr>
        <w:t>connect up</w:t>
      </w:r>
      <w:proofErr w:type="gramEnd"/>
      <w:r w:rsidR="00EE44B6" w:rsidRPr="00C12A16">
        <w:rPr>
          <w:sz w:val="22"/>
          <w:szCs w:val="22"/>
        </w:rPr>
        <w:t xml:space="preserve"> overlapping discussions on resilience, emergency planning and winter planning where appropriate. </w:t>
      </w:r>
    </w:p>
    <w:p w14:paraId="746DC264" w14:textId="77777777" w:rsidR="00EE44B6" w:rsidRPr="00C12A16" w:rsidRDefault="00EE44B6" w:rsidP="009821B7">
      <w:pPr>
        <w:pStyle w:val="Default"/>
        <w:ind w:left="709"/>
        <w:jc w:val="both"/>
        <w:rPr>
          <w:sz w:val="22"/>
          <w:szCs w:val="22"/>
        </w:rPr>
      </w:pPr>
    </w:p>
    <w:p w14:paraId="31C76513" w14:textId="77777777" w:rsidR="00EE44B6" w:rsidRPr="00C12A16" w:rsidRDefault="00EE44B6" w:rsidP="009821B7">
      <w:pPr>
        <w:pStyle w:val="Default"/>
        <w:ind w:left="709"/>
        <w:jc w:val="both"/>
        <w:rPr>
          <w:b/>
          <w:bCs/>
          <w:sz w:val="22"/>
          <w:szCs w:val="22"/>
          <w:u w:val="single"/>
        </w:rPr>
      </w:pPr>
      <w:proofErr w:type="spellStart"/>
      <w:r w:rsidRPr="00C12A16">
        <w:rPr>
          <w:b/>
          <w:bCs/>
          <w:sz w:val="22"/>
          <w:szCs w:val="22"/>
          <w:u w:val="single"/>
        </w:rPr>
        <w:t>Loggists</w:t>
      </w:r>
      <w:proofErr w:type="spellEnd"/>
      <w:r w:rsidRPr="00C12A16">
        <w:rPr>
          <w:b/>
          <w:bCs/>
          <w:sz w:val="22"/>
          <w:szCs w:val="22"/>
          <w:u w:val="single"/>
        </w:rPr>
        <w:t xml:space="preserve"> </w:t>
      </w:r>
    </w:p>
    <w:p w14:paraId="497D4F5C" w14:textId="77777777" w:rsidR="00EE44B6" w:rsidRPr="00C12A16" w:rsidRDefault="00EE44B6" w:rsidP="009821B7">
      <w:pPr>
        <w:pStyle w:val="Default"/>
        <w:ind w:left="709"/>
        <w:jc w:val="both"/>
        <w:rPr>
          <w:b/>
          <w:bCs/>
          <w:sz w:val="22"/>
          <w:szCs w:val="22"/>
          <w:u w:val="single"/>
        </w:rPr>
      </w:pPr>
    </w:p>
    <w:p w14:paraId="11DCA0CC" w14:textId="72C1F915" w:rsidR="009821B7" w:rsidRPr="00C12A16" w:rsidRDefault="00EE44B6" w:rsidP="004C07C5">
      <w:pPr>
        <w:pStyle w:val="Default"/>
        <w:ind w:left="709"/>
        <w:jc w:val="both"/>
        <w:rPr>
          <w:sz w:val="22"/>
          <w:szCs w:val="22"/>
        </w:rPr>
      </w:pPr>
      <w:r w:rsidRPr="00C12A16">
        <w:rPr>
          <w:sz w:val="22"/>
          <w:szCs w:val="22"/>
        </w:rPr>
        <w:t xml:space="preserve">The CCG has a group of trained </w:t>
      </w:r>
      <w:proofErr w:type="spellStart"/>
      <w:r w:rsidRPr="00C12A16">
        <w:rPr>
          <w:sz w:val="22"/>
          <w:szCs w:val="22"/>
        </w:rPr>
        <w:t>loggists</w:t>
      </w:r>
      <w:proofErr w:type="spellEnd"/>
      <w:r w:rsidRPr="00C12A16">
        <w:rPr>
          <w:sz w:val="22"/>
          <w:szCs w:val="22"/>
        </w:rPr>
        <w:t xml:space="preserve"> who </w:t>
      </w:r>
      <w:proofErr w:type="gramStart"/>
      <w:r w:rsidRPr="00C12A16">
        <w:rPr>
          <w:sz w:val="22"/>
          <w:szCs w:val="22"/>
        </w:rPr>
        <w:t>are able to</w:t>
      </w:r>
      <w:proofErr w:type="gramEnd"/>
      <w:r w:rsidRPr="00C12A16">
        <w:rPr>
          <w:sz w:val="22"/>
          <w:szCs w:val="22"/>
        </w:rPr>
        <w:t xml:space="preserve"> log for the Incident Commander during a protracted incident where a formal loggist is required. </w:t>
      </w:r>
    </w:p>
    <w:p w14:paraId="58116728" w14:textId="77777777" w:rsidR="00B11B6B" w:rsidRPr="00C12A16" w:rsidRDefault="00B11B6B" w:rsidP="00EE44B6">
      <w:pPr>
        <w:pStyle w:val="Heading1"/>
        <w:rPr>
          <w:rStyle w:val="Heading1Char"/>
          <w:rFonts w:ascii="Arial" w:hAnsi="Arial" w:cs="Arial"/>
          <w:b/>
          <w:color w:val="000000"/>
          <w:sz w:val="24"/>
          <w:szCs w:val="24"/>
        </w:rPr>
      </w:pPr>
      <w:bookmarkStart w:id="14" w:name="_Toc70604985"/>
      <w:r w:rsidRPr="00C12A16">
        <w:rPr>
          <w:rFonts w:ascii="Arial" w:hAnsi="Arial" w:cs="Arial"/>
          <w:b/>
          <w:color w:val="000000"/>
          <w:sz w:val="24"/>
          <w:szCs w:val="24"/>
        </w:rPr>
        <w:t>7.0</w:t>
      </w:r>
      <w:r w:rsidRPr="00C12A16">
        <w:rPr>
          <w:rFonts w:ascii="Arial" w:hAnsi="Arial" w:cs="Arial"/>
          <w:b/>
          <w:color w:val="000000"/>
          <w:sz w:val="24"/>
          <w:szCs w:val="24"/>
        </w:rPr>
        <w:tab/>
      </w:r>
      <w:r w:rsidRPr="00C12A16">
        <w:rPr>
          <w:rStyle w:val="Heading1Char"/>
          <w:rFonts w:ascii="Arial" w:hAnsi="Arial" w:cs="Arial"/>
          <w:b/>
          <w:color w:val="000000"/>
          <w:sz w:val="24"/>
          <w:szCs w:val="24"/>
        </w:rPr>
        <w:t>DEFINITIONS</w:t>
      </w:r>
      <w:bookmarkEnd w:id="14"/>
    </w:p>
    <w:p w14:paraId="2EAF5A73" w14:textId="77777777" w:rsidR="00EE44B6" w:rsidRDefault="00EE44B6" w:rsidP="00EE44B6">
      <w:pPr>
        <w:numPr>
          <w:ilvl w:val="0"/>
          <w:numId w:val="14"/>
        </w:numPr>
      </w:pPr>
      <w:r>
        <w:t>EPRR: Emergency Planning, Resilience and Response</w:t>
      </w:r>
    </w:p>
    <w:p w14:paraId="182DBD5B" w14:textId="77777777" w:rsidR="00EE44B6" w:rsidRDefault="00EE44B6" w:rsidP="00EE44B6">
      <w:pPr>
        <w:numPr>
          <w:ilvl w:val="0"/>
          <w:numId w:val="14"/>
        </w:numPr>
      </w:pPr>
      <w:r>
        <w:t>LHRP: Local Health Resilience Partnership</w:t>
      </w:r>
    </w:p>
    <w:p w14:paraId="2DC5FBCA" w14:textId="77777777" w:rsidR="00EE44B6" w:rsidRDefault="00EE44B6" w:rsidP="00EE44B6">
      <w:pPr>
        <w:numPr>
          <w:ilvl w:val="0"/>
          <w:numId w:val="14"/>
        </w:numPr>
      </w:pPr>
      <w:r>
        <w:t xml:space="preserve">LRF: Local Resilience Forum </w:t>
      </w:r>
    </w:p>
    <w:p w14:paraId="1F5942E9" w14:textId="77777777" w:rsidR="00EE44B6" w:rsidRDefault="00EE44B6" w:rsidP="00EE44B6">
      <w:pPr>
        <w:numPr>
          <w:ilvl w:val="0"/>
          <w:numId w:val="14"/>
        </w:numPr>
      </w:pPr>
      <w:r>
        <w:t xml:space="preserve">BCP:  Business Continuity Plan </w:t>
      </w:r>
    </w:p>
    <w:p w14:paraId="3E68A5E8" w14:textId="77777777" w:rsidR="00EE44B6" w:rsidRDefault="00EE44B6" w:rsidP="00EE44B6">
      <w:pPr>
        <w:numPr>
          <w:ilvl w:val="0"/>
          <w:numId w:val="14"/>
        </w:numPr>
      </w:pPr>
      <w:r>
        <w:t xml:space="preserve">AEO: Accountable Emergency Officer </w:t>
      </w:r>
    </w:p>
    <w:p w14:paraId="4FB19723" w14:textId="77777777" w:rsidR="00EE44B6" w:rsidRDefault="00EE44B6" w:rsidP="00EE44B6">
      <w:pPr>
        <w:numPr>
          <w:ilvl w:val="0"/>
          <w:numId w:val="14"/>
        </w:numPr>
      </w:pPr>
      <w:r>
        <w:t>CCA 2004: Civil Contingencies Act 2004</w:t>
      </w:r>
    </w:p>
    <w:p w14:paraId="6AFFFC18" w14:textId="77777777" w:rsidR="00EE44B6" w:rsidRDefault="00EE44B6" w:rsidP="00EE44B6"/>
    <w:p w14:paraId="79771183" w14:textId="69DAE405" w:rsidR="00EE44B6" w:rsidRDefault="00EE44B6" w:rsidP="00EE44B6"/>
    <w:p w14:paraId="67E7C4E6" w14:textId="441052FF" w:rsidR="00B11B6B" w:rsidRPr="00C12A16" w:rsidRDefault="004C07C5" w:rsidP="00EE44B6">
      <w:pPr>
        <w:pStyle w:val="Heading1"/>
        <w:rPr>
          <w:rFonts w:ascii="Arial" w:hAnsi="Arial" w:cs="Arial"/>
          <w:b/>
          <w:color w:val="000000"/>
          <w:sz w:val="24"/>
          <w:szCs w:val="24"/>
        </w:rPr>
      </w:pPr>
      <w:bookmarkStart w:id="15" w:name="_Toc70604986"/>
      <w:r>
        <w:rPr>
          <w:rFonts w:ascii="Arial" w:hAnsi="Arial" w:cs="Arial"/>
          <w:b/>
          <w:color w:val="000000"/>
          <w:sz w:val="24"/>
          <w:szCs w:val="24"/>
        </w:rPr>
        <w:br w:type="page"/>
      </w:r>
      <w:r w:rsidR="00B11B6B" w:rsidRPr="00C12A16">
        <w:rPr>
          <w:rFonts w:ascii="Arial" w:hAnsi="Arial" w:cs="Arial"/>
          <w:b/>
          <w:color w:val="000000"/>
          <w:sz w:val="24"/>
          <w:szCs w:val="24"/>
        </w:rPr>
        <w:lastRenderedPageBreak/>
        <w:t>8.0</w:t>
      </w:r>
      <w:r w:rsidR="00B11B6B" w:rsidRPr="00C12A16">
        <w:rPr>
          <w:rFonts w:ascii="Arial" w:hAnsi="Arial" w:cs="Arial"/>
          <w:b/>
          <w:color w:val="000000"/>
          <w:sz w:val="24"/>
          <w:szCs w:val="24"/>
        </w:rPr>
        <w:tab/>
      </w:r>
      <w:r w:rsidR="00EE44B6" w:rsidRPr="00C12A16">
        <w:rPr>
          <w:rStyle w:val="Heading1Char"/>
          <w:rFonts w:ascii="Arial" w:hAnsi="Arial" w:cs="Arial"/>
          <w:b/>
          <w:color w:val="000000"/>
          <w:sz w:val="24"/>
          <w:szCs w:val="24"/>
        </w:rPr>
        <w:t xml:space="preserve">ORGANISATIONAL CHART </w:t>
      </w:r>
      <w:r w:rsidRPr="00C12A16">
        <w:rPr>
          <w:rStyle w:val="Heading1Char"/>
          <w:rFonts w:ascii="Arial" w:hAnsi="Arial" w:cs="Arial"/>
          <w:b/>
          <w:color w:val="000000"/>
          <w:sz w:val="24"/>
          <w:szCs w:val="24"/>
        </w:rPr>
        <w:t>- CCG</w:t>
      </w:r>
      <w:r w:rsidR="00EE44B6" w:rsidRPr="00C12A16">
        <w:rPr>
          <w:rStyle w:val="Heading1Char"/>
          <w:rFonts w:ascii="Arial" w:hAnsi="Arial" w:cs="Arial"/>
          <w:b/>
          <w:color w:val="000000"/>
          <w:sz w:val="24"/>
          <w:szCs w:val="24"/>
        </w:rPr>
        <w:t xml:space="preserve"> STAFF</w:t>
      </w:r>
      <w:bookmarkEnd w:id="15"/>
    </w:p>
    <w:p w14:paraId="4179A490" w14:textId="77777777" w:rsidR="00B11B6B" w:rsidRDefault="00B11B6B">
      <w:pPr>
        <w:pStyle w:val="Default"/>
        <w:ind w:left="720"/>
        <w:contextualSpacing/>
        <w:rPr>
          <w:sz w:val="22"/>
          <w:szCs w:val="22"/>
        </w:rPr>
      </w:pPr>
    </w:p>
    <w:p w14:paraId="72AB0F90" w14:textId="77777777" w:rsidR="00EE44B6" w:rsidRPr="00EE44B6" w:rsidRDefault="00EE44B6" w:rsidP="00EE44B6">
      <w:pPr>
        <w:pStyle w:val="Default"/>
        <w:spacing w:line="276" w:lineRule="auto"/>
        <w:jc w:val="both"/>
        <w:rPr>
          <w:rFonts w:ascii="Calibri" w:hAnsi="Calibri"/>
          <w:sz w:val="22"/>
          <w:szCs w:val="22"/>
        </w:rPr>
      </w:pPr>
    </w:p>
    <w:p w14:paraId="2780ECB1" w14:textId="0E9A334C" w:rsidR="00EE44B6" w:rsidRPr="00EE44B6" w:rsidRDefault="00FD1F5A" w:rsidP="00EE44B6">
      <w:pPr>
        <w:pStyle w:val="Default"/>
        <w:spacing w:line="276" w:lineRule="auto"/>
        <w:jc w:val="both"/>
        <w:rPr>
          <w:rFonts w:ascii="Calibri" w:hAnsi="Calibri"/>
          <w:sz w:val="22"/>
          <w:szCs w:val="22"/>
        </w:rPr>
      </w:pPr>
      <w:r>
        <w:rPr>
          <w:noProof/>
        </w:rPr>
        <mc:AlternateContent>
          <mc:Choice Requires="wps">
            <w:drawing>
              <wp:anchor distT="0" distB="0" distL="114300" distR="114300" simplePos="0" relativeHeight="251650048" behindDoc="0" locked="0" layoutInCell="1" allowOverlap="1" wp14:anchorId="1C256B24" wp14:editId="1EF3EB65">
                <wp:simplePos x="0" y="0"/>
                <wp:positionH relativeFrom="column">
                  <wp:posOffset>1419225</wp:posOffset>
                </wp:positionH>
                <wp:positionV relativeFrom="paragraph">
                  <wp:posOffset>-635</wp:posOffset>
                </wp:positionV>
                <wp:extent cx="2200275" cy="971550"/>
                <wp:effectExtent l="0" t="0" r="9525" b="0"/>
                <wp:wrapNone/>
                <wp:docPr id="17"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971550"/>
                        </a:xfrm>
                        <a:prstGeom prst="roundRect">
                          <a:avLst/>
                        </a:prstGeom>
                        <a:solidFill>
                          <a:srgbClr val="CFCF3D"/>
                        </a:solidFill>
                        <a:ln w="12700" cap="flat" cmpd="sng" algn="ctr">
                          <a:solidFill>
                            <a:srgbClr val="4472C4">
                              <a:shade val="50000"/>
                            </a:srgbClr>
                          </a:solidFill>
                          <a:prstDash val="solid"/>
                          <a:miter lim="800000"/>
                        </a:ln>
                        <a:effectLst/>
                      </wps:spPr>
                      <wps:txbx>
                        <w:txbxContent>
                          <w:p w14:paraId="3F307A0F" w14:textId="77777777" w:rsidR="001B1D3C" w:rsidRDefault="001B1D3C" w:rsidP="00EE44B6">
                            <w:pPr>
                              <w:jc w:val="center"/>
                            </w:pPr>
                            <w:r>
                              <w:t>Deputy Chief Executive – Accountable Emergency Officer (AEO) and Gold Commander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256B24" id="Rounded Rectangle 2" o:spid="_x0000_s1026" style="position:absolute;left:0;text-align:left;margin-left:111.75pt;margin-top:-.05pt;width:173.25pt;height:7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" fillcolor="#cfcf3d" strokecolor="#2f528f" strokeweight="1pt">
                <v:stroke joinstyle="miter"/>
                <v:path arrowok="t"/>
                <v:textbox>
                  <w:txbxContent>
                    <w:p w14:paraId="3F307A0F" w14:textId="77777777" w:rsidR="001B1D3C" w:rsidRDefault="001B1D3C" w:rsidP="00EE44B6">
                      <w:pPr>
                        <w:jc w:val="center"/>
                      </w:pPr>
                      <w:r>
                        <w:t>Deputy Chief Executive – Accountable Emergency Officer (AEO) and Gold Commander</w:t>
                      </w:r>
                    </w:p>
                  </w:txbxContent>
                </v:textbox>
              </v:roundrect>
            </w:pict>
          </mc:Fallback>
        </mc:AlternateContent>
      </w:r>
      <w:r w:rsidR="00EE44B6" w:rsidRPr="00EE44B6">
        <w:rPr>
          <w:rFonts w:ascii="Calibri" w:hAnsi="Calibri"/>
          <w:sz w:val="22"/>
          <w:szCs w:val="22"/>
        </w:rPr>
        <w:t xml:space="preserve"> </w:t>
      </w:r>
    </w:p>
    <w:p w14:paraId="18051300" w14:textId="77777777" w:rsidR="00EE44B6" w:rsidRPr="00EE44B6" w:rsidRDefault="00EE44B6" w:rsidP="00EE44B6">
      <w:pPr>
        <w:pStyle w:val="Default"/>
        <w:spacing w:line="276" w:lineRule="auto"/>
        <w:jc w:val="both"/>
        <w:rPr>
          <w:rFonts w:ascii="Calibri" w:hAnsi="Calibri"/>
          <w:sz w:val="22"/>
          <w:szCs w:val="22"/>
        </w:rPr>
      </w:pPr>
    </w:p>
    <w:p w14:paraId="15B6B288" w14:textId="77777777" w:rsidR="00EE44B6" w:rsidRPr="00EE44B6" w:rsidRDefault="00EE44B6" w:rsidP="00EE44B6">
      <w:pPr>
        <w:pStyle w:val="Default"/>
        <w:spacing w:line="276" w:lineRule="auto"/>
        <w:jc w:val="both"/>
        <w:rPr>
          <w:rFonts w:ascii="Calibri" w:hAnsi="Calibri"/>
          <w:b/>
          <w:sz w:val="22"/>
          <w:szCs w:val="22"/>
        </w:rPr>
      </w:pPr>
    </w:p>
    <w:p w14:paraId="1CEBC27B" w14:textId="77777777" w:rsidR="00EE44B6" w:rsidRPr="00EE44B6" w:rsidRDefault="00EE44B6" w:rsidP="00EE44B6">
      <w:pPr>
        <w:pStyle w:val="Default"/>
        <w:spacing w:line="276" w:lineRule="auto"/>
        <w:ind w:left="1080"/>
        <w:rPr>
          <w:rFonts w:ascii="Calibri" w:hAnsi="Calibri"/>
          <w:b/>
          <w:sz w:val="22"/>
          <w:szCs w:val="22"/>
        </w:rPr>
      </w:pPr>
    </w:p>
    <w:p w14:paraId="1B90AF91" w14:textId="01057C97" w:rsidR="00EE44B6" w:rsidRPr="00EE44B6" w:rsidRDefault="00FD1F5A" w:rsidP="00EE44B6">
      <w:pPr>
        <w:pStyle w:val="Default"/>
        <w:spacing w:line="276" w:lineRule="auto"/>
        <w:ind w:left="1080"/>
        <w:rPr>
          <w:rFonts w:ascii="Calibri" w:hAnsi="Calibri"/>
          <w:b/>
          <w:sz w:val="22"/>
          <w:szCs w:val="22"/>
        </w:rPr>
      </w:pPr>
      <w:r>
        <w:rPr>
          <w:noProof/>
        </w:rPr>
        <mc:AlternateContent>
          <mc:Choice Requires="wps">
            <w:drawing>
              <wp:anchor distT="0" distB="0" distL="114299" distR="114299" simplePos="0" relativeHeight="251659264" behindDoc="0" locked="0" layoutInCell="1" allowOverlap="1" wp14:anchorId="628C07F6" wp14:editId="60F70EF3">
                <wp:simplePos x="0" y="0"/>
                <wp:positionH relativeFrom="column">
                  <wp:posOffset>2457449</wp:posOffset>
                </wp:positionH>
                <wp:positionV relativeFrom="paragraph">
                  <wp:posOffset>186690</wp:posOffset>
                </wp:positionV>
                <wp:extent cx="0" cy="1333500"/>
                <wp:effectExtent l="95250" t="0" r="38100" b="38100"/>
                <wp:wrapNone/>
                <wp:docPr id="1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page">
                  <wp14:pctHeight>0</wp14:pctHeight>
                </wp14:sizeRelV>
              </wp:anchor>
            </w:drawing>
          </mc:Choice>
          <mc:Fallback>
            <w:pict>
              <v:shapetype w14:anchorId="6835329B" id="_x0000_t32" coordsize="21600,21600" o:spt="32" o:oned="t" path="m,l21600,21600e" filled="f">
                <v:path arrowok="t" fillok="f" o:connecttype="none"/>
                <o:lock v:ext="edit" shapetype="t"/>
              </v:shapetype>
              <v:shape id="Straight Arrow Connector 12" o:spid="_x0000_s1026" type="#_x0000_t32" style="position:absolute;margin-left:193.5pt;margin-top:14.7pt;width:0;height:10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" strokecolor="#4472c4" strokeweight=".5pt">
                <v:stroke endarrow="open" joinstyle="miter"/>
                <o:lock v:ext="edit" shapetype="f"/>
              </v:shape>
            </w:pict>
          </mc:Fallback>
        </mc:AlternateContent>
      </w:r>
      <w:r>
        <w:rPr>
          <w:noProof/>
        </w:rPr>
        <mc:AlternateContent>
          <mc:Choice Requires="wps">
            <w:drawing>
              <wp:anchor distT="0" distB="0" distL="114300" distR="114300" simplePos="0" relativeHeight="251658240" behindDoc="0" locked="0" layoutInCell="1" allowOverlap="1" wp14:anchorId="311A57F0" wp14:editId="54A0F91D">
                <wp:simplePos x="0" y="0"/>
                <wp:positionH relativeFrom="column">
                  <wp:posOffset>2895600</wp:posOffset>
                </wp:positionH>
                <wp:positionV relativeFrom="paragraph">
                  <wp:posOffset>186690</wp:posOffset>
                </wp:positionV>
                <wp:extent cx="161925" cy="228600"/>
                <wp:effectExtent l="0" t="0" r="47625" b="38100"/>
                <wp:wrapNone/>
                <wp:docPr id="1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25" cy="22860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102A23F" id="Straight Arrow Connector 11" o:spid="_x0000_s1026" type="#_x0000_t32" style="position:absolute;margin-left:228pt;margin-top:14.7pt;width:12.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" strokecolor="#4472c4" strokeweight=".5pt">
                <v:stroke endarrow="open" joinstyle="miter"/>
                <o:lock v:ext="edit" shapetype="f"/>
              </v:shape>
            </w:pict>
          </mc:Fallback>
        </mc:AlternateContent>
      </w:r>
      <w:r>
        <w:rPr>
          <w:noProof/>
        </w:rPr>
        <mc:AlternateContent>
          <mc:Choice Requires="wps">
            <w:drawing>
              <wp:anchor distT="0" distB="0" distL="114300" distR="114300" simplePos="0" relativeHeight="251657216" behindDoc="0" locked="0" layoutInCell="1" allowOverlap="1" wp14:anchorId="5AAC576C" wp14:editId="19B068D2">
                <wp:simplePos x="0" y="0"/>
                <wp:positionH relativeFrom="column">
                  <wp:posOffset>1647825</wp:posOffset>
                </wp:positionH>
                <wp:positionV relativeFrom="paragraph">
                  <wp:posOffset>186690</wp:posOffset>
                </wp:positionV>
                <wp:extent cx="190500" cy="228600"/>
                <wp:effectExtent l="38100" t="0" r="0" b="38100"/>
                <wp:wrapNone/>
                <wp:docPr id="14"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0" cy="22860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803EF0E" id="Straight Arrow Connector 10" o:spid="_x0000_s1026" type="#_x0000_t32" style="position:absolute;margin-left:129.75pt;margin-top:14.7pt;width:15pt;height:18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" strokecolor="#4472c4" strokeweight=".5pt">
                <v:stroke endarrow="open" joinstyle="miter"/>
                <o:lock v:ext="edit" shapetype="f"/>
              </v:shape>
            </w:pict>
          </mc:Fallback>
        </mc:AlternateContent>
      </w:r>
    </w:p>
    <w:p w14:paraId="18AC2113" w14:textId="77777777" w:rsidR="00EE44B6" w:rsidRPr="00EE44B6" w:rsidRDefault="00EE44B6" w:rsidP="00EE44B6">
      <w:pPr>
        <w:pStyle w:val="Default"/>
        <w:spacing w:line="276" w:lineRule="auto"/>
        <w:ind w:left="1080"/>
        <w:rPr>
          <w:rFonts w:ascii="Calibri" w:hAnsi="Calibri"/>
          <w:b/>
          <w:sz w:val="22"/>
          <w:szCs w:val="22"/>
        </w:rPr>
      </w:pPr>
    </w:p>
    <w:p w14:paraId="1E7D8FC0" w14:textId="493990C6" w:rsidR="00EE44B6" w:rsidRPr="00EE44B6" w:rsidRDefault="00FD1F5A" w:rsidP="00EE44B6">
      <w:pPr>
        <w:pStyle w:val="Default"/>
        <w:spacing w:line="276" w:lineRule="auto"/>
        <w:ind w:left="1080"/>
        <w:rPr>
          <w:rFonts w:ascii="Calibri" w:hAnsi="Calibri"/>
          <w:b/>
          <w:sz w:val="22"/>
          <w:szCs w:val="22"/>
        </w:rPr>
      </w:pPr>
      <w:r>
        <w:rPr>
          <w:noProof/>
        </w:rPr>
        <mc:AlternateContent>
          <mc:Choice Requires="wps">
            <w:drawing>
              <wp:anchor distT="0" distB="0" distL="114300" distR="114300" simplePos="0" relativeHeight="251652096" behindDoc="0" locked="0" layoutInCell="1" allowOverlap="1" wp14:anchorId="20A29DC8" wp14:editId="382D9F00">
                <wp:simplePos x="0" y="0"/>
                <wp:positionH relativeFrom="column">
                  <wp:posOffset>2619375</wp:posOffset>
                </wp:positionH>
                <wp:positionV relativeFrom="paragraph">
                  <wp:posOffset>22225</wp:posOffset>
                </wp:positionV>
                <wp:extent cx="1828800" cy="933450"/>
                <wp:effectExtent l="0" t="0" r="0" b="0"/>
                <wp:wrapNone/>
                <wp:docPr id="13"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33450"/>
                        </a:xfrm>
                        <a:prstGeom prst="roundRect">
                          <a:avLst/>
                        </a:prstGeom>
                        <a:solidFill>
                          <a:srgbClr val="CFCF3D"/>
                        </a:solidFill>
                        <a:ln w="12700" cap="flat" cmpd="sng" algn="ctr">
                          <a:solidFill>
                            <a:srgbClr val="4472C4">
                              <a:shade val="50000"/>
                            </a:srgbClr>
                          </a:solidFill>
                          <a:prstDash val="solid"/>
                          <a:miter lim="800000"/>
                        </a:ln>
                        <a:effectLst/>
                      </wps:spPr>
                      <wps:txbx>
                        <w:txbxContent>
                          <w:p w14:paraId="1C7F8FA2" w14:textId="77777777" w:rsidR="001B1D3C" w:rsidRDefault="001B1D3C" w:rsidP="00EE44B6">
                            <w:pPr>
                              <w:jc w:val="center"/>
                            </w:pPr>
                            <w:r>
                              <w:t>Chief Finance Officer – On-call Director and Gold Commander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29DC8" id="Rounded Rectangle 4" o:spid="_x0000_s1027" style="position:absolute;left:0;text-align:left;margin-left:206.25pt;margin-top:1.75pt;width:2in;height:7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" fillcolor="#cfcf3d" strokecolor="#2f528f" strokeweight="1pt">
                <v:stroke joinstyle="miter"/>
                <v:path arrowok="t"/>
                <v:textbox>
                  <w:txbxContent>
                    <w:p w14:paraId="1C7F8FA2" w14:textId="77777777" w:rsidR="001B1D3C" w:rsidRDefault="001B1D3C" w:rsidP="00EE44B6">
                      <w:pPr>
                        <w:jc w:val="center"/>
                      </w:pPr>
                      <w:r>
                        <w:t>Chief Finance Officer – On-call Director and Gold Commander</w:t>
                      </w:r>
                    </w:p>
                  </w:txbxContent>
                </v:textbox>
              </v:roundrect>
            </w:pict>
          </mc:Fallback>
        </mc:AlternateContent>
      </w:r>
      <w:r>
        <w:rPr>
          <w:noProof/>
        </w:rPr>
        <mc:AlternateContent>
          <mc:Choice Requires="wps">
            <w:drawing>
              <wp:anchor distT="0" distB="0" distL="114300" distR="114300" simplePos="0" relativeHeight="251651072" behindDoc="0" locked="0" layoutInCell="1" allowOverlap="1" wp14:anchorId="198BC971" wp14:editId="5096B7D7">
                <wp:simplePos x="0" y="0"/>
                <wp:positionH relativeFrom="column">
                  <wp:posOffset>514350</wp:posOffset>
                </wp:positionH>
                <wp:positionV relativeFrom="paragraph">
                  <wp:posOffset>22225</wp:posOffset>
                </wp:positionV>
                <wp:extent cx="1762125" cy="933450"/>
                <wp:effectExtent l="0" t="0" r="9525" b="0"/>
                <wp:wrapNone/>
                <wp:docPr id="12"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933450"/>
                        </a:xfrm>
                        <a:prstGeom prst="roundRect">
                          <a:avLst/>
                        </a:prstGeom>
                        <a:solidFill>
                          <a:srgbClr val="CFCF3D"/>
                        </a:solidFill>
                        <a:ln w="12700" cap="flat" cmpd="sng" algn="ctr">
                          <a:solidFill>
                            <a:srgbClr val="4472C4">
                              <a:shade val="50000"/>
                            </a:srgbClr>
                          </a:solidFill>
                          <a:prstDash val="solid"/>
                          <a:miter lim="800000"/>
                        </a:ln>
                        <a:effectLst/>
                      </wps:spPr>
                      <wps:txbx>
                        <w:txbxContent>
                          <w:p w14:paraId="3308198F" w14:textId="77777777" w:rsidR="001B1D3C" w:rsidRDefault="001B1D3C" w:rsidP="00EE44B6">
                            <w:pPr>
                              <w:jc w:val="center"/>
                            </w:pPr>
                            <w:r>
                              <w:t>Director of Quality &amp; Nursing – On-call Director and Gold Commander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8BC971" id="Rounded Rectangle 3" o:spid="_x0000_s1028" style="position:absolute;left:0;text-align:left;margin-left:40.5pt;margin-top:1.75pt;width:138.75pt;height:7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" fillcolor="#cfcf3d" strokecolor="#2f528f" strokeweight="1pt">
                <v:stroke joinstyle="miter"/>
                <v:path arrowok="t"/>
                <v:textbox>
                  <w:txbxContent>
                    <w:p w14:paraId="3308198F" w14:textId="77777777" w:rsidR="001B1D3C" w:rsidRDefault="001B1D3C" w:rsidP="00EE44B6">
                      <w:pPr>
                        <w:jc w:val="center"/>
                      </w:pPr>
                      <w:r>
                        <w:t>Director of Quality &amp; Nursing – On-call Director and Gold Commander</w:t>
                      </w:r>
                    </w:p>
                  </w:txbxContent>
                </v:textbox>
              </v:roundrect>
            </w:pict>
          </mc:Fallback>
        </mc:AlternateContent>
      </w:r>
    </w:p>
    <w:p w14:paraId="520074EB" w14:textId="77777777" w:rsidR="00EE44B6" w:rsidRPr="00EE44B6" w:rsidRDefault="00EE44B6" w:rsidP="00EE44B6">
      <w:pPr>
        <w:pStyle w:val="Default"/>
        <w:spacing w:line="276" w:lineRule="auto"/>
        <w:ind w:left="1080"/>
        <w:rPr>
          <w:rFonts w:ascii="Calibri" w:hAnsi="Calibri"/>
          <w:b/>
          <w:sz w:val="22"/>
          <w:szCs w:val="22"/>
        </w:rPr>
      </w:pPr>
    </w:p>
    <w:p w14:paraId="76922FBD" w14:textId="77777777" w:rsidR="00EE44B6" w:rsidRPr="00EE44B6" w:rsidRDefault="00EE44B6" w:rsidP="00EE44B6">
      <w:pPr>
        <w:pStyle w:val="Default"/>
        <w:spacing w:line="276" w:lineRule="auto"/>
        <w:ind w:left="1080"/>
        <w:rPr>
          <w:rFonts w:ascii="Calibri" w:hAnsi="Calibri"/>
          <w:b/>
          <w:sz w:val="22"/>
          <w:szCs w:val="22"/>
        </w:rPr>
      </w:pPr>
    </w:p>
    <w:p w14:paraId="613E53BA" w14:textId="77777777" w:rsidR="00EE44B6" w:rsidRPr="00EE44B6" w:rsidRDefault="00EE44B6" w:rsidP="00EE44B6">
      <w:pPr>
        <w:pStyle w:val="Default"/>
        <w:spacing w:line="276" w:lineRule="auto"/>
        <w:ind w:left="1080"/>
        <w:rPr>
          <w:rFonts w:ascii="Calibri" w:hAnsi="Calibri"/>
          <w:b/>
          <w:sz w:val="22"/>
          <w:szCs w:val="22"/>
        </w:rPr>
      </w:pPr>
    </w:p>
    <w:p w14:paraId="2F1F0055" w14:textId="77777777" w:rsidR="00EE44B6" w:rsidRPr="00EE44B6" w:rsidRDefault="00EE44B6" w:rsidP="00EE44B6">
      <w:pPr>
        <w:pStyle w:val="Default"/>
        <w:spacing w:line="276" w:lineRule="auto"/>
        <w:ind w:left="1080"/>
        <w:rPr>
          <w:rFonts w:ascii="Calibri" w:hAnsi="Calibri"/>
          <w:b/>
          <w:sz w:val="22"/>
          <w:szCs w:val="22"/>
        </w:rPr>
      </w:pPr>
    </w:p>
    <w:p w14:paraId="535C76B9" w14:textId="5BD103CF" w:rsidR="00EE44B6" w:rsidRPr="00EE44B6" w:rsidRDefault="00FD1F5A" w:rsidP="00EE44B6">
      <w:pPr>
        <w:pStyle w:val="Default"/>
        <w:spacing w:line="276" w:lineRule="auto"/>
        <w:ind w:left="1080"/>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61312" behindDoc="0" locked="0" layoutInCell="1" allowOverlap="1" wp14:anchorId="22BBA7FA" wp14:editId="7CC2E4D0">
                <wp:simplePos x="0" y="0"/>
                <wp:positionH relativeFrom="column">
                  <wp:posOffset>3057525</wp:posOffset>
                </wp:positionH>
                <wp:positionV relativeFrom="paragraph">
                  <wp:posOffset>147320</wp:posOffset>
                </wp:positionV>
                <wp:extent cx="1924050" cy="981075"/>
                <wp:effectExtent l="0" t="0" r="0" b="9525"/>
                <wp:wrapNone/>
                <wp:docPr id="11"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981075"/>
                        </a:xfrm>
                        <a:prstGeom prst="roundRect">
                          <a:avLst/>
                        </a:prstGeom>
                        <a:solidFill>
                          <a:sysClr val="window" lastClr="FFFFFF">
                            <a:lumMod val="50000"/>
                          </a:sysClr>
                        </a:solidFill>
                        <a:ln w="12700" cap="flat" cmpd="sng" algn="ctr">
                          <a:solidFill>
                            <a:srgbClr val="4472C4">
                              <a:shade val="50000"/>
                            </a:srgbClr>
                          </a:solidFill>
                          <a:prstDash val="solid"/>
                          <a:miter lim="800000"/>
                        </a:ln>
                        <a:effectLst/>
                      </wps:spPr>
                      <wps:txbx>
                        <w:txbxContent>
                          <w:p w14:paraId="3DF6FA34" w14:textId="77777777" w:rsidR="001B1D3C" w:rsidRDefault="001B1D3C" w:rsidP="00EE44B6">
                            <w:pPr>
                              <w:jc w:val="center"/>
                            </w:pPr>
                            <w:r>
                              <w:t>Assistant Director for Service Delivery and Redesign – Silver Commander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BBA7FA" id="Rounded Rectangle 5" o:spid="_x0000_s1029" style="position:absolute;left:0;text-align:left;margin-left:240.75pt;margin-top:11.6pt;width:151.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" fillcolor="#7f7f7f" strokecolor="#2f528f" strokeweight="1pt">
                <v:stroke joinstyle="miter"/>
                <v:path arrowok="t"/>
                <v:textbox>
                  <w:txbxContent>
                    <w:p w14:paraId="3DF6FA34" w14:textId="77777777" w:rsidR="001B1D3C" w:rsidRDefault="001B1D3C" w:rsidP="00EE44B6">
                      <w:pPr>
                        <w:jc w:val="center"/>
                      </w:pPr>
                      <w:r>
                        <w:t>Assistant Director for Service Delivery and Redesign – Silver Commander</w:t>
                      </w:r>
                    </w:p>
                  </w:txbxContent>
                </v:textbox>
              </v:roundrect>
            </w:pict>
          </mc:Fallback>
        </mc:AlternateContent>
      </w:r>
      <w:r>
        <w:rPr>
          <w:noProof/>
        </w:rPr>
        <mc:AlternateContent>
          <mc:Choice Requires="wps">
            <w:drawing>
              <wp:anchor distT="0" distB="0" distL="114300" distR="114300" simplePos="0" relativeHeight="251653120" behindDoc="0" locked="0" layoutInCell="1" allowOverlap="1" wp14:anchorId="1427F6F1" wp14:editId="7BE45FAB">
                <wp:simplePos x="0" y="0"/>
                <wp:positionH relativeFrom="column">
                  <wp:posOffset>1019175</wp:posOffset>
                </wp:positionH>
                <wp:positionV relativeFrom="paragraph">
                  <wp:posOffset>147320</wp:posOffset>
                </wp:positionV>
                <wp:extent cx="1924050" cy="933450"/>
                <wp:effectExtent l="0" t="0" r="0" b="0"/>
                <wp:wrapNone/>
                <wp:docPr id="10"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933450"/>
                        </a:xfrm>
                        <a:prstGeom prst="roundRect">
                          <a:avLst/>
                        </a:prstGeom>
                        <a:solidFill>
                          <a:sysClr val="window" lastClr="FFFFFF">
                            <a:lumMod val="50000"/>
                          </a:sysClr>
                        </a:solidFill>
                        <a:ln w="12700" cap="flat" cmpd="sng" algn="ctr">
                          <a:solidFill>
                            <a:srgbClr val="4472C4">
                              <a:shade val="50000"/>
                            </a:srgbClr>
                          </a:solidFill>
                          <a:prstDash val="solid"/>
                          <a:miter lim="800000"/>
                        </a:ln>
                        <a:effectLst/>
                      </wps:spPr>
                      <wps:txbx>
                        <w:txbxContent>
                          <w:p w14:paraId="06BBC741" w14:textId="77777777" w:rsidR="001B1D3C" w:rsidRDefault="001B1D3C" w:rsidP="00EE44B6">
                            <w:pPr>
                              <w:jc w:val="center"/>
                            </w:pPr>
                            <w:r>
                              <w:t>Assistant Director for Strategic Planning – Silver Commander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27F6F1" id="_x0000_s1030" style="position:absolute;left:0;text-align:left;margin-left:80.25pt;margin-top:11.6pt;width:151.5pt;height: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" fillcolor="#7f7f7f" strokecolor="#2f528f" strokeweight="1pt">
                <v:stroke joinstyle="miter"/>
                <v:path arrowok="t"/>
                <v:textbox>
                  <w:txbxContent>
                    <w:p w14:paraId="06BBC741" w14:textId="77777777" w:rsidR="001B1D3C" w:rsidRDefault="001B1D3C" w:rsidP="00EE44B6">
                      <w:pPr>
                        <w:jc w:val="center"/>
                      </w:pPr>
                      <w:r>
                        <w:t>Assistant Director for Strategic Planning – Silver Commander</w:t>
                      </w:r>
                    </w:p>
                  </w:txbxContent>
                </v:textbox>
              </v:roundrect>
            </w:pict>
          </mc:Fallback>
        </mc:AlternateContent>
      </w:r>
    </w:p>
    <w:p w14:paraId="1D4379BD" w14:textId="77777777" w:rsidR="00EE44B6" w:rsidRPr="00EE44B6" w:rsidRDefault="00EE44B6" w:rsidP="00EE44B6">
      <w:pPr>
        <w:pStyle w:val="Default"/>
        <w:spacing w:line="276" w:lineRule="auto"/>
        <w:ind w:left="1080"/>
        <w:rPr>
          <w:rFonts w:ascii="Calibri" w:hAnsi="Calibri"/>
          <w:b/>
          <w:sz w:val="22"/>
          <w:szCs w:val="22"/>
        </w:rPr>
      </w:pPr>
    </w:p>
    <w:p w14:paraId="40A21C08" w14:textId="308B4AE8" w:rsidR="00EE44B6" w:rsidRPr="00EE44B6" w:rsidRDefault="00FD1F5A" w:rsidP="00EE44B6">
      <w:pPr>
        <w:pStyle w:val="Default"/>
        <w:spacing w:line="276" w:lineRule="auto"/>
        <w:ind w:left="1080"/>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64384" behindDoc="0" locked="0" layoutInCell="1" allowOverlap="1" wp14:anchorId="5C393C36" wp14:editId="59085AAC">
                <wp:simplePos x="0" y="0"/>
                <wp:positionH relativeFrom="column">
                  <wp:posOffset>6057900</wp:posOffset>
                </wp:positionH>
                <wp:positionV relativeFrom="paragraph">
                  <wp:posOffset>233045</wp:posOffset>
                </wp:positionV>
                <wp:extent cx="0" cy="2114550"/>
                <wp:effectExtent l="9525" t="6350" r="9525" b="1270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45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65DBB" id="AutoShape 23" o:spid="_x0000_s1026" type="#_x0000_t32" style="position:absolute;margin-left:477pt;margin-top:18.35pt;width:0;height:1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">
                <v:stroke dashstyle="dash"/>
              </v:shape>
            </w:pict>
          </mc:Fallback>
        </mc:AlternateContent>
      </w:r>
    </w:p>
    <w:p w14:paraId="261A269D" w14:textId="6256A24C" w:rsidR="00EE44B6" w:rsidRPr="00EE44B6" w:rsidRDefault="00FD1F5A" w:rsidP="00EE44B6">
      <w:pPr>
        <w:pStyle w:val="Default"/>
        <w:spacing w:line="276" w:lineRule="auto"/>
        <w:ind w:left="1080"/>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63360" behindDoc="0" locked="0" layoutInCell="1" allowOverlap="1" wp14:anchorId="1AC7DA75" wp14:editId="3ED3E721">
                <wp:simplePos x="0" y="0"/>
                <wp:positionH relativeFrom="column">
                  <wp:posOffset>4981575</wp:posOffset>
                </wp:positionH>
                <wp:positionV relativeFrom="paragraph">
                  <wp:posOffset>36830</wp:posOffset>
                </wp:positionV>
                <wp:extent cx="1076325" cy="0"/>
                <wp:effectExtent l="9525" t="6350" r="9525" b="1270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1CFE6" id="AutoShape 22" o:spid="_x0000_s1026" type="#_x0000_t32" style="position:absolute;margin-left:392.25pt;margin-top:2.9pt;width:84.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">
                <v:stroke dashstyle="dash"/>
              </v:shape>
            </w:pict>
          </mc:Fallback>
        </mc:AlternateContent>
      </w:r>
    </w:p>
    <w:p w14:paraId="5448285B" w14:textId="77777777" w:rsidR="00EE44B6" w:rsidRPr="00EE44B6" w:rsidRDefault="00EE44B6" w:rsidP="00EE44B6">
      <w:pPr>
        <w:pStyle w:val="Default"/>
        <w:spacing w:line="276" w:lineRule="auto"/>
        <w:ind w:left="1080"/>
        <w:rPr>
          <w:rFonts w:ascii="Calibri" w:hAnsi="Calibri"/>
          <w:b/>
          <w:sz w:val="22"/>
          <w:szCs w:val="22"/>
        </w:rPr>
      </w:pPr>
    </w:p>
    <w:p w14:paraId="6F41044C" w14:textId="3443E771" w:rsidR="00EE44B6" w:rsidRPr="00EE44B6" w:rsidRDefault="00FD1F5A" w:rsidP="00EE44B6">
      <w:pPr>
        <w:pStyle w:val="Default"/>
        <w:spacing w:line="276" w:lineRule="auto"/>
        <w:ind w:left="1080"/>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62336" behindDoc="0" locked="0" layoutInCell="1" allowOverlap="1" wp14:anchorId="00147122" wp14:editId="4E4E7DFB">
                <wp:simplePos x="0" y="0"/>
                <wp:positionH relativeFrom="column">
                  <wp:posOffset>4023995</wp:posOffset>
                </wp:positionH>
                <wp:positionV relativeFrom="paragraph">
                  <wp:posOffset>248285</wp:posOffset>
                </wp:positionV>
                <wp:extent cx="220980" cy="19685"/>
                <wp:effectExtent l="57150" t="13970" r="75565" b="22225"/>
                <wp:wrapNone/>
                <wp:docPr id="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0980" cy="19685"/>
                        </a:xfrm>
                        <a:prstGeom prst="bentConnector3">
                          <a:avLst>
                            <a:gd name="adj1" fmla="val 50000"/>
                          </a:avLst>
                        </a:prstGeom>
                        <a:noFill/>
                        <a:ln w="6350" algn="ctr">
                          <a:solidFill>
                            <a:srgbClr val="4472C4"/>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3648404F"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2" o:spid="_x0000_s1026" type="#_x0000_t34" style="position:absolute;margin-left:316.85pt;margin-top:19.55pt;width:17.4pt;height:1.55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" strokecolor="#4472c4" strokeweight=".5pt">
                <v:stroke endarrow="open"/>
              </v:shape>
            </w:pict>
          </mc:Fallback>
        </mc:AlternateContent>
      </w:r>
      <w:r>
        <w:rPr>
          <w:noProof/>
        </w:rPr>
        <mc:AlternateContent>
          <mc:Choice Requires="wps">
            <w:drawing>
              <wp:anchor distT="0" distB="0" distL="114300" distR="114300" simplePos="0" relativeHeight="251660288" behindDoc="0" locked="0" layoutInCell="1" allowOverlap="1" wp14:anchorId="2B44C26D" wp14:editId="06A95C25">
                <wp:simplePos x="0" y="0"/>
                <wp:positionH relativeFrom="column">
                  <wp:posOffset>1873250</wp:posOffset>
                </wp:positionH>
                <wp:positionV relativeFrom="paragraph">
                  <wp:posOffset>201295</wp:posOffset>
                </wp:positionV>
                <wp:extent cx="247650" cy="45085"/>
                <wp:effectExtent l="78740" t="13970" r="28575" b="14605"/>
                <wp:wrapNone/>
                <wp:docPr id="5"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7650" cy="45085"/>
                        </a:xfrm>
                        <a:prstGeom prst="bentConnector3">
                          <a:avLst>
                            <a:gd name="adj1" fmla="val 50000"/>
                          </a:avLst>
                        </a:prstGeom>
                        <a:noFill/>
                        <a:ln w="6350" algn="ctr">
                          <a:solidFill>
                            <a:srgbClr val="4472C4"/>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77A4B" id="Straight Arrow Connector 13" o:spid="_x0000_s1026" type="#_x0000_t34" style="position:absolute;margin-left:147.5pt;margin-top:15.85pt;width:19.5pt;height:3.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" strokecolor="#4472c4" strokeweight=".5pt">
                <v:stroke endarrow="open"/>
              </v:shape>
            </w:pict>
          </mc:Fallback>
        </mc:AlternateContent>
      </w:r>
    </w:p>
    <w:p w14:paraId="2C4EBE43" w14:textId="265A8997" w:rsidR="00EE44B6" w:rsidRPr="00EE44B6" w:rsidRDefault="00FD1F5A" w:rsidP="00EE44B6">
      <w:pPr>
        <w:pStyle w:val="Default"/>
        <w:spacing w:line="276" w:lineRule="auto"/>
        <w:ind w:left="1080"/>
        <w:rPr>
          <w:rFonts w:ascii="Calibri" w:hAnsi="Calibri"/>
          <w:b/>
          <w:sz w:val="22"/>
          <w:szCs w:val="22"/>
        </w:rPr>
      </w:pPr>
      <w:r>
        <w:rPr>
          <w:noProof/>
        </w:rPr>
        <mc:AlternateContent>
          <mc:Choice Requires="wps">
            <w:drawing>
              <wp:anchor distT="0" distB="0" distL="114300" distR="114300" simplePos="0" relativeHeight="251655168" behindDoc="0" locked="0" layoutInCell="1" allowOverlap="1" wp14:anchorId="07E3955C" wp14:editId="61982F46">
                <wp:simplePos x="0" y="0"/>
                <wp:positionH relativeFrom="column">
                  <wp:posOffset>3371850</wp:posOffset>
                </wp:positionH>
                <wp:positionV relativeFrom="paragraph">
                  <wp:posOffset>151765</wp:posOffset>
                </wp:positionV>
                <wp:extent cx="1924050" cy="933450"/>
                <wp:effectExtent l="9525" t="13970" r="19050" b="33655"/>
                <wp:wrapNone/>
                <wp:docPr id="4"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933450"/>
                        </a:xfrm>
                        <a:prstGeom prst="roundRect">
                          <a:avLst>
                            <a:gd name="adj" fmla="val 16667"/>
                          </a:avLst>
                        </a:prstGeom>
                        <a:gradFill rotWithShape="0">
                          <a:gsLst>
                            <a:gs pos="0">
                              <a:srgbClr val="F4B083"/>
                            </a:gs>
                            <a:gs pos="50000">
                              <a:srgbClr val="FBE4D5"/>
                            </a:gs>
                            <a:gs pos="100000">
                              <a:srgbClr val="F4B083"/>
                            </a:gs>
                          </a:gsLst>
                          <a:lin ang="189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2BB66BC3" w14:textId="77777777" w:rsidR="001B1D3C" w:rsidRDefault="001B1D3C" w:rsidP="00EE44B6">
                            <w:pPr>
                              <w:jc w:val="center"/>
                            </w:pPr>
                            <w:r>
                              <w:t>Unplanned Care Service Manager (Bronze Command)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7E3955C" id="Rounded Rectangle 8" o:spid="_x0000_s1031" style="position:absolute;left:0;text-align:left;margin-left:265.5pt;margin-top:11.95pt;width:151.5pt;height: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" fillcolor="#f4b083" strokecolor="#f4b083" strokeweight="1pt">
                <v:fill color2="#fbe4d5" angle="135" focus="50%" type="gradient"/>
                <v:stroke joinstyle="miter"/>
                <v:shadow on="t" color="#823b0b" opacity=".5" offset="1pt"/>
                <v:textbox>
                  <w:txbxContent>
                    <w:p w14:paraId="2BB66BC3" w14:textId="77777777" w:rsidR="001B1D3C" w:rsidRDefault="001B1D3C" w:rsidP="00EE44B6">
                      <w:pPr>
                        <w:jc w:val="center"/>
                      </w:pPr>
                      <w:r>
                        <w:t>Unplanned Care Service Manager (Bronze Command)</w:t>
                      </w:r>
                    </w:p>
                  </w:txbxContent>
                </v:textbox>
              </v:roundrect>
            </w:pict>
          </mc:Fallback>
        </mc:AlternateContent>
      </w:r>
      <w:r>
        <w:rPr>
          <w:noProof/>
        </w:rPr>
        <mc:AlternateContent>
          <mc:Choice Requires="wps">
            <w:drawing>
              <wp:anchor distT="0" distB="0" distL="114300" distR="114300" simplePos="0" relativeHeight="251654144" behindDoc="0" locked="0" layoutInCell="1" allowOverlap="1" wp14:anchorId="40E5AFA8" wp14:editId="15A6EA4A">
                <wp:simplePos x="0" y="0"/>
                <wp:positionH relativeFrom="column">
                  <wp:posOffset>1285875</wp:posOffset>
                </wp:positionH>
                <wp:positionV relativeFrom="paragraph">
                  <wp:posOffset>151765</wp:posOffset>
                </wp:positionV>
                <wp:extent cx="1924050" cy="933450"/>
                <wp:effectExtent l="9525" t="13970" r="19050" b="33655"/>
                <wp:wrapNone/>
                <wp:docPr id="3"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933450"/>
                        </a:xfrm>
                        <a:prstGeom prst="roundRect">
                          <a:avLst>
                            <a:gd name="adj" fmla="val 16667"/>
                          </a:avLst>
                        </a:prstGeom>
                        <a:gradFill rotWithShape="0">
                          <a:gsLst>
                            <a:gs pos="0">
                              <a:srgbClr val="F4B083"/>
                            </a:gs>
                            <a:gs pos="50000">
                              <a:srgbClr val="FBE4D5"/>
                            </a:gs>
                            <a:gs pos="100000">
                              <a:srgbClr val="F4B083"/>
                            </a:gs>
                          </a:gsLst>
                          <a:lin ang="189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0924169D" w14:textId="77777777" w:rsidR="001B1D3C" w:rsidRDefault="001B1D3C" w:rsidP="00EE44B6">
                            <w:pPr>
                              <w:jc w:val="center"/>
                            </w:pPr>
                            <w:r>
                              <w:t>Emergency Planning and Resilience Manager (Bronze Command)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0E5AFA8" id="Rounded Rectangle 6" o:spid="_x0000_s1032" style="position:absolute;left:0;text-align:left;margin-left:101.25pt;margin-top:11.95pt;width:151.5pt;height: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" fillcolor="#f4b083" strokecolor="#f4b083" strokeweight="1pt">
                <v:fill color2="#fbe4d5" angle="135" focus="50%" type="gradient"/>
                <v:stroke joinstyle="miter"/>
                <v:shadow on="t" color="#823b0b" opacity=".5" offset="1pt"/>
                <v:textbox>
                  <w:txbxContent>
                    <w:p w14:paraId="0924169D" w14:textId="77777777" w:rsidR="001B1D3C" w:rsidRDefault="001B1D3C" w:rsidP="00EE44B6">
                      <w:pPr>
                        <w:jc w:val="center"/>
                      </w:pPr>
                      <w:r>
                        <w:t>Emergency Planning and Resilience Manager (Bronze Command)</w:t>
                      </w:r>
                    </w:p>
                  </w:txbxContent>
                </v:textbox>
              </v:roundrect>
            </w:pict>
          </mc:Fallback>
        </mc:AlternateContent>
      </w:r>
    </w:p>
    <w:p w14:paraId="63E5E47C" w14:textId="77777777" w:rsidR="00EE44B6" w:rsidRPr="00EE44B6" w:rsidRDefault="00EE44B6" w:rsidP="00EE44B6">
      <w:pPr>
        <w:pStyle w:val="Default"/>
        <w:spacing w:line="276" w:lineRule="auto"/>
        <w:ind w:left="1080"/>
        <w:rPr>
          <w:rFonts w:ascii="Calibri" w:hAnsi="Calibri"/>
          <w:b/>
          <w:sz w:val="22"/>
          <w:szCs w:val="22"/>
        </w:rPr>
      </w:pPr>
    </w:p>
    <w:p w14:paraId="057B4237" w14:textId="77777777" w:rsidR="00EE44B6" w:rsidRPr="00EE44B6" w:rsidRDefault="00EE44B6" w:rsidP="00EE44B6">
      <w:pPr>
        <w:pStyle w:val="Default"/>
        <w:spacing w:line="276" w:lineRule="auto"/>
        <w:ind w:left="1080"/>
        <w:rPr>
          <w:rFonts w:ascii="Calibri" w:hAnsi="Calibri"/>
          <w:b/>
          <w:sz w:val="22"/>
          <w:szCs w:val="22"/>
        </w:rPr>
      </w:pPr>
    </w:p>
    <w:p w14:paraId="64A7F14C" w14:textId="77777777" w:rsidR="00EE44B6" w:rsidRPr="00EE44B6" w:rsidRDefault="00EE44B6" w:rsidP="00EE44B6">
      <w:pPr>
        <w:pStyle w:val="Default"/>
        <w:spacing w:line="276" w:lineRule="auto"/>
        <w:ind w:left="1080"/>
        <w:rPr>
          <w:rFonts w:ascii="Calibri" w:hAnsi="Calibri"/>
          <w:b/>
          <w:sz w:val="22"/>
          <w:szCs w:val="22"/>
        </w:rPr>
      </w:pPr>
    </w:p>
    <w:p w14:paraId="19E0EF17" w14:textId="77777777" w:rsidR="00EE44B6" w:rsidRPr="00EE44B6" w:rsidRDefault="00EE44B6" w:rsidP="00EE44B6">
      <w:pPr>
        <w:pStyle w:val="Default"/>
        <w:spacing w:line="276" w:lineRule="auto"/>
        <w:ind w:left="1080"/>
        <w:rPr>
          <w:rFonts w:ascii="Calibri" w:hAnsi="Calibri"/>
          <w:b/>
          <w:sz w:val="22"/>
          <w:szCs w:val="22"/>
        </w:rPr>
      </w:pPr>
    </w:p>
    <w:p w14:paraId="65411035" w14:textId="77777777" w:rsidR="00EE44B6" w:rsidRPr="00EE44B6" w:rsidRDefault="00EE44B6" w:rsidP="00EE44B6">
      <w:pPr>
        <w:pStyle w:val="Default"/>
        <w:spacing w:line="276" w:lineRule="auto"/>
        <w:ind w:left="1080"/>
        <w:rPr>
          <w:rFonts w:ascii="Calibri" w:hAnsi="Calibri"/>
          <w:b/>
          <w:sz w:val="22"/>
          <w:szCs w:val="22"/>
        </w:rPr>
      </w:pPr>
    </w:p>
    <w:p w14:paraId="0C17ACB4" w14:textId="11DFC3FB" w:rsidR="00EE44B6" w:rsidRPr="00EE44B6" w:rsidRDefault="00FD1F5A" w:rsidP="00EE44B6">
      <w:pPr>
        <w:pStyle w:val="Default"/>
        <w:spacing w:line="276" w:lineRule="auto"/>
        <w:ind w:left="1080"/>
        <w:rPr>
          <w:rFonts w:ascii="Calibri" w:hAnsi="Calibri"/>
          <w:b/>
          <w:sz w:val="22"/>
          <w:szCs w:val="22"/>
        </w:rPr>
      </w:pPr>
      <w:r>
        <w:rPr>
          <w:noProof/>
        </w:rPr>
        <mc:AlternateContent>
          <mc:Choice Requires="wps">
            <w:drawing>
              <wp:anchor distT="0" distB="0" distL="114300" distR="114300" simplePos="0" relativeHeight="251656192" behindDoc="0" locked="0" layoutInCell="1" allowOverlap="1" wp14:anchorId="46909394" wp14:editId="52FB685E">
                <wp:simplePos x="0" y="0"/>
                <wp:positionH relativeFrom="column">
                  <wp:posOffset>3371850</wp:posOffset>
                </wp:positionH>
                <wp:positionV relativeFrom="paragraph">
                  <wp:posOffset>53340</wp:posOffset>
                </wp:positionV>
                <wp:extent cx="1924050" cy="933450"/>
                <wp:effectExtent l="0" t="0" r="0" b="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9334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1652EA6A" w14:textId="77777777" w:rsidR="001B1D3C" w:rsidRDefault="001B1D3C" w:rsidP="00EE44B6">
                            <w:pPr>
                              <w:jc w:val="center"/>
                            </w:pPr>
                            <w:r>
                              <w:t>Project Officer for Unplanned Care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909394" id="Rounded Rectangle 9" o:spid="_x0000_s1033" style="position:absolute;left:0;text-align:left;margin-left:265.5pt;margin-top:4.2pt;width:151.5pt;height: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" fillcolor="#4472c4" strokecolor="#2f528f" strokeweight="1pt">
                <v:stroke joinstyle="miter"/>
                <v:path arrowok="t"/>
                <v:textbox>
                  <w:txbxContent>
                    <w:p w14:paraId="1652EA6A" w14:textId="77777777" w:rsidR="001B1D3C" w:rsidRDefault="001B1D3C" w:rsidP="00EE44B6">
                      <w:pPr>
                        <w:jc w:val="center"/>
                      </w:pPr>
                      <w:r>
                        <w:t>Project Officer for Unplanned Care (Support)</w:t>
                      </w:r>
                    </w:p>
                  </w:txbxContent>
                </v:textbox>
              </v:roundrect>
            </w:pict>
          </mc:Fallback>
        </mc:AlternateContent>
      </w:r>
    </w:p>
    <w:p w14:paraId="03493B01" w14:textId="1D22274F" w:rsidR="00EE44B6" w:rsidRPr="00EE44B6" w:rsidRDefault="00FD1F5A" w:rsidP="00EE44B6">
      <w:pPr>
        <w:pStyle w:val="Default"/>
        <w:spacing w:line="276" w:lineRule="auto"/>
        <w:ind w:left="1080"/>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65408" behindDoc="0" locked="0" layoutInCell="1" allowOverlap="1" wp14:anchorId="337A5C8C" wp14:editId="166E3634">
                <wp:simplePos x="0" y="0"/>
                <wp:positionH relativeFrom="column">
                  <wp:posOffset>5353050</wp:posOffset>
                </wp:positionH>
                <wp:positionV relativeFrom="paragraph">
                  <wp:posOffset>190500</wp:posOffset>
                </wp:positionV>
                <wp:extent cx="704850" cy="0"/>
                <wp:effectExtent l="19050" t="53975" r="9525" b="6032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83397" id="AutoShape 24" o:spid="_x0000_s1026" type="#_x0000_t32" style="position:absolute;margin-left:421.5pt;margin-top:15pt;width:55.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">
                <v:stroke dashstyle="dash" endarrow="block"/>
              </v:shape>
            </w:pict>
          </mc:Fallback>
        </mc:AlternateContent>
      </w:r>
    </w:p>
    <w:p w14:paraId="2B693F06" w14:textId="77777777" w:rsidR="00EE44B6" w:rsidRPr="00EE44B6" w:rsidRDefault="00EE44B6" w:rsidP="00EE44B6">
      <w:pPr>
        <w:pStyle w:val="Default"/>
        <w:spacing w:line="276" w:lineRule="auto"/>
        <w:ind w:left="1080"/>
        <w:rPr>
          <w:rFonts w:ascii="Calibri" w:hAnsi="Calibri"/>
          <w:b/>
          <w:sz w:val="22"/>
          <w:szCs w:val="22"/>
        </w:rPr>
      </w:pPr>
    </w:p>
    <w:p w14:paraId="7FA3A2B8" w14:textId="77777777" w:rsidR="00EE44B6" w:rsidRPr="00EE44B6" w:rsidRDefault="00EE44B6" w:rsidP="00EE44B6">
      <w:pPr>
        <w:pStyle w:val="Default"/>
        <w:spacing w:line="276" w:lineRule="auto"/>
        <w:ind w:left="1080"/>
        <w:rPr>
          <w:rFonts w:ascii="Calibri" w:hAnsi="Calibri"/>
          <w:b/>
          <w:sz w:val="22"/>
          <w:szCs w:val="22"/>
        </w:rPr>
      </w:pPr>
    </w:p>
    <w:p w14:paraId="43A66002" w14:textId="77777777" w:rsidR="00EE44B6" w:rsidRPr="00EE44B6" w:rsidRDefault="00EE44B6" w:rsidP="00EE44B6">
      <w:pPr>
        <w:pStyle w:val="Default"/>
        <w:spacing w:line="276" w:lineRule="auto"/>
        <w:ind w:left="1080"/>
        <w:rPr>
          <w:rFonts w:ascii="Calibri" w:hAnsi="Calibri"/>
          <w:b/>
          <w:sz w:val="22"/>
          <w:szCs w:val="22"/>
        </w:rPr>
      </w:pPr>
    </w:p>
    <w:p w14:paraId="60BE0D9B" w14:textId="77777777" w:rsidR="00EE44B6" w:rsidRPr="00EE44B6" w:rsidRDefault="00EE44B6" w:rsidP="00EE44B6">
      <w:pPr>
        <w:pStyle w:val="Default"/>
        <w:spacing w:line="276" w:lineRule="auto"/>
        <w:ind w:left="1080"/>
        <w:rPr>
          <w:rFonts w:ascii="Calibri" w:hAnsi="Calibri"/>
          <w:b/>
          <w:sz w:val="22"/>
          <w:szCs w:val="22"/>
        </w:rPr>
      </w:pPr>
    </w:p>
    <w:p w14:paraId="761CEE30" w14:textId="77777777" w:rsidR="00EE44B6" w:rsidRPr="00EE44B6" w:rsidRDefault="00EE44B6" w:rsidP="00EE44B6">
      <w:pPr>
        <w:pStyle w:val="Default"/>
        <w:spacing w:line="276" w:lineRule="auto"/>
        <w:ind w:left="1080"/>
        <w:rPr>
          <w:rFonts w:ascii="Calibri" w:hAnsi="Calibri"/>
          <w:b/>
          <w:sz w:val="22"/>
          <w:szCs w:val="22"/>
        </w:rPr>
      </w:pPr>
    </w:p>
    <w:p w14:paraId="4EEAA371" w14:textId="77777777" w:rsidR="00EE44B6" w:rsidRPr="00EE44B6" w:rsidRDefault="00EE44B6" w:rsidP="00EE44B6">
      <w:pPr>
        <w:pStyle w:val="Default"/>
        <w:spacing w:line="276" w:lineRule="auto"/>
        <w:ind w:left="1080"/>
        <w:rPr>
          <w:rFonts w:ascii="Calibri" w:hAnsi="Calibri"/>
          <w:b/>
          <w:sz w:val="22"/>
          <w:szCs w:val="22"/>
        </w:rPr>
      </w:pPr>
    </w:p>
    <w:p w14:paraId="1A8D1792" w14:textId="77777777" w:rsidR="00EE44B6" w:rsidRPr="00EE44B6" w:rsidRDefault="00EE44B6" w:rsidP="00EE44B6">
      <w:pPr>
        <w:pStyle w:val="Default"/>
        <w:spacing w:line="276" w:lineRule="auto"/>
        <w:ind w:left="1080"/>
        <w:rPr>
          <w:rFonts w:ascii="Calibri" w:hAnsi="Calibri"/>
          <w:b/>
          <w:sz w:val="22"/>
          <w:szCs w:val="22"/>
        </w:rPr>
      </w:pPr>
    </w:p>
    <w:p w14:paraId="31CDF6A2" w14:textId="77777777" w:rsidR="00EE44B6" w:rsidRPr="00EE44B6" w:rsidRDefault="00EE44B6" w:rsidP="00EE44B6">
      <w:pPr>
        <w:pStyle w:val="Default"/>
        <w:spacing w:line="276" w:lineRule="auto"/>
        <w:ind w:left="1080"/>
        <w:rPr>
          <w:rFonts w:ascii="Calibri" w:hAnsi="Calibri"/>
          <w:b/>
          <w:sz w:val="22"/>
          <w:szCs w:val="22"/>
        </w:rPr>
      </w:pPr>
    </w:p>
    <w:p w14:paraId="457B8057" w14:textId="77777777" w:rsidR="00EE44B6" w:rsidRPr="00EE44B6" w:rsidRDefault="00EE44B6" w:rsidP="00EE44B6">
      <w:pPr>
        <w:pStyle w:val="Default"/>
        <w:spacing w:line="276" w:lineRule="auto"/>
        <w:ind w:left="1080"/>
        <w:rPr>
          <w:rFonts w:ascii="Calibri" w:hAnsi="Calibri"/>
          <w:b/>
          <w:sz w:val="22"/>
          <w:szCs w:val="22"/>
        </w:rPr>
      </w:pPr>
    </w:p>
    <w:p w14:paraId="2DF75B21" w14:textId="77777777" w:rsidR="00EE44B6" w:rsidRPr="00EE44B6" w:rsidRDefault="00EE44B6" w:rsidP="00EE44B6">
      <w:pPr>
        <w:pStyle w:val="Default"/>
        <w:spacing w:line="276" w:lineRule="auto"/>
        <w:ind w:left="1080"/>
        <w:rPr>
          <w:rFonts w:ascii="Calibri" w:hAnsi="Calibri"/>
          <w:b/>
          <w:sz w:val="22"/>
          <w:szCs w:val="22"/>
        </w:rPr>
      </w:pPr>
    </w:p>
    <w:p w14:paraId="056FCC72" w14:textId="77777777" w:rsidR="00EE44B6" w:rsidRPr="00EE44B6" w:rsidRDefault="00EE44B6" w:rsidP="00EE44B6">
      <w:pPr>
        <w:pStyle w:val="Default"/>
        <w:spacing w:line="276" w:lineRule="auto"/>
        <w:ind w:left="1080"/>
        <w:rPr>
          <w:rFonts w:ascii="Calibri" w:hAnsi="Calibri"/>
          <w:b/>
          <w:sz w:val="22"/>
          <w:szCs w:val="22"/>
        </w:rPr>
      </w:pPr>
    </w:p>
    <w:p w14:paraId="2D02E185" w14:textId="77777777" w:rsidR="00EE44B6" w:rsidRPr="00EE44B6" w:rsidRDefault="00EE44B6" w:rsidP="00EE44B6">
      <w:pPr>
        <w:pStyle w:val="Default"/>
        <w:spacing w:line="276" w:lineRule="auto"/>
        <w:ind w:left="1080"/>
        <w:rPr>
          <w:rFonts w:ascii="Calibri" w:hAnsi="Calibri"/>
          <w:b/>
          <w:sz w:val="22"/>
          <w:szCs w:val="22"/>
        </w:rPr>
      </w:pPr>
    </w:p>
    <w:p w14:paraId="62927651" w14:textId="77777777" w:rsidR="00EE44B6" w:rsidRPr="00EE44B6" w:rsidRDefault="00EE44B6" w:rsidP="00EE44B6">
      <w:pPr>
        <w:pStyle w:val="Default"/>
        <w:spacing w:line="276" w:lineRule="auto"/>
        <w:ind w:left="1080"/>
        <w:rPr>
          <w:rFonts w:ascii="Calibri" w:hAnsi="Calibri"/>
          <w:b/>
          <w:sz w:val="22"/>
          <w:szCs w:val="22"/>
        </w:rPr>
      </w:pPr>
    </w:p>
    <w:p w14:paraId="27D1FAD0" w14:textId="77777777" w:rsidR="00EE44B6" w:rsidRPr="00EE44B6" w:rsidRDefault="00EE44B6" w:rsidP="00EE44B6">
      <w:pPr>
        <w:pStyle w:val="Default"/>
        <w:spacing w:line="276" w:lineRule="auto"/>
        <w:ind w:left="1080"/>
        <w:rPr>
          <w:rFonts w:ascii="Calibri" w:hAnsi="Calibri"/>
          <w:b/>
          <w:sz w:val="22"/>
          <w:szCs w:val="22"/>
        </w:rPr>
      </w:pPr>
    </w:p>
    <w:p w14:paraId="3D8FBAEE" w14:textId="77777777" w:rsidR="00EE44B6" w:rsidRPr="00EE44B6" w:rsidRDefault="00EE44B6" w:rsidP="00EE44B6">
      <w:pPr>
        <w:pStyle w:val="Default"/>
        <w:spacing w:line="276" w:lineRule="auto"/>
        <w:ind w:left="1080"/>
        <w:rPr>
          <w:rFonts w:ascii="Calibri" w:hAnsi="Calibri"/>
          <w:b/>
          <w:sz w:val="22"/>
          <w:szCs w:val="22"/>
        </w:rPr>
      </w:pPr>
    </w:p>
    <w:p w14:paraId="4E030D3C" w14:textId="77777777" w:rsidR="00EE44B6" w:rsidRDefault="00EE44B6">
      <w:pPr>
        <w:pStyle w:val="Default"/>
        <w:ind w:left="720"/>
        <w:contextualSpacing/>
        <w:rPr>
          <w:sz w:val="22"/>
          <w:szCs w:val="22"/>
        </w:rPr>
      </w:pPr>
    </w:p>
    <w:p w14:paraId="62E2DB8F" w14:textId="414CE3FE" w:rsidR="002B5BD4" w:rsidRPr="004C07C5" w:rsidRDefault="00B11B6B" w:rsidP="004C07C5">
      <w:pPr>
        <w:pStyle w:val="Heading1"/>
        <w:rPr>
          <w:rFonts w:ascii="Arial" w:hAnsi="Arial" w:cs="Arial"/>
          <w:b/>
          <w:color w:val="000000"/>
          <w:sz w:val="24"/>
          <w:szCs w:val="24"/>
        </w:rPr>
      </w:pPr>
      <w:bookmarkStart w:id="16" w:name="_Toc70604987"/>
      <w:r w:rsidRPr="00C12A16">
        <w:rPr>
          <w:rFonts w:ascii="Arial" w:hAnsi="Arial" w:cs="Arial"/>
          <w:b/>
          <w:color w:val="000000"/>
          <w:sz w:val="24"/>
          <w:szCs w:val="24"/>
        </w:rPr>
        <w:lastRenderedPageBreak/>
        <w:t>9.0</w:t>
      </w:r>
      <w:r w:rsidRPr="00C12A16">
        <w:rPr>
          <w:rFonts w:ascii="Arial" w:hAnsi="Arial" w:cs="Arial"/>
          <w:b/>
          <w:color w:val="000000"/>
          <w:sz w:val="24"/>
          <w:szCs w:val="24"/>
        </w:rPr>
        <w:tab/>
      </w:r>
      <w:r w:rsidR="002B5BD4" w:rsidRPr="00C12A16">
        <w:rPr>
          <w:rStyle w:val="Heading1Char"/>
          <w:rFonts w:ascii="Arial" w:hAnsi="Arial" w:cs="Arial"/>
          <w:b/>
          <w:color w:val="000000"/>
          <w:sz w:val="24"/>
          <w:szCs w:val="24"/>
        </w:rPr>
        <w:t>NHS EPRR ASSURANCE</w:t>
      </w:r>
      <w:bookmarkEnd w:id="16"/>
    </w:p>
    <w:p w14:paraId="706CB0C6" w14:textId="77777777" w:rsidR="004C07C5" w:rsidRDefault="004C07C5" w:rsidP="002B5BD4">
      <w:pPr>
        <w:pStyle w:val="Default"/>
        <w:ind w:left="709"/>
        <w:jc w:val="both"/>
        <w:rPr>
          <w:sz w:val="22"/>
          <w:szCs w:val="22"/>
        </w:rPr>
      </w:pPr>
    </w:p>
    <w:p w14:paraId="340DEA92" w14:textId="3DD35B91" w:rsidR="002B5BD4" w:rsidRPr="00C12A16" w:rsidRDefault="002B5BD4" w:rsidP="002B5BD4">
      <w:pPr>
        <w:pStyle w:val="Default"/>
        <w:ind w:left="709"/>
        <w:jc w:val="both"/>
        <w:rPr>
          <w:sz w:val="22"/>
          <w:szCs w:val="22"/>
        </w:rPr>
      </w:pPr>
      <w:r w:rsidRPr="00C12A16">
        <w:rPr>
          <w:sz w:val="22"/>
          <w:szCs w:val="22"/>
        </w:rPr>
        <w:t xml:space="preserve">The annual NHS EPRR Assurance Process is based on the NHS EPRR Framework which is updated annually. An annual review of the CCG compliance with NHS Core standards for EPRR is required in accordance with the national timetable; this is collated by the Emergency Planning and Resilience Manager and reviewed and approved by the AEO. </w:t>
      </w:r>
    </w:p>
    <w:p w14:paraId="14ECB2EA" w14:textId="77777777" w:rsidR="002B5BD4" w:rsidRPr="00C12A16" w:rsidRDefault="002B5BD4" w:rsidP="002B5BD4">
      <w:pPr>
        <w:pStyle w:val="Default"/>
        <w:ind w:left="709"/>
        <w:jc w:val="both"/>
        <w:rPr>
          <w:sz w:val="22"/>
          <w:szCs w:val="22"/>
        </w:rPr>
      </w:pPr>
    </w:p>
    <w:p w14:paraId="5798869C" w14:textId="77777777" w:rsidR="002B5BD4" w:rsidRPr="00C12A16" w:rsidRDefault="002B5BD4" w:rsidP="002B5BD4">
      <w:pPr>
        <w:pStyle w:val="Default"/>
        <w:ind w:left="709"/>
        <w:jc w:val="both"/>
        <w:rPr>
          <w:sz w:val="22"/>
          <w:szCs w:val="22"/>
        </w:rPr>
      </w:pPr>
      <w:r w:rsidRPr="00C12A16">
        <w:rPr>
          <w:sz w:val="22"/>
          <w:szCs w:val="22"/>
        </w:rPr>
        <w:t xml:space="preserve">The assurance process consists of: </w:t>
      </w:r>
    </w:p>
    <w:p w14:paraId="1170F314" w14:textId="77777777" w:rsidR="002B5BD4" w:rsidRPr="00C12A16" w:rsidRDefault="002B5BD4" w:rsidP="002B5BD4">
      <w:pPr>
        <w:pStyle w:val="Default"/>
        <w:ind w:left="709"/>
        <w:jc w:val="both"/>
        <w:rPr>
          <w:sz w:val="22"/>
          <w:szCs w:val="22"/>
        </w:rPr>
      </w:pPr>
    </w:p>
    <w:p w14:paraId="352A0907" w14:textId="77777777" w:rsidR="002B5BD4" w:rsidRPr="00C12A16" w:rsidRDefault="002B5BD4" w:rsidP="002B5BD4">
      <w:pPr>
        <w:pStyle w:val="Default"/>
        <w:numPr>
          <w:ilvl w:val="0"/>
          <w:numId w:val="16"/>
        </w:numPr>
        <w:ind w:left="709"/>
        <w:jc w:val="both"/>
        <w:rPr>
          <w:sz w:val="22"/>
          <w:szCs w:val="22"/>
        </w:rPr>
      </w:pPr>
      <w:r w:rsidRPr="00C12A16">
        <w:rPr>
          <w:sz w:val="22"/>
          <w:szCs w:val="22"/>
        </w:rPr>
        <w:t xml:space="preserve">An organisational self-assessment against the EPRR core standards which is structured under the headings: </w:t>
      </w:r>
    </w:p>
    <w:p w14:paraId="28A92551" w14:textId="77777777" w:rsidR="002B5BD4" w:rsidRPr="00C12A16" w:rsidRDefault="002B5BD4" w:rsidP="002B5BD4">
      <w:pPr>
        <w:pStyle w:val="Default"/>
        <w:numPr>
          <w:ilvl w:val="1"/>
          <w:numId w:val="16"/>
        </w:numPr>
        <w:ind w:left="709" w:firstLine="11"/>
        <w:jc w:val="both"/>
        <w:rPr>
          <w:sz w:val="22"/>
          <w:szCs w:val="22"/>
        </w:rPr>
      </w:pPr>
      <w:r w:rsidRPr="00C12A16">
        <w:rPr>
          <w:sz w:val="22"/>
          <w:szCs w:val="22"/>
        </w:rPr>
        <w:t xml:space="preserve">Governance </w:t>
      </w:r>
    </w:p>
    <w:p w14:paraId="7C094ABF" w14:textId="77777777" w:rsidR="002B5BD4" w:rsidRPr="00C12A16" w:rsidRDefault="002B5BD4" w:rsidP="002B5BD4">
      <w:pPr>
        <w:pStyle w:val="Default"/>
        <w:numPr>
          <w:ilvl w:val="1"/>
          <w:numId w:val="16"/>
        </w:numPr>
        <w:ind w:left="709" w:firstLine="11"/>
        <w:jc w:val="both"/>
        <w:rPr>
          <w:sz w:val="22"/>
          <w:szCs w:val="22"/>
        </w:rPr>
      </w:pPr>
      <w:r w:rsidRPr="00C12A16">
        <w:rPr>
          <w:sz w:val="22"/>
          <w:szCs w:val="22"/>
        </w:rPr>
        <w:t>Duty to risk assess</w:t>
      </w:r>
    </w:p>
    <w:p w14:paraId="0B8575AE" w14:textId="77777777" w:rsidR="002B5BD4" w:rsidRPr="00C12A16" w:rsidRDefault="002B5BD4" w:rsidP="002B5BD4">
      <w:pPr>
        <w:pStyle w:val="Default"/>
        <w:numPr>
          <w:ilvl w:val="1"/>
          <w:numId w:val="16"/>
        </w:numPr>
        <w:ind w:left="709" w:firstLine="11"/>
        <w:jc w:val="both"/>
        <w:rPr>
          <w:sz w:val="22"/>
          <w:szCs w:val="22"/>
        </w:rPr>
      </w:pPr>
      <w:r w:rsidRPr="00C12A16">
        <w:rPr>
          <w:sz w:val="22"/>
          <w:szCs w:val="22"/>
        </w:rPr>
        <w:t>Duty to maintain plans</w:t>
      </w:r>
    </w:p>
    <w:p w14:paraId="1A004418" w14:textId="77777777" w:rsidR="002B5BD4" w:rsidRPr="00C12A16" w:rsidRDefault="002B5BD4" w:rsidP="002B5BD4">
      <w:pPr>
        <w:pStyle w:val="Default"/>
        <w:numPr>
          <w:ilvl w:val="1"/>
          <w:numId w:val="16"/>
        </w:numPr>
        <w:ind w:left="709" w:firstLine="11"/>
        <w:jc w:val="both"/>
        <w:rPr>
          <w:sz w:val="22"/>
          <w:szCs w:val="22"/>
        </w:rPr>
      </w:pPr>
      <w:r w:rsidRPr="00C12A16">
        <w:rPr>
          <w:sz w:val="22"/>
          <w:szCs w:val="22"/>
        </w:rPr>
        <w:t xml:space="preserve">Command and control </w:t>
      </w:r>
    </w:p>
    <w:p w14:paraId="174102D2" w14:textId="77777777" w:rsidR="002B5BD4" w:rsidRPr="00C12A16" w:rsidRDefault="002B5BD4" w:rsidP="002B5BD4">
      <w:pPr>
        <w:pStyle w:val="Default"/>
        <w:numPr>
          <w:ilvl w:val="1"/>
          <w:numId w:val="16"/>
        </w:numPr>
        <w:ind w:left="709" w:firstLine="11"/>
        <w:jc w:val="both"/>
        <w:rPr>
          <w:sz w:val="22"/>
          <w:szCs w:val="22"/>
        </w:rPr>
      </w:pPr>
      <w:r w:rsidRPr="00C12A16">
        <w:rPr>
          <w:sz w:val="22"/>
          <w:szCs w:val="22"/>
        </w:rPr>
        <w:t>Training and exercising</w:t>
      </w:r>
    </w:p>
    <w:p w14:paraId="3415EB50" w14:textId="77777777" w:rsidR="002B5BD4" w:rsidRPr="00C12A16" w:rsidRDefault="002B5BD4" w:rsidP="002B5BD4">
      <w:pPr>
        <w:pStyle w:val="Default"/>
        <w:numPr>
          <w:ilvl w:val="1"/>
          <w:numId w:val="16"/>
        </w:numPr>
        <w:ind w:left="709" w:firstLine="11"/>
        <w:jc w:val="both"/>
        <w:rPr>
          <w:sz w:val="22"/>
          <w:szCs w:val="22"/>
        </w:rPr>
      </w:pPr>
      <w:r w:rsidRPr="00C12A16">
        <w:rPr>
          <w:sz w:val="22"/>
          <w:szCs w:val="22"/>
        </w:rPr>
        <w:t>Response</w:t>
      </w:r>
    </w:p>
    <w:p w14:paraId="47F1184E" w14:textId="77777777" w:rsidR="002B5BD4" w:rsidRPr="00C12A16" w:rsidRDefault="002B5BD4" w:rsidP="002B5BD4">
      <w:pPr>
        <w:pStyle w:val="Default"/>
        <w:numPr>
          <w:ilvl w:val="1"/>
          <w:numId w:val="16"/>
        </w:numPr>
        <w:ind w:left="709" w:firstLine="11"/>
        <w:jc w:val="both"/>
        <w:rPr>
          <w:sz w:val="22"/>
          <w:szCs w:val="22"/>
        </w:rPr>
      </w:pPr>
      <w:r w:rsidRPr="00C12A16">
        <w:rPr>
          <w:sz w:val="22"/>
          <w:szCs w:val="22"/>
        </w:rPr>
        <w:t>Warning and informing</w:t>
      </w:r>
    </w:p>
    <w:p w14:paraId="073E43AD" w14:textId="77777777" w:rsidR="002B5BD4" w:rsidRPr="00C12A16" w:rsidRDefault="002B5BD4" w:rsidP="002B5BD4">
      <w:pPr>
        <w:pStyle w:val="Default"/>
        <w:numPr>
          <w:ilvl w:val="1"/>
          <w:numId w:val="16"/>
        </w:numPr>
        <w:ind w:left="709" w:firstLine="11"/>
        <w:jc w:val="both"/>
        <w:rPr>
          <w:sz w:val="22"/>
          <w:szCs w:val="22"/>
        </w:rPr>
      </w:pPr>
      <w:r w:rsidRPr="00C12A16">
        <w:rPr>
          <w:sz w:val="22"/>
          <w:szCs w:val="22"/>
        </w:rPr>
        <w:t>Cooperation</w:t>
      </w:r>
    </w:p>
    <w:p w14:paraId="7AB7076E" w14:textId="77777777" w:rsidR="002B5BD4" w:rsidRPr="00C12A16" w:rsidRDefault="002B5BD4" w:rsidP="002B5BD4">
      <w:pPr>
        <w:pStyle w:val="Default"/>
        <w:numPr>
          <w:ilvl w:val="1"/>
          <w:numId w:val="16"/>
        </w:numPr>
        <w:ind w:left="709" w:firstLine="11"/>
        <w:jc w:val="both"/>
        <w:rPr>
          <w:sz w:val="22"/>
          <w:szCs w:val="22"/>
        </w:rPr>
      </w:pPr>
      <w:r w:rsidRPr="00C12A16">
        <w:rPr>
          <w:sz w:val="22"/>
          <w:szCs w:val="22"/>
        </w:rPr>
        <w:t xml:space="preserve">Business Continuity </w:t>
      </w:r>
    </w:p>
    <w:p w14:paraId="5AA50105" w14:textId="77777777" w:rsidR="002B5BD4" w:rsidRPr="00C12A16" w:rsidRDefault="002B5BD4" w:rsidP="002B5BD4">
      <w:pPr>
        <w:pStyle w:val="Default"/>
        <w:ind w:left="709"/>
        <w:jc w:val="both"/>
        <w:rPr>
          <w:sz w:val="22"/>
          <w:szCs w:val="22"/>
        </w:rPr>
      </w:pPr>
    </w:p>
    <w:p w14:paraId="0724F29D" w14:textId="77777777" w:rsidR="002B5BD4" w:rsidRPr="00C12A16" w:rsidRDefault="002B5BD4" w:rsidP="002B5BD4">
      <w:pPr>
        <w:pStyle w:val="Default"/>
        <w:numPr>
          <w:ilvl w:val="0"/>
          <w:numId w:val="16"/>
        </w:numPr>
        <w:ind w:left="709"/>
        <w:jc w:val="both"/>
        <w:rPr>
          <w:sz w:val="22"/>
          <w:szCs w:val="22"/>
        </w:rPr>
      </w:pPr>
      <w:r w:rsidRPr="00C12A16">
        <w:rPr>
          <w:sz w:val="22"/>
          <w:szCs w:val="22"/>
        </w:rPr>
        <w:t>The development and submission of an action plan (which forms the annual EPRR work plan for the CCG) for improvements indicated by the self-assessment and</w:t>
      </w:r>
    </w:p>
    <w:p w14:paraId="2F7C23B0" w14:textId="77777777" w:rsidR="002B5BD4" w:rsidRPr="00C12A16" w:rsidRDefault="002B5BD4" w:rsidP="002B5BD4">
      <w:pPr>
        <w:pStyle w:val="Default"/>
        <w:ind w:left="709"/>
        <w:jc w:val="both"/>
        <w:rPr>
          <w:sz w:val="22"/>
          <w:szCs w:val="22"/>
        </w:rPr>
      </w:pPr>
    </w:p>
    <w:p w14:paraId="4871E8AF" w14:textId="77777777" w:rsidR="002B5BD4" w:rsidRPr="00C12A16" w:rsidRDefault="002B5BD4" w:rsidP="002B5BD4">
      <w:pPr>
        <w:pStyle w:val="Default"/>
        <w:numPr>
          <w:ilvl w:val="0"/>
          <w:numId w:val="16"/>
        </w:numPr>
        <w:ind w:left="709"/>
        <w:jc w:val="both"/>
        <w:rPr>
          <w:sz w:val="22"/>
          <w:szCs w:val="22"/>
        </w:rPr>
      </w:pPr>
      <w:r w:rsidRPr="00C12A16">
        <w:rPr>
          <w:sz w:val="22"/>
          <w:szCs w:val="22"/>
        </w:rPr>
        <w:t>The submission of a statement of compliance ratified by the governing body/board.</w:t>
      </w:r>
    </w:p>
    <w:p w14:paraId="54F861EE" w14:textId="77777777" w:rsidR="002B5BD4" w:rsidRPr="00C12A16" w:rsidRDefault="002B5BD4" w:rsidP="002B5BD4">
      <w:pPr>
        <w:pStyle w:val="Default"/>
        <w:ind w:left="709"/>
        <w:jc w:val="both"/>
        <w:rPr>
          <w:sz w:val="22"/>
          <w:szCs w:val="22"/>
        </w:rPr>
      </w:pPr>
    </w:p>
    <w:p w14:paraId="28559197" w14:textId="14C699BD" w:rsidR="002B5BD4" w:rsidRPr="004C07C5" w:rsidRDefault="002B5BD4" w:rsidP="004C07C5">
      <w:pPr>
        <w:pStyle w:val="Default"/>
        <w:ind w:left="709"/>
        <w:jc w:val="both"/>
        <w:rPr>
          <w:sz w:val="22"/>
          <w:szCs w:val="22"/>
        </w:rPr>
      </w:pPr>
      <w:r w:rsidRPr="00C12A16">
        <w:rPr>
          <w:sz w:val="22"/>
          <w:szCs w:val="22"/>
        </w:rPr>
        <w:t xml:space="preserve">The CCG will refer to the Guidance on the Core Standards for Emergency Preparedness Resilience and Response; and the EPRR Annual Assurance Guidance distributed at the start of the assurance process by NHS England.  </w:t>
      </w:r>
    </w:p>
    <w:p w14:paraId="3EC7C757" w14:textId="22049A3D" w:rsidR="001B1D3C" w:rsidRPr="004C07C5" w:rsidRDefault="00B11B6B" w:rsidP="004C07C5">
      <w:pPr>
        <w:pStyle w:val="Heading1"/>
        <w:rPr>
          <w:rFonts w:ascii="Arial" w:hAnsi="Arial" w:cs="Arial"/>
          <w:b/>
          <w:color w:val="000000"/>
          <w:sz w:val="24"/>
          <w:szCs w:val="24"/>
        </w:rPr>
      </w:pPr>
      <w:bookmarkStart w:id="17" w:name="_Toc70604988"/>
      <w:r w:rsidRPr="00C12A16">
        <w:rPr>
          <w:rFonts w:ascii="Arial" w:hAnsi="Arial" w:cs="Arial"/>
          <w:b/>
          <w:color w:val="000000"/>
          <w:sz w:val="24"/>
          <w:szCs w:val="24"/>
        </w:rPr>
        <w:t>10.0</w:t>
      </w:r>
      <w:r w:rsidRPr="00C12A16">
        <w:rPr>
          <w:rFonts w:ascii="Arial" w:hAnsi="Arial" w:cs="Arial"/>
          <w:b/>
          <w:color w:val="000000"/>
          <w:sz w:val="24"/>
          <w:szCs w:val="24"/>
        </w:rPr>
        <w:tab/>
      </w:r>
      <w:r w:rsidR="002B5BD4" w:rsidRPr="00C12A16">
        <w:rPr>
          <w:rStyle w:val="Heading1Char"/>
          <w:rFonts w:ascii="Arial" w:hAnsi="Arial" w:cs="Arial"/>
          <w:b/>
          <w:color w:val="000000"/>
          <w:sz w:val="24"/>
          <w:szCs w:val="24"/>
        </w:rPr>
        <w:t>CCG POLICY AND PLANS</w:t>
      </w:r>
      <w:bookmarkEnd w:id="17"/>
    </w:p>
    <w:p w14:paraId="34CB3BAB" w14:textId="77777777" w:rsidR="004C07C5" w:rsidRDefault="004C07C5" w:rsidP="001B1D3C">
      <w:pPr>
        <w:pStyle w:val="Default"/>
        <w:ind w:left="709"/>
        <w:jc w:val="both"/>
        <w:rPr>
          <w:rStyle w:val="SubtleEmphasis"/>
          <w:i w:val="0"/>
          <w:iCs w:val="0"/>
          <w:color w:val="auto"/>
        </w:rPr>
      </w:pPr>
      <w:bookmarkStart w:id="18" w:name="_Toc522610920"/>
      <w:bookmarkStart w:id="19" w:name="_Toc523405101"/>
    </w:p>
    <w:p w14:paraId="11372B27" w14:textId="259DE0F1" w:rsidR="001B1D3C" w:rsidRPr="004E72C3" w:rsidRDefault="001B1D3C" w:rsidP="001B1D3C">
      <w:pPr>
        <w:pStyle w:val="Default"/>
        <w:ind w:left="709"/>
        <w:jc w:val="both"/>
        <w:rPr>
          <w:rStyle w:val="SubtleEmphasis"/>
          <w:i w:val="0"/>
          <w:iCs w:val="0"/>
          <w:color w:val="auto"/>
        </w:rPr>
      </w:pPr>
      <w:r w:rsidRPr="004E72C3">
        <w:rPr>
          <w:rStyle w:val="SubtleEmphasis"/>
          <w:i w:val="0"/>
          <w:iCs w:val="0"/>
          <w:color w:val="auto"/>
        </w:rPr>
        <w:t>10.1 Primary Care</w:t>
      </w:r>
      <w:bookmarkEnd w:id="18"/>
      <w:bookmarkEnd w:id="19"/>
      <w:r w:rsidRPr="004E72C3">
        <w:rPr>
          <w:rStyle w:val="SubtleEmphasis"/>
          <w:i w:val="0"/>
          <w:iCs w:val="0"/>
          <w:color w:val="auto"/>
        </w:rPr>
        <w:t xml:space="preserve"> </w:t>
      </w:r>
    </w:p>
    <w:p w14:paraId="0C7F22C8" w14:textId="77777777" w:rsidR="001B1D3C" w:rsidRPr="00C12A16" w:rsidRDefault="001B1D3C" w:rsidP="001B1D3C">
      <w:pPr>
        <w:pStyle w:val="Default"/>
        <w:ind w:left="709"/>
        <w:jc w:val="both"/>
        <w:rPr>
          <w:sz w:val="22"/>
          <w:szCs w:val="22"/>
        </w:rPr>
      </w:pPr>
    </w:p>
    <w:p w14:paraId="0465FB32" w14:textId="77777777" w:rsidR="001B1D3C" w:rsidRPr="00C12A16" w:rsidRDefault="001B1D3C" w:rsidP="001B1D3C">
      <w:pPr>
        <w:pStyle w:val="Default"/>
        <w:ind w:left="709"/>
        <w:jc w:val="both"/>
        <w:rPr>
          <w:sz w:val="22"/>
          <w:szCs w:val="22"/>
        </w:rPr>
      </w:pPr>
      <w:r w:rsidRPr="00C12A16">
        <w:rPr>
          <w:sz w:val="22"/>
          <w:szCs w:val="22"/>
        </w:rPr>
        <w:t xml:space="preserve">NHSE EPPR Policy considers planning for emergencies in the NHS but does not include Primary Care (albeit there are requirements on emergency preparedness within the NHS Standard Contract as above). Whilst this means Primary Care is not subject to the EPRR Assurance requirements there is clear expectation that CCGs will need to plan and interact with Primary Care.  Representatives from Primary Care are invited to attend the NEL EPARG defined below in section </w:t>
      </w:r>
      <w:r w:rsidR="00FA4AC7" w:rsidRPr="00C12A16">
        <w:rPr>
          <w:sz w:val="22"/>
          <w:szCs w:val="22"/>
        </w:rPr>
        <w:t xml:space="preserve">10.3. </w:t>
      </w:r>
    </w:p>
    <w:p w14:paraId="57626AE7" w14:textId="77777777" w:rsidR="001B1D3C" w:rsidRPr="00C12A16" w:rsidRDefault="001B1D3C" w:rsidP="001B1D3C">
      <w:pPr>
        <w:pStyle w:val="Default"/>
        <w:ind w:left="709"/>
        <w:jc w:val="both"/>
        <w:rPr>
          <w:sz w:val="22"/>
          <w:szCs w:val="22"/>
        </w:rPr>
      </w:pPr>
    </w:p>
    <w:p w14:paraId="75AC1388" w14:textId="77777777" w:rsidR="001B1D3C" w:rsidRPr="004E72C3" w:rsidRDefault="001B1D3C" w:rsidP="001B1D3C">
      <w:pPr>
        <w:pStyle w:val="Default"/>
        <w:ind w:left="709"/>
        <w:jc w:val="both"/>
        <w:rPr>
          <w:rStyle w:val="SubtleEmphasis"/>
          <w:i w:val="0"/>
          <w:iCs w:val="0"/>
          <w:color w:val="auto"/>
        </w:rPr>
      </w:pPr>
      <w:bookmarkStart w:id="20" w:name="_Toc522610921"/>
      <w:bookmarkStart w:id="21" w:name="_Toc523405102"/>
      <w:r w:rsidRPr="004E72C3">
        <w:rPr>
          <w:rStyle w:val="SubtleEmphasis"/>
          <w:i w:val="0"/>
          <w:iCs w:val="0"/>
          <w:color w:val="auto"/>
        </w:rPr>
        <w:t>10.2 LRF and LHRP Planning</w:t>
      </w:r>
      <w:bookmarkEnd w:id="20"/>
      <w:bookmarkEnd w:id="21"/>
    </w:p>
    <w:p w14:paraId="65762CA9" w14:textId="77777777" w:rsidR="001B1D3C" w:rsidRPr="00C12A16" w:rsidRDefault="001B1D3C" w:rsidP="001B1D3C">
      <w:pPr>
        <w:pStyle w:val="Default"/>
        <w:ind w:left="709"/>
        <w:jc w:val="both"/>
        <w:rPr>
          <w:i/>
          <w:iCs/>
          <w:sz w:val="22"/>
          <w:szCs w:val="22"/>
        </w:rPr>
      </w:pPr>
    </w:p>
    <w:p w14:paraId="019C2ABC" w14:textId="77777777" w:rsidR="005A6D26" w:rsidRPr="00C12A16" w:rsidRDefault="001B1D3C" w:rsidP="001B1D3C">
      <w:pPr>
        <w:pStyle w:val="Default"/>
        <w:ind w:left="709"/>
        <w:jc w:val="both"/>
        <w:rPr>
          <w:sz w:val="22"/>
          <w:szCs w:val="22"/>
        </w:rPr>
      </w:pPr>
      <w:r w:rsidRPr="00C12A16">
        <w:rPr>
          <w:sz w:val="22"/>
          <w:szCs w:val="22"/>
        </w:rPr>
        <w:t xml:space="preserve">The LRF multi-agency forum is attended by all CCA Category 1 responders but not CCGs, however it is essential that the CCG is aware of the LRF agenda and output </w:t>
      </w:r>
      <w:proofErr w:type="gramStart"/>
      <w:r w:rsidRPr="00C12A16">
        <w:rPr>
          <w:sz w:val="22"/>
          <w:szCs w:val="22"/>
        </w:rPr>
        <w:t>in order to</w:t>
      </w:r>
      <w:proofErr w:type="gramEnd"/>
      <w:r w:rsidRPr="00C12A16">
        <w:rPr>
          <w:sz w:val="22"/>
          <w:szCs w:val="22"/>
        </w:rPr>
        <w:t xml:space="preserve"> fulfil its obligations as a coordinator of local responses and conduit to NHSE</w:t>
      </w:r>
      <w:r w:rsidR="005A6D26" w:rsidRPr="00C12A16">
        <w:rPr>
          <w:sz w:val="22"/>
          <w:szCs w:val="22"/>
        </w:rPr>
        <w:t>.</w:t>
      </w:r>
    </w:p>
    <w:p w14:paraId="5F2031E1" w14:textId="77777777" w:rsidR="005A6D26" w:rsidRPr="00C12A16" w:rsidRDefault="005A6D26" w:rsidP="001B1D3C">
      <w:pPr>
        <w:pStyle w:val="Default"/>
        <w:ind w:left="709"/>
        <w:jc w:val="both"/>
        <w:rPr>
          <w:sz w:val="22"/>
          <w:szCs w:val="22"/>
        </w:rPr>
      </w:pPr>
    </w:p>
    <w:p w14:paraId="71267ECC" w14:textId="77777777" w:rsidR="001B1D3C" w:rsidRPr="00C12A16" w:rsidRDefault="001B1D3C" w:rsidP="001B1D3C">
      <w:pPr>
        <w:pStyle w:val="Default"/>
        <w:ind w:left="709"/>
        <w:jc w:val="both"/>
        <w:rPr>
          <w:sz w:val="22"/>
          <w:szCs w:val="22"/>
        </w:rPr>
      </w:pPr>
      <w:r w:rsidRPr="00C12A16">
        <w:rPr>
          <w:sz w:val="22"/>
          <w:szCs w:val="22"/>
        </w:rPr>
        <w:t xml:space="preserve">The CCG will attend LHRP as per the AEO responsibilities outlined above and participate in the planning of the regional health response. </w:t>
      </w:r>
    </w:p>
    <w:p w14:paraId="6CDB394A" w14:textId="73BCD8D9" w:rsidR="005A6D26" w:rsidRDefault="005A6D26" w:rsidP="001B1D3C">
      <w:pPr>
        <w:pStyle w:val="Default"/>
        <w:ind w:left="709"/>
        <w:jc w:val="both"/>
        <w:rPr>
          <w:sz w:val="22"/>
          <w:szCs w:val="22"/>
        </w:rPr>
      </w:pPr>
    </w:p>
    <w:p w14:paraId="2ED7F2D8" w14:textId="263B0318" w:rsidR="004C07C5" w:rsidRDefault="004C07C5" w:rsidP="001B1D3C">
      <w:pPr>
        <w:pStyle w:val="Default"/>
        <w:ind w:left="709"/>
        <w:jc w:val="both"/>
        <w:rPr>
          <w:sz w:val="22"/>
          <w:szCs w:val="22"/>
        </w:rPr>
      </w:pPr>
    </w:p>
    <w:p w14:paraId="40F26824" w14:textId="77777777" w:rsidR="004C07C5" w:rsidRPr="00C12A16" w:rsidRDefault="004C07C5" w:rsidP="001B1D3C">
      <w:pPr>
        <w:pStyle w:val="Default"/>
        <w:ind w:left="709"/>
        <w:jc w:val="both"/>
        <w:rPr>
          <w:sz w:val="22"/>
          <w:szCs w:val="22"/>
        </w:rPr>
      </w:pPr>
    </w:p>
    <w:p w14:paraId="3131BC5A" w14:textId="77777777" w:rsidR="001B1D3C" w:rsidRPr="004E72C3" w:rsidRDefault="005A6D26" w:rsidP="001B1D3C">
      <w:pPr>
        <w:pStyle w:val="Default"/>
        <w:ind w:left="709"/>
        <w:jc w:val="both"/>
        <w:rPr>
          <w:rStyle w:val="SubtleEmphasis"/>
          <w:i w:val="0"/>
          <w:iCs w:val="0"/>
          <w:color w:val="auto"/>
        </w:rPr>
      </w:pPr>
      <w:bookmarkStart w:id="22" w:name="_Toc522610922"/>
      <w:bookmarkStart w:id="23" w:name="_Toc523405103"/>
      <w:r w:rsidRPr="004E72C3">
        <w:rPr>
          <w:rStyle w:val="SubtleEmphasis"/>
          <w:i w:val="0"/>
          <w:iCs w:val="0"/>
          <w:color w:val="auto"/>
        </w:rPr>
        <w:lastRenderedPageBreak/>
        <w:t xml:space="preserve">10.3 </w:t>
      </w:r>
      <w:r w:rsidR="001B1D3C" w:rsidRPr="004E72C3">
        <w:rPr>
          <w:rStyle w:val="SubtleEmphasis"/>
          <w:i w:val="0"/>
          <w:iCs w:val="0"/>
          <w:color w:val="auto"/>
        </w:rPr>
        <w:t>North East Lincolnshire Emergency Planning and Response Group (EPARG)</w:t>
      </w:r>
      <w:bookmarkEnd w:id="22"/>
      <w:bookmarkEnd w:id="23"/>
    </w:p>
    <w:p w14:paraId="5C1394E5" w14:textId="77777777" w:rsidR="005A6D26" w:rsidRPr="005A6D26" w:rsidRDefault="005A6D26" w:rsidP="001B1D3C">
      <w:pPr>
        <w:pStyle w:val="Default"/>
        <w:ind w:left="709"/>
        <w:jc w:val="both"/>
        <w:rPr>
          <w:rStyle w:val="SubtleEmphasis"/>
        </w:rPr>
      </w:pPr>
    </w:p>
    <w:p w14:paraId="76440AFA" w14:textId="46F3C232" w:rsidR="001B1D3C" w:rsidRPr="00C12A16" w:rsidRDefault="001B1D3C" w:rsidP="001B1D3C">
      <w:pPr>
        <w:pStyle w:val="Default"/>
        <w:ind w:left="709"/>
        <w:jc w:val="both"/>
        <w:rPr>
          <w:sz w:val="22"/>
          <w:szCs w:val="22"/>
        </w:rPr>
      </w:pPr>
      <w:r w:rsidRPr="00C12A16">
        <w:rPr>
          <w:sz w:val="22"/>
          <w:szCs w:val="22"/>
        </w:rPr>
        <w:t xml:space="preserve">The roles and responsibilities of CCGs are </w:t>
      </w:r>
      <w:r w:rsidR="004C07C5" w:rsidRPr="00C12A16">
        <w:rPr>
          <w:sz w:val="22"/>
          <w:szCs w:val="22"/>
        </w:rPr>
        <w:t>clear,</w:t>
      </w:r>
      <w:r w:rsidRPr="00C12A16">
        <w:rPr>
          <w:sz w:val="22"/>
          <w:szCs w:val="22"/>
        </w:rPr>
        <w:t xml:space="preserve"> and a rolling programme of work is required to ensure that the CCGs can meet these obligations, both in terms of coordination and support to NHSE and the local health and care economy but also to ensure the preparedness of local partners.</w:t>
      </w:r>
    </w:p>
    <w:p w14:paraId="2B660757" w14:textId="77777777" w:rsidR="005A6D26" w:rsidRPr="00C12A16" w:rsidRDefault="005A6D26" w:rsidP="001B1D3C">
      <w:pPr>
        <w:pStyle w:val="Default"/>
        <w:ind w:left="709"/>
        <w:jc w:val="both"/>
        <w:rPr>
          <w:sz w:val="22"/>
          <w:szCs w:val="22"/>
        </w:rPr>
      </w:pPr>
    </w:p>
    <w:p w14:paraId="04346B74" w14:textId="106DC232" w:rsidR="001B1D3C" w:rsidRPr="00C12A16" w:rsidRDefault="001B1D3C" w:rsidP="001B1D3C">
      <w:pPr>
        <w:pStyle w:val="Default"/>
        <w:ind w:left="709"/>
        <w:jc w:val="both"/>
        <w:rPr>
          <w:sz w:val="22"/>
          <w:szCs w:val="22"/>
        </w:rPr>
      </w:pPr>
      <w:proofErr w:type="gramStart"/>
      <w:r w:rsidRPr="00C12A16">
        <w:rPr>
          <w:sz w:val="22"/>
          <w:szCs w:val="22"/>
        </w:rPr>
        <w:t>In order to</w:t>
      </w:r>
      <w:proofErr w:type="gramEnd"/>
      <w:r w:rsidRPr="00C12A16">
        <w:rPr>
          <w:sz w:val="22"/>
          <w:szCs w:val="22"/>
        </w:rPr>
        <w:t xml:space="preserve"> enact preparedness for incidents/emergencies that might impact on commissioned health and care services, the CCG shall establish, lead and develop a working group of relevant bodies. This Emergency Planning and Response Group (EPARG) will consider the following:</w:t>
      </w:r>
    </w:p>
    <w:p w14:paraId="6A0AE242" w14:textId="77777777" w:rsidR="005A6D26" w:rsidRPr="00C12A16" w:rsidRDefault="005A6D26" w:rsidP="001B1D3C">
      <w:pPr>
        <w:pStyle w:val="Default"/>
        <w:ind w:left="709"/>
        <w:jc w:val="both"/>
        <w:rPr>
          <w:sz w:val="22"/>
          <w:szCs w:val="22"/>
        </w:rPr>
      </w:pPr>
    </w:p>
    <w:p w14:paraId="3E96E2C1" w14:textId="77777777" w:rsidR="001B1D3C" w:rsidRPr="00C12A16" w:rsidRDefault="001B1D3C" w:rsidP="005A6D26">
      <w:pPr>
        <w:pStyle w:val="Default"/>
        <w:numPr>
          <w:ilvl w:val="0"/>
          <w:numId w:val="22"/>
        </w:numPr>
        <w:jc w:val="both"/>
        <w:rPr>
          <w:sz w:val="22"/>
          <w:szCs w:val="22"/>
        </w:rPr>
      </w:pPr>
      <w:r w:rsidRPr="00C12A16">
        <w:rPr>
          <w:sz w:val="22"/>
          <w:szCs w:val="22"/>
        </w:rPr>
        <w:t>Incident Coordination</w:t>
      </w:r>
    </w:p>
    <w:p w14:paraId="3D85EBB7" w14:textId="77777777" w:rsidR="001B1D3C" w:rsidRPr="00C12A16" w:rsidRDefault="001B1D3C" w:rsidP="005A6D26">
      <w:pPr>
        <w:pStyle w:val="Default"/>
        <w:numPr>
          <w:ilvl w:val="0"/>
          <w:numId w:val="22"/>
        </w:numPr>
        <w:jc w:val="both"/>
        <w:rPr>
          <w:sz w:val="22"/>
          <w:szCs w:val="22"/>
        </w:rPr>
      </w:pPr>
      <w:r w:rsidRPr="00C12A16">
        <w:rPr>
          <w:sz w:val="22"/>
          <w:szCs w:val="22"/>
        </w:rPr>
        <w:t>Review of Risks</w:t>
      </w:r>
    </w:p>
    <w:p w14:paraId="55B0B102" w14:textId="77777777" w:rsidR="005A6D26" w:rsidRPr="00C12A16" w:rsidRDefault="001B1D3C" w:rsidP="005A6D26">
      <w:pPr>
        <w:pStyle w:val="Default"/>
        <w:numPr>
          <w:ilvl w:val="0"/>
          <w:numId w:val="22"/>
        </w:numPr>
        <w:jc w:val="both"/>
        <w:rPr>
          <w:sz w:val="22"/>
          <w:szCs w:val="22"/>
        </w:rPr>
      </w:pPr>
      <w:r w:rsidRPr="00C12A16">
        <w:rPr>
          <w:sz w:val="22"/>
          <w:szCs w:val="22"/>
        </w:rPr>
        <w:t>Review and development of specific local plans</w:t>
      </w:r>
    </w:p>
    <w:p w14:paraId="76837848" w14:textId="77777777" w:rsidR="001B1D3C" w:rsidRPr="00C12A16" w:rsidRDefault="001B1D3C" w:rsidP="005A6D26">
      <w:pPr>
        <w:pStyle w:val="Default"/>
        <w:numPr>
          <w:ilvl w:val="0"/>
          <w:numId w:val="22"/>
        </w:numPr>
        <w:jc w:val="both"/>
        <w:rPr>
          <w:sz w:val="22"/>
          <w:szCs w:val="22"/>
        </w:rPr>
      </w:pPr>
      <w:r w:rsidRPr="00C12A16">
        <w:rPr>
          <w:sz w:val="22"/>
          <w:szCs w:val="22"/>
        </w:rPr>
        <w:t>Exercises and training sessions that test coordination and plans</w:t>
      </w:r>
    </w:p>
    <w:p w14:paraId="2CAA6B34" w14:textId="5DBFBD52" w:rsidR="001B1D3C" w:rsidRPr="00C12A16" w:rsidRDefault="001B1D3C" w:rsidP="005A6D26">
      <w:pPr>
        <w:pStyle w:val="Default"/>
        <w:numPr>
          <w:ilvl w:val="0"/>
          <w:numId w:val="22"/>
        </w:numPr>
        <w:jc w:val="both"/>
        <w:rPr>
          <w:sz w:val="22"/>
          <w:szCs w:val="22"/>
        </w:rPr>
      </w:pPr>
      <w:r w:rsidRPr="00C12A16">
        <w:rPr>
          <w:sz w:val="22"/>
          <w:szCs w:val="22"/>
        </w:rPr>
        <w:t>Review of actual incidents/lesson</w:t>
      </w:r>
      <w:r w:rsidR="004C07C5">
        <w:rPr>
          <w:sz w:val="22"/>
          <w:szCs w:val="22"/>
        </w:rPr>
        <w:t>s</w:t>
      </w:r>
      <w:r w:rsidRPr="00C12A16">
        <w:rPr>
          <w:sz w:val="22"/>
          <w:szCs w:val="22"/>
        </w:rPr>
        <w:t xml:space="preserve"> </w:t>
      </w:r>
      <w:proofErr w:type="gramStart"/>
      <w:r w:rsidRPr="00C12A16">
        <w:rPr>
          <w:sz w:val="22"/>
          <w:szCs w:val="22"/>
        </w:rPr>
        <w:t>learned</w:t>
      </w:r>
      <w:proofErr w:type="gramEnd"/>
    </w:p>
    <w:p w14:paraId="20DF65E9" w14:textId="77777777" w:rsidR="005A6D26" w:rsidRPr="00C12A16" w:rsidRDefault="005A6D26" w:rsidP="005A6D26">
      <w:pPr>
        <w:pStyle w:val="Default"/>
        <w:ind w:left="1429"/>
        <w:jc w:val="both"/>
        <w:rPr>
          <w:sz w:val="22"/>
          <w:szCs w:val="22"/>
        </w:rPr>
      </w:pPr>
    </w:p>
    <w:p w14:paraId="35556214" w14:textId="77777777" w:rsidR="001B1D3C" w:rsidRPr="00C12A16" w:rsidRDefault="001B1D3C" w:rsidP="001B1D3C">
      <w:pPr>
        <w:pStyle w:val="Default"/>
        <w:ind w:left="709"/>
        <w:jc w:val="both"/>
        <w:rPr>
          <w:sz w:val="22"/>
          <w:szCs w:val="22"/>
        </w:rPr>
      </w:pPr>
      <w:r w:rsidRPr="00C12A16">
        <w:rPr>
          <w:sz w:val="22"/>
          <w:szCs w:val="22"/>
        </w:rPr>
        <w:t xml:space="preserve">The group will set objectives every year on what the local health economy wishes to achieve in terms of emergency planning. </w:t>
      </w:r>
    </w:p>
    <w:p w14:paraId="27A06937" w14:textId="77777777" w:rsidR="005A6D26" w:rsidRPr="00C12A16" w:rsidRDefault="005A6D26" w:rsidP="001B1D3C">
      <w:pPr>
        <w:pStyle w:val="Default"/>
        <w:ind w:left="709"/>
        <w:jc w:val="both"/>
        <w:rPr>
          <w:sz w:val="22"/>
          <w:szCs w:val="22"/>
        </w:rPr>
      </w:pPr>
    </w:p>
    <w:p w14:paraId="4FF1358D" w14:textId="77777777" w:rsidR="001B1D3C" w:rsidRPr="00C12A16" w:rsidRDefault="001B1D3C" w:rsidP="001B1D3C">
      <w:pPr>
        <w:pStyle w:val="Default"/>
        <w:ind w:left="709"/>
        <w:jc w:val="both"/>
        <w:rPr>
          <w:sz w:val="22"/>
          <w:szCs w:val="22"/>
        </w:rPr>
      </w:pPr>
      <w:r w:rsidRPr="00C12A16">
        <w:rPr>
          <w:sz w:val="22"/>
          <w:szCs w:val="22"/>
        </w:rPr>
        <w:t xml:space="preserve">As per the above purposes, each EPARG meeting will have a purpose to promote a continuous cycle of EPRR work throughout the year which ought to facilitate the meeting of the EPRR Core Standards/NHS Standard Contract. Please note, the main purpose for each group will feature as part of the wider agenda which will be developed as the year progresses and each group will see presentations/discussions outside of the main purpose. </w:t>
      </w:r>
    </w:p>
    <w:p w14:paraId="73A04281" w14:textId="77777777" w:rsidR="005A6D26" w:rsidRPr="00C12A16" w:rsidRDefault="005A6D26" w:rsidP="001B1D3C">
      <w:pPr>
        <w:pStyle w:val="Default"/>
        <w:ind w:left="709"/>
        <w:jc w:val="both"/>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081"/>
        <w:gridCol w:w="4857"/>
      </w:tblGrid>
      <w:tr w:rsidR="001B1D3C" w:rsidRPr="00C12A16" w14:paraId="4258217E" w14:textId="77777777" w:rsidTr="00C12A16">
        <w:tc>
          <w:tcPr>
            <w:tcW w:w="2093" w:type="dxa"/>
            <w:shd w:val="clear" w:color="auto" w:fill="auto"/>
          </w:tcPr>
          <w:p w14:paraId="6624385C" w14:textId="77777777" w:rsidR="001B1D3C" w:rsidRPr="00C12A16" w:rsidRDefault="001B1D3C" w:rsidP="00C12A16">
            <w:pPr>
              <w:pStyle w:val="Default"/>
              <w:ind w:left="709"/>
              <w:jc w:val="both"/>
              <w:rPr>
                <w:sz w:val="22"/>
                <w:szCs w:val="22"/>
              </w:rPr>
            </w:pPr>
            <w:r w:rsidRPr="00C12A16">
              <w:rPr>
                <w:sz w:val="22"/>
                <w:szCs w:val="22"/>
              </w:rPr>
              <w:t xml:space="preserve">EPARG </w:t>
            </w:r>
          </w:p>
        </w:tc>
        <w:tc>
          <w:tcPr>
            <w:tcW w:w="3081" w:type="dxa"/>
            <w:shd w:val="clear" w:color="auto" w:fill="auto"/>
          </w:tcPr>
          <w:p w14:paraId="16931809" w14:textId="77777777" w:rsidR="001B1D3C" w:rsidRPr="00C12A16" w:rsidRDefault="001B1D3C" w:rsidP="00C12A16">
            <w:pPr>
              <w:pStyle w:val="Default"/>
              <w:ind w:left="709"/>
              <w:jc w:val="both"/>
              <w:rPr>
                <w:sz w:val="22"/>
                <w:szCs w:val="22"/>
              </w:rPr>
            </w:pPr>
            <w:r w:rsidRPr="00C12A16">
              <w:rPr>
                <w:sz w:val="22"/>
                <w:szCs w:val="22"/>
              </w:rPr>
              <w:t>To be held</w:t>
            </w:r>
          </w:p>
        </w:tc>
        <w:tc>
          <w:tcPr>
            <w:tcW w:w="4857" w:type="dxa"/>
            <w:shd w:val="clear" w:color="auto" w:fill="auto"/>
          </w:tcPr>
          <w:p w14:paraId="240DD95A" w14:textId="77777777" w:rsidR="001B1D3C" w:rsidRPr="00C12A16" w:rsidRDefault="001B1D3C" w:rsidP="00C12A16">
            <w:pPr>
              <w:pStyle w:val="Default"/>
              <w:ind w:left="709"/>
              <w:jc w:val="both"/>
              <w:rPr>
                <w:sz w:val="22"/>
                <w:szCs w:val="22"/>
              </w:rPr>
            </w:pPr>
            <w:r w:rsidRPr="00C12A16">
              <w:rPr>
                <w:sz w:val="22"/>
                <w:szCs w:val="22"/>
              </w:rPr>
              <w:t>Main Purpose</w:t>
            </w:r>
          </w:p>
        </w:tc>
      </w:tr>
      <w:tr w:rsidR="001B1D3C" w:rsidRPr="00C12A16" w14:paraId="727F235A" w14:textId="77777777" w:rsidTr="00C12A16">
        <w:tc>
          <w:tcPr>
            <w:tcW w:w="2093" w:type="dxa"/>
            <w:shd w:val="clear" w:color="auto" w:fill="auto"/>
          </w:tcPr>
          <w:p w14:paraId="4A09C9C5" w14:textId="77777777" w:rsidR="001B1D3C" w:rsidRPr="00C12A16" w:rsidRDefault="001B1D3C" w:rsidP="00C12A16">
            <w:pPr>
              <w:pStyle w:val="Default"/>
              <w:ind w:left="709"/>
              <w:jc w:val="both"/>
              <w:rPr>
                <w:sz w:val="22"/>
                <w:szCs w:val="22"/>
              </w:rPr>
            </w:pPr>
            <w:r w:rsidRPr="00C12A16">
              <w:rPr>
                <w:sz w:val="22"/>
                <w:szCs w:val="22"/>
              </w:rPr>
              <w:t>Quarter 1</w:t>
            </w:r>
          </w:p>
        </w:tc>
        <w:tc>
          <w:tcPr>
            <w:tcW w:w="3081" w:type="dxa"/>
            <w:shd w:val="clear" w:color="auto" w:fill="auto"/>
          </w:tcPr>
          <w:p w14:paraId="748E7317" w14:textId="77777777" w:rsidR="001B1D3C" w:rsidRPr="00C12A16" w:rsidRDefault="001B1D3C" w:rsidP="00C12A16">
            <w:pPr>
              <w:pStyle w:val="Default"/>
              <w:ind w:left="709"/>
              <w:jc w:val="both"/>
              <w:rPr>
                <w:sz w:val="22"/>
                <w:szCs w:val="22"/>
              </w:rPr>
            </w:pPr>
            <w:r w:rsidRPr="00C12A16">
              <w:rPr>
                <w:sz w:val="22"/>
                <w:szCs w:val="22"/>
              </w:rPr>
              <w:t>June/July</w:t>
            </w:r>
          </w:p>
        </w:tc>
        <w:tc>
          <w:tcPr>
            <w:tcW w:w="4857" w:type="dxa"/>
            <w:shd w:val="clear" w:color="auto" w:fill="auto"/>
          </w:tcPr>
          <w:p w14:paraId="17E2221C" w14:textId="77777777" w:rsidR="001B1D3C" w:rsidRPr="00C12A16" w:rsidRDefault="001B1D3C" w:rsidP="00C12A16">
            <w:pPr>
              <w:pStyle w:val="Default"/>
              <w:ind w:left="709"/>
              <w:jc w:val="both"/>
              <w:rPr>
                <w:sz w:val="22"/>
                <w:szCs w:val="22"/>
              </w:rPr>
            </w:pPr>
            <w:r w:rsidRPr="00C12A16">
              <w:rPr>
                <w:sz w:val="22"/>
                <w:szCs w:val="22"/>
              </w:rPr>
              <w:t>To review the local risk register</w:t>
            </w:r>
          </w:p>
          <w:p w14:paraId="59433D40" w14:textId="77777777" w:rsidR="001B1D3C" w:rsidRPr="00C12A16" w:rsidRDefault="001B1D3C" w:rsidP="00C12A16">
            <w:pPr>
              <w:pStyle w:val="Default"/>
              <w:ind w:left="709"/>
              <w:jc w:val="both"/>
              <w:rPr>
                <w:sz w:val="22"/>
                <w:szCs w:val="22"/>
              </w:rPr>
            </w:pPr>
            <w:r w:rsidRPr="00C12A16">
              <w:rPr>
                <w:sz w:val="22"/>
                <w:szCs w:val="22"/>
              </w:rPr>
              <w:t xml:space="preserve">To set objectives for the year </w:t>
            </w:r>
          </w:p>
          <w:p w14:paraId="0391991E" w14:textId="77777777" w:rsidR="001B1D3C" w:rsidRPr="00C12A16" w:rsidRDefault="001B1D3C" w:rsidP="00C12A16">
            <w:pPr>
              <w:pStyle w:val="Default"/>
              <w:ind w:left="709"/>
              <w:jc w:val="both"/>
              <w:rPr>
                <w:sz w:val="22"/>
                <w:szCs w:val="22"/>
              </w:rPr>
            </w:pPr>
            <w:r w:rsidRPr="00C12A16">
              <w:rPr>
                <w:sz w:val="22"/>
                <w:szCs w:val="22"/>
              </w:rPr>
              <w:t>Any other relevant presentations/discussions</w:t>
            </w:r>
          </w:p>
          <w:p w14:paraId="03ABD7B6" w14:textId="77777777" w:rsidR="001B1D3C" w:rsidRPr="00C12A16" w:rsidRDefault="001B1D3C" w:rsidP="00C12A16">
            <w:pPr>
              <w:pStyle w:val="Default"/>
              <w:ind w:left="709"/>
              <w:jc w:val="both"/>
              <w:rPr>
                <w:sz w:val="22"/>
                <w:szCs w:val="22"/>
              </w:rPr>
            </w:pPr>
            <w:r w:rsidRPr="00C12A16">
              <w:rPr>
                <w:sz w:val="22"/>
                <w:szCs w:val="22"/>
              </w:rPr>
              <w:t xml:space="preserve">To review the </w:t>
            </w:r>
            <w:proofErr w:type="spellStart"/>
            <w:r w:rsidRPr="00C12A16">
              <w:rPr>
                <w:sz w:val="22"/>
                <w:szCs w:val="22"/>
              </w:rPr>
              <w:t>ToR</w:t>
            </w:r>
            <w:proofErr w:type="spellEnd"/>
            <w:r w:rsidRPr="00C12A16">
              <w:rPr>
                <w:sz w:val="22"/>
                <w:szCs w:val="22"/>
              </w:rPr>
              <w:t xml:space="preserve"> if needed (June bi-annually). Next review due 30th June 2019</w:t>
            </w:r>
          </w:p>
        </w:tc>
      </w:tr>
      <w:tr w:rsidR="001B1D3C" w:rsidRPr="00C12A16" w14:paraId="016F7293" w14:textId="77777777" w:rsidTr="00C12A16">
        <w:tc>
          <w:tcPr>
            <w:tcW w:w="2093" w:type="dxa"/>
            <w:shd w:val="clear" w:color="auto" w:fill="auto"/>
          </w:tcPr>
          <w:p w14:paraId="127C236B" w14:textId="77777777" w:rsidR="001B1D3C" w:rsidRPr="00C12A16" w:rsidRDefault="001B1D3C" w:rsidP="00C12A16">
            <w:pPr>
              <w:pStyle w:val="Default"/>
              <w:ind w:left="709"/>
              <w:jc w:val="both"/>
              <w:rPr>
                <w:sz w:val="22"/>
                <w:szCs w:val="22"/>
              </w:rPr>
            </w:pPr>
            <w:r w:rsidRPr="00C12A16">
              <w:rPr>
                <w:sz w:val="22"/>
                <w:szCs w:val="22"/>
              </w:rPr>
              <w:t>Quarter 2</w:t>
            </w:r>
          </w:p>
        </w:tc>
        <w:tc>
          <w:tcPr>
            <w:tcW w:w="3081" w:type="dxa"/>
            <w:shd w:val="clear" w:color="auto" w:fill="auto"/>
          </w:tcPr>
          <w:p w14:paraId="3F676CC1" w14:textId="77777777" w:rsidR="001B1D3C" w:rsidRPr="00C12A16" w:rsidRDefault="001B1D3C" w:rsidP="00C12A16">
            <w:pPr>
              <w:pStyle w:val="Default"/>
              <w:ind w:left="709"/>
              <w:jc w:val="both"/>
              <w:rPr>
                <w:sz w:val="22"/>
                <w:szCs w:val="22"/>
              </w:rPr>
            </w:pPr>
            <w:r w:rsidRPr="00C12A16">
              <w:rPr>
                <w:sz w:val="22"/>
                <w:szCs w:val="22"/>
              </w:rPr>
              <w:t>September/October</w:t>
            </w:r>
          </w:p>
        </w:tc>
        <w:tc>
          <w:tcPr>
            <w:tcW w:w="4857" w:type="dxa"/>
            <w:shd w:val="clear" w:color="auto" w:fill="auto"/>
          </w:tcPr>
          <w:p w14:paraId="7DC3FA62" w14:textId="77777777" w:rsidR="001B1D3C" w:rsidRPr="00C12A16" w:rsidRDefault="001B1D3C" w:rsidP="00C12A16">
            <w:pPr>
              <w:pStyle w:val="Default"/>
              <w:ind w:left="709"/>
              <w:jc w:val="both"/>
              <w:rPr>
                <w:sz w:val="22"/>
                <w:szCs w:val="22"/>
              </w:rPr>
            </w:pPr>
            <w:r w:rsidRPr="00C12A16">
              <w:rPr>
                <w:sz w:val="22"/>
                <w:szCs w:val="22"/>
              </w:rPr>
              <w:t>To complete a training needs assessment across EPARG for the financial year (training needs assessment to be circulated prior to the meeting and finalised at the meeting)</w:t>
            </w:r>
          </w:p>
          <w:p w14:paraId="62696C5F" w14:textId="77777777" w:rsidR="001B1D3C" w:rsidRPr="00C12A16" w:rsidRDefault="001B1D3C" w:rsidP="00C12A16">
            <w:pPr>
              <w:pStyle w:val="Default"/>
              <w:ind w:left="709"/>
              <w:jc w:val="both"/>
              <w:rPr>
                <w:sz w:val="22"/>
                <w:szCs w:val="22"/>
              </w:rPr>
            </w:pPr>
            <w:r w:rsidRPr="00C12A16">
              <w:rPr>
                <w:sz w:val="22"/>
                <w:szCs w:val="22"/>
              </w:rPr>
              <w:t xml:space="preserve">To discuss any mutual assistance that can be provided in meeting the EPRR Core Standards for the year. </w:t>
            </w:r>
          </w:p>
        </w:tc>
      </w:tr>
      <w:tr w:rsidR="001B1D3C" w:rsidRPr="00C12A16" w14:paraId="227BBCFE" w14:textId="77777777" w:rsidTr="00C12A16">
        <w:tc>
          <w:tcPr>
            <w:tcW w:w="2093" w:type="dxa"/>
            <w:shd w:val="clear" w:color="auto" w:fill="auto"/>
          </w:tcPr>
          <w:p w14:paraId="2B8B20C2" w14:textId="77777777" w:rsidR="001B1D3C" w:rsidRPr="00C12A16" w:rsidRDefault="001B1D3C" w:rsidP="00C12A16">
            <w:pPr>
              <w:pStyle w:val="Default"/>
              <w:ind w:left="709"/>
              <w:jc w:val="both"/>
              <w:rPr>
                <w:sz w:val="22"/>
                <w:szCs w:val="22"/>
              </w:rPr>
            </w:pPr>
            <w:r w:rsidRPr="00C12A16">
              <w:rPr>
                <w:sz w:val="22"/>
                <w:szCs w:val="22"/>
              </w:rPr>
              <w:t xml:space="preserve">Quarter 3 </w:t>
            </w:r>
          </w:p>
        </w:tc>
        <w:tc>
          <w:tcPr>
            <w:tcW w:w="3081" w:type="dxa"/>
            <w:shd w:val="clear" w:color="auto" w:fill="auto"/>
          </w:tcPr>
          <w:p w14:paraId="13748487" w14:textId="77777777" w:rsidR="001B1D3C" w:rsidRPr="00C12A16" w:rsidRDefault="001B1D3C" w:rsidP="00C12A16">
            <w:pPr>
              <w:pStyle w:val="Default"/>
              <w:ind w:left="709"/>
              <w:jc w:val="both"/>
              <w:rPr>
                <w:sz w:val="22"/>
                <w:szCs w:val="22"/>
              </w:rPr>
            </w:pPr>
            <w:r w:rsidRPr="00C12A16">
              <w:rPr>
                <w:sz w:val="22"/>
                <w:szCs w:val="22"/>
              </w:rPr>
              <w:t>December/January</w:t>
            </w:r>
          </w:p>
        </w:tc>
        <w:tc>
          <w:tcPr>
            <w:tcW w:w="4857" w:type="dxa"/>
            <w:shd w:val="clear" w:color="auto" w:fill="auto"/>
          </w:tcPr>
          <w:p w14:paraId="780CEA0C" w14:textId="77777777" w:rsidR="001B1D3C" w:rsidRPr="00C12A16" w:rsidRDefault="001B1D3C" w:rsidP="00C12A16">
            <w:pPr>
              <w:pStyle w:val="Default"/>
              <w:ind w:left="709"/>
              <w:jc w:val="both"/>
              <w:rPr>
                <w:sz w:val="22"/>
                <w:szCs w:val="22"/>
              </w:rPr>
            </w:pPr>
            <w:r w:rsidRPr="00C12A16">
              <w:rPr>
                <w:sz w:val="22"/>
                <w:szCs w:val="22"/>
              </w:rPr>
              <w:t>Exercise or training session</w:t>
            </w:r>
          </w:p>
        </w:tc>
      </w:tr>
      <w:tr w:rsidR="001B1D3C" w:rsidRPr="00C12A16" w14:paraId="46B5DC8C" w14:textId="77777777" w:rsidTr="00C12A16">
        <w:tc>
          <w:tcPr>
            <w:tcW w:w="2093" w:type="dxa"/>
            <w:shd w:val="clear" w:color="auto" w:fill="auto"/>
          </w:tcPr>
          <w:p w14:paraId="000E2A6E" w14:textId="77777777" w:rsidR="001B1D3C" w:rsidRPr="00C12A16" w:rsidRDefault="001B1D3C" w:rsidP="00C12A16">
            <w:pPr>
              <w:pStyle w:val="Default"/>
              <w:ind w:left="709"/>
              <w:jc w:val="both"/>
              <w:rPr>
                <w:sz w:val="22"/>
                <w:szCs w:val="22"/>
              </w:rPr>
            </w:pPr>
            <w:r w:rsidRPr="00C12A16">
              <w:rPr>
                <w:sz w:val="22"/>
                <w:szCs w:val="22"/>
              </w:rPr>
              <w:t>Quarter 4</w:t>
            </w:r>
          </w:p>
        </w:tc>
        <w:tc>
          <w:tcPr>
            <w:tcW w:w="3081" w:type="dxa"/>
            <w:shd w:val="clear" w:color="auto" w:fill="auto"/>
          </w:tcPr>
          <w:p w14:paraId="3A7E5C62" w14:textId="77777777" w:rsidR="001B1D3C" w:rsidRPr="00C12A16" w:rsidRDefault="001B1D3C" w:rsidP="00C12A16">
            <w:pPr>
              <w:pStyle w:val="Default"/>
              <w:ind w:left="709"/>
              <w:jc w:val="both"/>
              <w:rPr>
                <w:sz w:val="22"/>
                <w:szCs w:val="22"/>
              </w:rPr>
            </w:pPr>
            <w:r w:rsidRPr="00C12A16">
              <w:rPr>
                <w:sz w:val="22"/>
                <w:szCs w:val="22"/>
              </w:rPr>
              <w:t>March/April</w:t>
            </w:r>
          </w:p>
        </w:tc>
        <w:tc>
          <w:tcPr>
            <w:tcW w:w="4857" w:type="dxa"/>
            <w:shd w:val="clear" w:color="auto" w:fill="auto"/>
          </w:tcPr>
          <w:p w14:paraId="1CAAEBB4" w14:textId="77777777" w:rsidR="001B1D3C" w:rsidRPr="00C12A16" w:rsidRDefault="001B1D3C" w:rsidP="00C12A16">
            <w:pPr>
              <w:pStyle w:val="Default"/>
              <w:ind w:left="709"/>
              <w:jc w:val="both"/>
              <w:rPr>
                <w:sz w:val="22"/>
                <w:szCs w:val="22"/>
              </w:rPr>
            </w:pPr>
            <w:r w:rsidRPr="00C12A16">
              <w:rPr>
                <w:sz w:val="22"/>
                <w:szCs w:val="22"/>
              </w:rPr>
              <w:t>Exercise or training session</w:t>
            </w:r>
          </w:p>
          <w:p w14:paraId="6421202C" w14:textId="77777777" w:rsidR="001B1D3C" w:rsidRPr="00C12A16" w:rsidRDefault="001B1D3C" w:rsidP="00C12A16">
            <w:pPr>
              <w:pStyle w:val="Default"/>
              <w:ind w:left="709"/>
              <w:jc w:val="both"/>
              <w:rPr>
                <w:sz w:val="22"/>
                <w:szCs w:val="22"/>
              </w:rPr>
            </w:pPr>
            <w:r w:rsidRPr="00C12A16">
              <w:rPr>
                <w:sz w:val="22"/>
                <w:szCs w:val="22"/>
              </w:rPr>
              <w:t xml:space="preserve">Final review of objectives and whether these have been met. </w:t>
            </w:r>
          </w:p>
          <w:p w14:paraId="65DC1245" w14:textId="77777777" w:rsidR="001B1D3C" w:rsidRPr="00C12A16" w:rsidRDefault="001B1D3C" w:rsidP="00C12A16">
            <w:pPr>
              <w:pStyle w:val="Default"/>
              <w:ind w:left="709"/>
              <w:jc w:val="both"/>
              <w:rPr>
                <w:sz w:val="22"/>
                <w:szCs w:val="22"/>
              </w:rPr>
            </w:pPr>
            <w:r w:rsidRPr="00C12A16">
              <w:rPr>
                <w:sz w:val="22"/>
                <w:szCs w:val="22"/>
              </w:rPr>
              <w:t>To assess efficiency of the group against the group’s Terms of Reference</w:t>
            </w:r>
          </w:p>
        </w:tc>
      </w:tr>
    </w:tbl>
    <w:p w14:paraId="49DACDE3" w14:textId="77777777" w:rsidR="001B1D3C" w:rsidRPr="00C12A16" w:rsidRDefault="001B1D3C" w:rsidP="001B1D3C">
      <w:pPr>
        <w:pStyle w:val="Default"/>
        <w:ind w:left="709"/>
        <w:jc w:val="both"/>
        <w:rPr>
          <w:sz w:val="22"/>
          <w:szCs w:val="22"/>
        </w:rPr>
      </w:pPr>
    </w:p>
    <w:p w14:paraId="6A194DF0" w14:textId="77777777" w:rsidR="001B1D3C" w:rsidRPr="00C12A16" w:rsidRDefault="001B1D3C" w:rsidP="001B1D3C">
      <w:pPr>
        <w:pStyle w:val="Default"/>
        <w:ind w:left="709"/>
        <w:jc w:val="both"/>
        <w:rPr>
          <w:sz w:val="22"/>
          <w:szCs w:val="22"/>
        </w:rPr>
      </w:pPr>
      <w:r w:rsidRPr="00C12A16">
        <w:rPr>
          <w:sz w:val="22"/>
          <w:szCs w:val="22"/>
        </w:rPr>
        <w:lastRenderedPageBreak/>
        <w:t xml:space="preserve">Actions from EPARG meetings will be captured in a database kept by the CCG, and updates requested monthly by the CCG to ensure that all actions are completed in a timely fashion. </w:t>
      </w:r>
    </w:p>
    <w:p w14:paraId="67CFCD2C" w14:textId="77777777" w:rsidR="005A6D26" w:rsidRPr="00C12A16" w:rsidRDefault="005A6D26" w:rsidP="001B1D3C">
      <w:pPr>
        <w:pStyle w:val="Default"/>
        <w:ind w:left="709"/>
        <w:jc w:val="both"/>
        <w:rPr>
          <w:sz w:val="22"/>
          <w:szCs w:val="22"/>
        </w:rPr>
      </w:pPr>
    </w:p>
    <w:p w14:paraId="29FEFAC9" w14:textId="77777777" w:rsidR="001B1D3C" w:rsidRPr="004E72C3" w:rsidRDefault="005A6D26" w:rsidP="001B1D3C">
      <w:pPr>
        <w:pStyle w:val="Default"/>
        <w:ind w:left="709"/>
        <w:jc w:val="both"/>
        <w:rPr>
          <w:rStyle w:val="SubtleEmphasis"/>
          <w:i w:val="0"/>
          <w:iCs w:val="0"/>
          <w:color w:val="auto"/>
        </w:rPr>
      </w:pPr>
      <w:bookmarkStart w:id="24" w:name="_Toc523405104"/>
      <w:r w:rsidRPr="004E72C3">
        <w:rPr>
          <w:rStyle w:val="SubtleEmphasis"/>
          <w:i w:val="0"/>
          <w:iCs w:val="0"/>
          <w:color w:val="auto"/>
        </w:rPr>
        <w:t xml:space="preserve">10.4 </w:t>
      </w:r>
      <w:r w:rsidR="001B1D3C" w:rsidRPr="004E72C3">
        <w:rPr>
          <w:rStyle w:val="SubtleEmphasis"/>
          <w:i w:val="0"/>
          <w:iCs w:val="0"/>
          <w:color w:val="auto"/>
        </w:rPr>
        <w:t>Annual Work Programme</w:t>
      </w:r>
      <w:bookmarkEnd w:id="24"/>
    </w:p>
    <w:p w14:paraId="35E7B6C7" w14:textId="77777777" w:rsidR="001B1D3C" w:rsidRPr="00C12A16" w:rsidRDefault="001B1D3C" w:rsidP="001B1D3C">
      <w:pPr>
        <w:pStyle w:val="Default"/>
        <w:ind w:left="709"/>
        <w:jc w:val="both"/>
        <w:rPr>
          <w:sz w:val="22"/>
          <w:szCs w:val="22"/>
        </w:rPr>
      </w:pPr>
    </w:p>
    <w:p w14:paraId="155BCE42" w14:textId="77777777" w:rsidR="001B1D3C" w:rsidRPr="00C12A16" w:rsidRDefault="001B1D3C" w:rsidP="001B1D3C">
      <w:pPr>
        <w:pStyle w:val="Default"/>
        <w:ind w:left="709"/>
        <w:jc w:val="both"/>
        <w:rPr>
          <w:sz w:val="22"/>
          <w:szCs w:val="22"/>
        </w:rPr>
      </w:pPr>
      <w:r w:rsidRPr="00C12A16">
        <w:rPr>
          <w:sz w:val="22"/>
          <w:szCs w:val="22"/>
        </w:rPr>
        <w:t xml:space="preserve">The EPARG work programme and actions process outlined in section </w:t>
      </w:r>
      <w:r w:rsidR="00FA4AC7" w:rsidRPr="00C12A16">
        <w:rPr>
          <w:sz w:val="22"/>
          <w:szCs w:val="22"/>
        </w:rPr>
        <w:t>10.3</w:t>
      </w:r>
      <w:r w:rsidRPr="00C12A16">
        <w:rPr>
          <w:sz w:val="22"/>
          <w:szCs w:val="22"/>
        </w:rPr>
        <w:t xml:space="preserve"> above, along with the actions arising out of the annual EPRR Assurance process in section </w:t>
      </w:r>
      <w:r w:rsidR="00FA4AC7" w:rsidRPr="00C12A16">
        <w:rPr>
          <w:sz w:val="22"/>
          <w:szCs w:val="22"/>
        </w:rPr>
        <w:t>9</w:t>
      </w:r>
      <w:r w:rsidRPr="00C12A16">
        <w:rPr>
          <w:sz w:val="22"/>
          <w:szCs w:val="22"/>
        </w:rPr>
        <w:t xml:space="preserve"> will form the CCG’s annual EPRR Work Programme. </w:t>
      </w:r>
    </w:p>
    <w:p w14:paraId="7E0464E8" w14:textId="77777777" w:rsidR="001B1D3C" w:rsidRPr="00C12A16" w:rsidRDefault="001B1D3C" w:rsidP="001B1D3C">
      <w:pPr>
        <w:pStyle w:val="Default"/>
        <w:ind w:left="709"/>
        <w:jc w:val="both"/>
        <w:rPr>
          <w:sz w:val="22"/>
          <w:szCs w:val="22"/>
        </w:rPr>
      </w:pPr>
    </w:p>
    <w:p w14:paraId="09A01B8F" w14:textId="77777777" w:rsidR="001B1D3C" w:rsidRPr="004E72C3" w:rsidRDefault="005A6D26" w:rsidP="001B1D3C">
      <w:pPr>
        <w:pStyle w:val="Default"/>
        <w:ind w:left="709"/>
        <w:jc w:val="both"/>
        <w:rPr>
          <w:rStyle w:val="SubtleEmphasis"/>
          <w:i w:val="0"/>
          <w:iCs w:val="0"/>
          <w:color w:val="auto"/>
        </w:rPr>
      </w:pPr>
      <w:r w:rsidRPr="004E72C3">
        <w:rPr>
          <w:rStyle w:val="SubtleEmphasis"/>
          <w:i w:val="0"/>
          <w:iCs w:val="0"/>
          <w:color w:val="auto"/>
        </w:rPr>
        <w:t xml:space="preserve">10.5 </w:t>
      </w:r>
      <w:r w:rsidR="001B1D3C" w:rsidRPr="004E72C3">
        <w:rPr>
          <w:rStyle w:val="SubtleEmphasis"/>
          <w:i w:val="0"/>
          <w:iCs w:val="0"/>
          <w:color w:val="auto"/>
        </w:rPr>
        <w:t>NEL CCG Business Continuity Plan</w:t>
      </w:r>
    </w:p>
    <w:p w14:paraId="5E4DF96A" w14:textId="77777777" w:rsidR="005A6D26" w:rsidRPr="005A6D26" w:rsidRDefault="005A6D26" w:rsidP="001B1D3C">
      <w:pPr>
        <w:pStyle w:val="Default"/>
        <w:ind w:left="709"/>
        <w:jc w:val="both"/>
        <w:rPr>
          <w:rStyle w:val="SubtleEmphasis"/>
        </w:rPr>
      </w:pPr>
    </w:p>
    <w:p w14:paraId="706647BF" w14:textId="77777777" w:rsidR="001B1D3C" w:rsidRPr="00C12A16" w:rsidRDefault="001B1D3C" w:rsidP="001B1D3C">
      <w:pPr>
        <w:pStyle w:val="Default"/>
        <w:ind w:left="709"/>
        <w:jc w:val="both"/>
        <w:rPr>
          <w:sz w:val="22"/>
          <w:szCs w:val="22"/>
        </w:rPr>
      </w:pPr>
      <w:r w:rsidRPr="00C12A16">
        <w:rPr>
          <w:sz w:val="22"/>
          <w:szCs w:val="22"/>
        </w:rPr>
        <w:t xml:space="preserve">This is to be reviewed annually and on the CCG website for ease of access. All staff are directed to read it during induction (communicated by CCG staff newsletter) and Managers are required to ensure they have full, accurate and up to date contact information for all members of their team. </w:t>
      </w:r>
    </w:p>
    <w:p w14:paraId="1EDB6E56" w14:textId="77777777" w:rsidR="005A6D26" w:rsidRPr="00C12A16" w:rsidRDefault="005A6D26" w:rsidP="001B1D3C">
      <w:pPr>
        <w:pStyle w:val="Default"/>
        <w:ind w:left="709"/>
        <w:jc w:val="both"/>
        <w:rPr>
          <w:sz w:val="22"/>
          <w:szCs w:val="22"/>
        </w:rPr>
      </w:pPr>
    </w:p>
    <w:p w14:paraId="6324AE22" w14:textId="77777777" w:rsidR="001B1D3C" w:rsidRPr="00C12A16" w:rsidRDefault="001B1D3C" w:rsidP="001B1D3C">
      <w:pPr>
        <w:pStyle w:val="Default"/>
        <w:ind w:left="709"/>
        <w:jc w:val="both"/>
        <w:rPr>
          <w:sz w:val="22"/>
          <w:szCs w:val="22"/>
        </w:rPr>
      </w:pPr>
      <w:r w:rsidRPr="00C12A16">
        <w:rPr>
          <w:sz w:val="22"/>
          <w:szCs w:val="22"/>
        </w:rPr>
        <w:t>There is a plan for a test of the communication cascade twice yearly in March and September.</w:t>
      </w:r>
    </w:p>
    <w:p w14:paraId="5D5F5C94" w14:textId="77777777" w:rsidR="001B1D3C" w:rsidRPr="00C12A16" w:rsidRDefault="001B1D3C" w:rsidP="004C07C5">
      <w:pPr>
        <w:pStyle w:val="Default"/>
        <w:jc w:val="both"/>
        <w:rPr>
          <w:sz w:val="22"/>
          <w:szCs w:val="22"/>
        </w:rPr>
      </w:pPr>
    </w:p>
    <w:p w14:paraId="2E6F75A1" w14:textId="77777777" w:rsidR="001B1D3C" w:rsidRPr="004E72C3" w:rsidRDefault="005A6D26" w:rsidP="001B1D3C">
      <w:pPr>
        <w:pStyle w:val="Default"/>
        <w:ind w:left="709"/>
        <w:jc w:val="both"/>
        <w:rPr>
          <w:rStyle w:val="SubtleEmphasis"/>
          <w:i w:val="0"/>
          <w:iCs w:val="0"/>
          <w:color w:val="auto"/>
        </w:rPr>
      </w:pPr>
      <w:bookmarkStart w:id="25" w:name="_Toc523405105"/>
      <w:r w:rsidRPr="004E72C3">
        <w:rPr>
          <w:rStyle w:val="SubtleEmphasis"/>
          <w:i w:val="0"/>
          <w:iCs w:val="0"/>
          <w:color w:val="auto"/>
        </w:rPr>
        <w:t>10.6 Humber C</w:t>
      </w:r>
      <w:r w:rsidR="001B1D3C" w:rsidRPr="004E72C3">
        <w:rPr>
          <w:rStyle w:val="SubtleEmphasis"/>
          <w:i w:val="0"/>
          <w:iCs w:val="0"/>
          <w:color w:val="auto"/>
        </w:rPr>
        <w:t>CG</w:t>
      </w:r>
      <w:r w:rsidRPr="004E72C3">
        <w:rPr>
          <w:rStyle w:val="SubtleEmphasis"/>
          <w:i w:val="0"/>
          <w:iCs w:val="0"/>
          <w:color w:val="auto"/>
        </w:rPr>
        <w:t>’s</w:t>
      </w:r>
      <w:r w:rsidR="001B1D3C" w:rsidRPr="004E72C3">
        <w:rPr>
          <w:rStyle w:val="SubtleEmphasis"/>
          <w:i w:val="0"/>
          <w:iCs w:val="0"/>
          <w:color w:val="auto"/>
        </w:rPr>
        <w:t xml:space="preserve"> On-call Director’s Handbook (Dealing with Critical and Major Incidents under the EPRR Framework, Business Continuity Incident and Surge in Activity)</w:t>
      </w:r>
      <w:bookmarkEnd w:id="25"/>
    </w:p>
    <w:p w14:paraId="05006F7E" w14:textId="77777777" w:rsidR="001B1D3C" w:rsidRPr="00C12A16" w:rsidRDefault="001B1D3C" w:rsidP="001B1D3C">
      <w:pPr>
        <w:pStyle w:val="Default"/>
        <w:ind w:left="709"/>
        <w:jc w:val="both"/>
        <w:rPr>
          <w:sz w:val="22"/>
          <w:szCs w:val="22"/>
        </w:rPr>
      </w:pPr>
    </w:p>
    <w:p w14:paraId="7CC1EB9E" w14:textId="77777777" w:rsidR="001B1D3C" w:rsidRPr="00C12A16" w:rsidRDefault="001B1D3C" w:rsidP="001B1D3C">
      <w:pPr>
        <w:pStyle w:val="Default"/>
        <w:ind w:left="709"/>
        <w:jc w:val="both"/>
        <w:rPr>
          <w:sz w:val="22"/>
          <w:szCs w:val="22"/>
        </w:rPr>
      </w:pPr>
      <w:r w:rsidRPr="00C12A16">
        <w:rPr>
          <w:sz w:val="22"/>
          <w:szCs w:val="22"/>
        </w:rPr>
        <w:t>This informal policy is directed at On-call Directors as the CCG’s Incident Commanders. It effectively forms NELCCG’s Incident Response plan and informs on-call staff/incident commanders on how they can deal with:</w:t>
      </w:r>
    </w:p>
    <w:p w14:paraId="36790B1A" w14:textId="77777777" w:rsidR="005A6D26" w:rsidRPr="00C12A16" w:rsidRDefault="005A6D26" w:rsidP="001B1D3C">
      <w:pPr>
        <w:pStyle w:val="Default"/>
        <w:ind w:left="709"/>
        <w:jc w:val="both"/>
        <w:rPr>
          <w:sz w:val="22"/>
          <w:szCs w:val="22"/>
        </w:rPr>
      </w:pPr>
    </w:p>
    <w:p w14:paraId="5CABC447" w14:textId="77777777" w:rsidR="001B1D3C" w:rsidRPr="00C12A16" w:rsidRDefault="001B1D3C" w:rsidP="005A6D26">
      <w:pPr>
        <w:pStyle w:val="Default"/>
        <w:numPr>
          <w:ilvl w:val="0"/>
          <w:numId w:val="23"/>
        </w:numPr>
        <w:jc w:val="both"/>
        <w:rPr>
          <w:sz w:val="22"/>
          <w:szCs w:val="22"/>
        </w:rPr>
      </w:pPr>
      <w:r w:rsidRPr="00C12A16">
        <w:rPr>
          <w:sz w:val="22"/>
          <w:szCs w:val="22"/>
        </w:rPr>
        <w:t xml:space="preserve">Major Incidents as defined in the NHS E EPRR Framework </w:t>
      </w:r>
    </w:p>
    <w:p w14:paraId="4495BDD8" w14:textId="77777777" w:rsidR="001B1D3C" w:rsidRPr="00C12A16" w:rsidRDefault="001B1D3C" w:rsidP="005A6D26">
      <w:pPr>
        <w:pStyle w:val="Default"/>
        <w:numPr>
          <w:ilvl w:val="0"/>
          <w:numId w:val="23"/>
        </w:numPr>
        <w:jc w:val="both"/>
        <w:rPr>
          <w:sz w:val="22"/>
          <w:szCs w:val="22"/>
        </w:rPr>
      </w:pPr>
      <w:r w:rsidRPr="00C12A16">
        <w:rPr>
          <w:sz w:val="22"/>
          <w:szCs w:val="22"/>
        </w:rPr>
        <w:t>Critical Incidents as defined in the NHS E EPRR Framework</w:t>
      </w:r>
    </w:p>
    <w:p w14:paraId="3FA0F072" w14:textId="77777777" w:rsidR="001B1D3C" w:rsidRPr="00C12A16" w:rsidRDefault="001B1D3C" w:rsidP="005A6D26">
      <w:pPr>
        <w:pStyle w:val="Default"/>
        <w:numPr>
          <w:ilvl w:val="0"/>
          <w:numId w:val="23"/>
        </w:numPr>
        <w:jc w:val="both"/>
        <w:rPr>
          <w:sz w:val="22"/>
          <w:szCs w:val="22"/>
        </w:rPr>
      </w:pPr>
      <w:r w:rsidRPr="00C12A16">
        <w:rPr>
          <w:sz w:val="22"/>
          <w:szCs w:val="22"/>
        </w:rPr>
        <w:t xml:space="preserve">Surge in activity </w:t>
      </w:r>
    </w:p>
    <w:p w14:paraId="1C350B40" w14:textId="77777777" w:rsidR="005A6D26" w:rsidRPr="00C12A16" w:rsidRDefault="001B1D3C" w:rsidP="005A6D26">
      <w:pPr>
        <w:pStyle w:val="Default"/>
        <w:numPr>
          <w:ilvl w:val="0"/>
          <w:numId w:val="23"/>
        </w:numPr>
        <w:jc w:val="both"/>
        <w:rPr>
          <w:sz w:val="22"/>
          <w:szCs w:val="22"/>
        </w:rPr>
      </w:pPr>
      <w:r w:rsidRPr="00C12A16">
        <w:rPr>
          <w:sz w:val="22"/>
          <w:szCs w:val="22"/>
        </w:rPr>
        <w:t>LRF Exercises</w:t>
      </w:r>
    </w:p>
    <w:p w14:paraId="39FD54D1" w14:textId="77777777" w:rsidR="005A6D26" w:rsidRPr="00C12A16" w:rsidRDefault="001B1D3C" w:rsidP="005A6D26">
      <w:pPr>
        <w:pStyle w:val="Default"/>
        <w:numPr>
          <w:ilvl w:val="0"/>
          <w:numId w:val="23"/>
        </w:numPr>
        <w:jc w:val="both"/>
        <w:rPr>
          <w:sz w:val="22"/>
          <w:szCs w:val="22"/>
        </w:rPr>
      </w:pPr>
      <w:r w:rsidRPr="00C12A16">
        <w:rPr>
          <w:sz w:val="22"/>
          <w:szCs w:val="22"/>
        </w:rPr>
        <w:t xml:space="preserve">Links to relevant policies and plans e.g. national cold weather and heatwave plans, national procedures on requests for military assistance etc. </w:t>
      </w:r>
      <w:r w:rsidR="005A6D26" w:rsidRPr="00C12A16">
        <w:rPr>
          <w:sz w:val="22"/>
          <w:szCs w:val="22"/>
        </w:rPr>
        <w:t xml:space="preserve"> </w:t>
      </w:r>
    </w:p>
    <w:p w14:paraId="46ABA31A" w14:textId="77777777" w:rsidR="001B1D3C" w:rsidRPr="00C12A16" w:rsidRDefault="001B1D3C" w:rsidP="005A6D26">
      <w:pPr>
        <w:pStyle w:val="Default"/>
        <w:numPr>
          <w:ilvl w:val="0"/>
          <w:numId w:val="23"/>
        </w:numPr>
        <w:jc w:val="both"/>
        <w:rPr>
          <w:sz w:val="22"/>
          <w:szCs w:val="22"/>
        </w:rPr>
      </w:pPr>
      <w:r w:rsidRPr="00C12A16">
        <w:rPr>
          <w:sz w:val="22"/>
          <w:szCs w:val="22"/>
        </w:rPr>
        <w:t>It also fully details the role of on-call Directors at NEL CCG and the on-call arrangements for the organisation</w:t>
      </w:r>
      <w:r w:rsidR="005A6D26" w:rsidRPr="00C12A16">
        <w:rPr>
          <w:sz w:val="22"/>
          <w:szCs w:val="22"/>
        </w:rPr>
        <w:t xml:space="preserve"> within the Humber Arrangement. </w:t>
      </w:r>
    </w:p>
    <w:p w14:paraId="419CF9BB" w14:textId="77777777" w:rsidR="001B1D3C" w:rsidRPr="00C12A16" w:rsidRDefault="001B1D3C" w:rsidP="001B1D3C">
      <w:pPr>
        <w:pStyle w:val="Default"/>
        <w:ind w:left="709"/>
        <w:jc w:val="both"/>
        <w:rPr>
          <w:sz w:val="22"/>
          <w:szCs w:val="22"/>
        </w:rPr>
      </w:pPr>
    </w:p>
    <w:p w14:paraId="3E255A3E" w14:textId="77777777" w:rsidR="001B1D3C" w:rsidRPr="004E72C3" w:rsidRDefault="005A6D26" w:rsidP="001B1D3C">
      <w:pPr>
        <w:pStyle w:val="Default"/>
        <w:ind w:left="709"/>
        <w:jc w:val="both"/>
        <w:rPr>
          <w:rStyle w:val="SubtleEmphasis"/>
          <w:i w:val="0"/>
          <w:iCs w:val="0"/>
          <w:color w:val="auto"/>
        </w:rPr>
      </w:pPr>
      <w:bookmarkStart w:id="26" w:name="_Toc523405106"/>
      <w:r w:rsidRPr="004E72C3">
        <w:rPr>
          <w:rStyle w:val="SubtleEmphasis"/>
          <w:i w:val="0"/>
          <w:iCs w:val="0"/>
          <w:color w:val="auto"/>
        </w:rPr>
        <w:t xml:space="preserve">10.7 </w:t>
      </w:r>
      <w:r w:rsidR="001B1D3C" w:rsidRPr="004E72C3">
        <w:rPr>
          <w:rStyle w:val="SubtleEmphasis"/>
          <w:i w:val="0"/>
          <w:iCs w:val="0"/>
          <w:color w:val="auto"/>
        </w:rPr>
        <w:t>Debriefing process</w:t>
      </w:r>
      <w:bookmarkEnd w:id="26"/>
    </w:p>
    <w:p w14:paraId="3A03D829" w14:textId="77777777" w:rsidR="001B1D3C" w:rsidRPr="00C12A16" w:rsidRDefault="001B1D3C" w:rsidP="001B1D3C">
      <w:pPr>
        <w:pStyle w:val="Default"/>
        <w:ind w:left="709"/>
        <w:jc w:val="both"/>
        <w:rPr>
          <w:sz w:val="22"/>
          <w:szCs w:val="22"/>
        </w:rPr>
      </w:pPr>
    </w:p>
    <w:p w14:paraId="40887C5A" w14:textId="77777777" w:rsidR="001B1D3C" w:rsidRPr="00C12A16" w:rsidRDefault="001B1D3C" w:rsidP="001B1D3C">
      <w:pPr>
        <w:pStyle w:val="Default"/>
        <w:ind w:left="709"/>
        <w:jc w:val="both"/>
        <w:rPr>
          <w:sz w:val="22"/>
          <w:szCs w:val="22"/>
        </w:rPr>
      </w:pPr>
      <w:r w:rsidRPr="00C12A16">
        <w:rPr>
          <w:sz w:val="22"/>
          <w:szCs w:val="22"/>
        </w:rPr>
        <w:t xml:space="preserve">Following any incident involving initiation of the CCG business continuity plan or Major/Critical Incident plan detailed in the On-call Handbook; a formal debriefing process will take place. This will take the form of a review and if </w:t>
      </w:r>
      <w:proofErr w:type="gramStart"/>
      <w:r w:rsidRPr="00C12A16">
        <w:rPr>
          <w:sz w:val="22"/>
          <w:szCs w:val="22"/>
        </w:rPr>
        <w:t>necessary</w:t>
      </w:r>
      <w:proofErr w:type="gramEnd"/>
      <w:r w:rsidRPr="00C12A16">
        <w:rPr>
          <w:sz w:val="22"/>
          <w:szCs w:val="22"/>
        </w:rPr>
        <w:t xml:space="preserve"> root cause analysis to determine if lessons can be learned for incorporation in future planning. The views of those engaged in the incident will be considered. Any risks will be recorded within the CCG risk register.</w:t>
      </w:r>
    </w:p>
    <w:p w14:paraId="4F177245" w14:textId="77777777" w:rsidR="001B1D3C" w:rsidRPr="00C12A16" w:rsidRDefault="001B1D3C" w:rsidP="001B1D3C">
      <w:pPr>
        <w:pStyle w:val="Default"/>
        <w:ind w:left="709"/>
        <w:jc w:val="both"/>
        <w:rPr>
          <w:sz w:val="22"/>
          <w:szCs w:val="22"/>
        </w:rPr>
      </w:pPr>
    </w:p>
    <w:p w14:paraId="51879848" w14:textId="77777777" w:rsidR="001B1D3C" w:rsidRPr="00C12A16" w:rsidRDefault="001B1D3C" w:rsidP="001B1D3C">
      <w:pPr>
        <w:pStyle w:val="Default"/>
        <w:ind w:left="709"/>
        <w:jc w:val="both"/>
        <w:rPr>
          <w:sz w:val="22"/>
          <w:szCs w:val="22"/>
        </w:rPr>
      </w:pPr>
      <w:r w:rsidRPr="00C12A16">
        <w:rPr>
          <w:sz w:val="22"/>
          <w:szCs w:val="22"/>
        </w:rPr>
        <w:t xml:space="preserve">In addition to the above, as per the NEL CCG On-call Director’s Handbook, the Incident Commander dealing with any incident will consider the plans for recovery from an incident alongside the health economy and Local Authority. </w:t>
      </w:r>
    </w:p>
    <w:p w14:paraId="78A18B08" w14:textId="77777777" w:rsidR="001B1D3C" w:rsidRPr="00C12A16" w:rsidRDefault="001B1D3C" w:rsidP="004C07C5">
      <w:pPr>
        <w:pStyle w:val="Default"/>
        <w:jc w:val="both"/>
        <w:rPr>
          <w:sz w:val="22"/>
          <w:szCs w:val="22"/>
        </w:rPr>
      </w:pPr>
    </w:p>
    <w:p w14:paraId="685FAC43" w14:textId="77777777" w:rsidR="001B1D3C" w:rsidRPr="004E72C3" w:rsidRDefault="005A6D26" w:rsidP="001B1D3C">
      <w:pPr>
        <w:pStyle w:val="Default"/>
        <w:ind w:left="709"/>
        <w:jc w:val="both"/>
        <w:rPr>
          <w:rStyle w:val="SubtleEmphasis"/>
          <w:i w:val="0"/>
          <w:iCs w:val="0"/>
          <w:color w:val="auto"/>
        </w:rPr>
      </w:pPr>
      <w:bookmarkStart w:id="27" w:name="_Toc523405107"/>
      <w:r w:rsidRPr="004E72C3">
        <w:rPr>
          <w:rStyle w:val="SubtleEmphasis"/>
          <w:i w:val="0"/>
          <w:iCs w:val="0"/>
          <w:color w:val="auto"/>
        </w:rPr>
        <w:t xml:space="preserve">10.8 </w:t>
      </w:r>
      <w:r w:rsidR="001B1D3C" w:rsidRPr="004E72C3">
        <w:rPr>
          <w:rStyle w:val="SubtleEmphasis"/>
          <w:i w:val="0"/>
          <w:iCs w:val="0"/>
          <w:color w:val="auto"/>
        </w:rPr>
        <w:t>Training</w:t>
      </w:r>
      <w:bookmarkEnd w:id="27"/>
    </w:p>
    <w:p w14:paraId="39607802" w14:textId="77777777" w:rsidR="001B1D3C" w:rsidRPr="00C12A16" w:rsidRDefault="001B1D3C" w:rsidP="001B1D3C">
      <w:pPr>
        <w:pStyle w:val="Default"/>
        <w:ind w:left="709"/>
        <w:jc w:val="both"/>
        <w:rPr>
          <w:sz w:val="22"/>
          <w:szCs w:val="22"/>
        </w:rPr>
      </w:pPr>
    </w:p>
    <w:p w14:paraId="44E8AD42" w14:textId="77777777" w:rsidR="001B1D3C" w:rsidRPr="00C12A16" w:rsidRDefault="001B1D3C" w:rsidP="001B1D3C">
      <w:pPr>
        <w:pStyle w:val="Default"/>
        <w:ind w:left="709"/>
        <w:jc w:val="both"/>
        <w:rPr>
          <w:sz w:val="22"/>
          <w:szCs w:val="22"/>
        </w:rPr>
      </w:pPr>
      <w:r w:rsidRPr="00C12A16">
        <w:rPr>
          <w:sz w:val="22"/>
          <w:szCs w:val="22"/>
        </w:rPr>
        <w:t>NHS England stipulates the following training requirements requiring completion:</w:t>
      </w:r>
    </w:p>
    <w:p w14:paraId="2D4B9039" w14:textId="77777777" w:rsidR="001B1D3C" w:rsidRPr="00C12A16" w:rsidRDefault="001B1D3C" w:rsidP="001B1D3C">
      <w:pPr>
        <w:pStyle w:val="Default"/>
        <w:ind w:left="709"/>
        <w:jc w:val="both"/>
        <w:rPr>
          <w:sz w:val="22"/>
          <w:szCs w:val="22"/>
        </w:rPr>
      </w:pPr>
    </w:p>
    <w:p w14:paraId="46E8ACFA" w14:textId="77777777" w:rsidR="001B1D3C" w:rsidRPr="00C12A16" w:rsidRDefault="001B1D3C" w:rsidP="005A6D26">
      <w:pPr>
        <w:pStyle w:val="Default"/>
        <w:numPr>
          <w:ilvl w:val="0"/>
          <w:numId w:val="24"/>
        </w:numPr>
        <w:jc w:val="both"/>
        <w:rPr>
          <w:sz w:val="22"/>
          <w:szCs w:val="22"/>
        </w:rPr>
      </w:pPr>
      <w:r w:rsidRPr="00C12A16">
        <w:rPr>
          <w:sz w:val="22"/>
          <w:szCs w:val="22"/>
        </w:rPr>
        <w:lastRenderedPageBreak/>
        <w:t>6 monthly tests of communications</w:t>
      </w:r>
    </w:p>
    <w:p w14:paraId="6740DD97" w14:textId="5F5002D6" w:rsidR="001B1D3C" w:rsidRPr="00C12A16" w:rsidRDefault="001B1D3C" w:rsidP="005A6D26">
      <w:pPr>
        <w:pStyle w:val="Default"/>
        <w:numPr>
          <w:ilvl w:val="0"/>
          <w:numId w:val="24"/>
        </w:numPr>
        <w:jc w:val="both"/>
        <w:rPr>
          <w:sz w:val="22"/>
          <w:szCs w:val="22"/>
        </w:rPr>
      </w:pPr>
      <w:r w:rsidRPr="00C12A16">
        <w:rPr>
          <w:sz w:val="22"/>
          <w:szCs w:val="22"/>
        </w:rPr>
        <w:t xml:space="preserve">Annual </w:t>
      </w:r>
      <w:r w:rsidR="004C07C5" w:rsidRPr="00C12A16">
        <w:rPr>
          <w:sz w:val="22"/>
          <w:szCs w:val="22"/>
        </w:rPr>
        <w:t>tabletop</w:t>
      </w:r>
      <w:r w:rsidRPr="00C12A16">
        <w:rPr>
          <w:sz w:val="22"/>
          <w:szCs w:val="22"/>
        </w:rPr>
        <w:t xml:space="preserve"> exercise</w:t>
      </w:r>
    </w:p>
    <w:p w14:paraId="3E81E3D7" w14:textId="77777777" w:rsidR="001B1D3C" w:rsidRPr="00C12A16" w:rsidRDefault="001B1D3C" w:rsidP="005A6D26">
      <w:pPr>
        <w:pStyle w:val="Default"/>
        <w:numPr>
          <w:ilvl w:val="0"/>
          <w:numId w:val="24"/>
        </w:numPr>
        <w:jc w:val="both"/>
        <w:rPr>
          <w:sz w:val="22"/>
          <w:szCs w:val="22"/>
        </w:rPr>
      </w:pPr>
      <w:r w:rsidRPr="00C12A16">
        <w:rPr>
          <w:sz w:val="22"/>
          <w:szCs w:val="22"/>
        </w:rPr>
        <w:t>3 yearly live exercise</w:t>
      </w:r>
    </w:p>
    <w:p w14:paraId="180E7DDC" w14:textId="77777777" w:rsidR="001B1D3C" w:rsidRPr="00C12A16" w:rsidRDefault="001B1D3C" w:rsidP="005A6D26">
      <w:pPr>
        <w:pStyle w:val="Default"/>
        <w:numPr>
          <w:ilvl w:val="0"/>
          <w:numId w:val="24"/>
        </w:numPr>
        <w:jc w:val="both"/>
        <w:rPr>
          <w:sz w:val="22"/>
          <w:szCs w:val="22"/>
        </w:rPr>
      </w:pPr>
      <w:r w:rsidRPr="00C12A16">
        <w:rPr>
          <w:sz w:val="22"/>
          <w:szCs w:val="22"/>
        </w:rPr>
        <w:t>3 yearly command and post exercise</w:t>
      </w:r>
    </w:p>
    <w:p w14:paraId="7EFF10B9" w14:textId="77777777" w:rsidR="001B1D3C" w:rsidRPr="00C12A16" w:rsidRDefault="001B1D3C" w:rsidP="001B1D3C">
      <w:pPr>
        <w:pStyle w:val="Default"/>
        <w:ind w:left="709"/>
        <w:jc w:val="both"/>
        <w:rPr>
          <w:sz w:val="22"/>
          <w:szCs w:val="22"/>
        </w:rPr>
      </w:pPr>
    </w:p>
    <w:p w14:paraId="78CA9A64" w14:textId="1B89A5A9" w:rsidR="001B1D3C" w:rsidRPr="004C07C5" w:rsidRDefault="001B1D3C" w:rsidP="004C07C5">
      <w:pPr>
        <w:pStyle w:val="Default"/>
        <w:ind w:left="709"/>
        <w:jc w:val="both"/>
        <w:rPr>
          <w:sz w:val="22"/>
          <w:szCs w:val="22"/>
        </w:rPr>
      </w:pPr>
      <w:r w:rsidRPr="00C12A16">
        <w:rPr>
          <w:sz w:val="22"/>
          <w:szCs w:val="22"/>
        </w:rPr>
        <w:t xml:space="preserve">NELCCG commits to meeting these requirements and this is facilitated by an annual training analysis and corresponding plan is produced for and by EPARG, led by the CCG. </w:t>
      </w:r>
    </w:p>
    <w:p w14:paraId="690630C7" w14:textId="0AA4F6AD" w:rsidR="00B11B6B" w:rsidRPr="004C07C5" w:rsidRDefault="00B11B6B" w:rsidP="004C07C5">
      <w:pPr>
        <w:pStyle w:val="Heading1"/>
        <w:rPr>
          <w:rFonts w:ascii="Arial" w:hAnsi="Arial" w:cs="Arial"/>
          <w:b/>
          <w:color w:val="000000"/>
          <w:sz w:val="24"/>
          <w:szCs w:val="24"/>
        </w:rPr>
      </w:pPr>
      <w:bookmarkStart w:id="28" w:name="_Toc70604989"/>
      <w:r w:rsidRPr="00C12A16">
        <w:rPr>
          <w:rFonts w:ascii="Arial" w:hAnsi="Arial" w:cs="Arial"/>
          <w:b/>
          <w:color w:val="000000"/>
          <w:sz w:val="24"/>
          <w:szCs w:val="24"/>
        </w:rPr>
        <w:t>11.0</w:t>
      </w:r>
      <w:r w:rsidRPr="00C12A16">
        <w:rPr>
          <w:rFonts w:ascii="Arial" w:hAnsi="Arial" w:cs="Arial"/>
          <w:b/>
          <w:color w:val="000000"/>
          <w:sz w:val="24"/>
          <w:szCs w:val="24"/>
        </w:rPr>
        <w:tab/>
      </w:r>
      <w:r w:rsidR="005A6D26" w:rsidRPr="00C12A16">
        <w:rPr>
          <w:rStyle w:val="Heading1Char"/>
          <w:rFonts w:ascii="Arial" w:hAnsi="Arial" w:cs="Arial"/>
          <w:b/>
          <w:color w:val="000000"/>
          <w:sz w:val="24"/>
          <w:szCs w:val="24"/>
        </w:rPr>
        <w:t>CCG RESOURCES FOR EPRR</w:t>
      </w:r>
      <w:bookmarkEnd w:id="28"/>
    </w:p>
    <w:p w14:paraId="62552FB6" w14:textId="77777777" w:rsidR="004C07C5" w:rsidRDefault="004C07C5" w:rsidP="005A6D26">
      <w:pPr>
        <w:pStyle w:val="Default"/>
        <w:ind w:left="709"/>
        <w:jc w:val="both"/>
        <w:rPr>
          <w:rStyle w:val="SubtleEmphasis"/>
          <w:i w:val="0"/>
          <w:iCs w:val="0"/>
          <w:color w:val="auto"/>
        </w:rPr>
      </w:pPr>
      <w:bookmarkStart w:id="29" w:name="_Toc523405109"/>
    </w:p>
    <w:p w14:paraId="2BF4F602" w14:textId="1A12CEBA" w:rsidR="005A6D26" w:rsidRDefault="005A6D26" w:rsidP="004C07C5">
      <w:pPr>
        <w:pStyle w:val="Default"/>
        <w:ind w:left="709"/>
        <w:jc w:val="both"/>
        <w:rPr>
          <w:rStyle w:val="SubtleEmphasis"/>
          <w:i w:val="0"/>
          <w:iCs w:val="0"/>
          <w:color w:val="auto"/>
        </w:rPr>
      </w:pPr>
      <w:r w:rsidRPr="004E72C3">
        <w:rPr>
          <w:rStyle w:val="SubtleEmphasis"/>
          <w:i w:val="0"/>
          <w:iCs w:val="0"/>
          <w:color w:val="auto"/>
        </w:rPr>
        <w:t>11.1 Resourcing Commitments</w:t>
      </w:r>
      <w:bookmarkEnd w:id="29"/>
      <w:r w:rsidRPr="004E72C3">
        <w:rPr>
          <w:rStyle w:val="SubtleEmphasis"/>
          <w:i w:val="0"/>
          <w:iCs w:val="0"/>
          <w:color w:val="auto"/>
        </w:rPr>
        <w:t xml:space="preserve"> </w:t>
      </w:r>
    </w:p>
    <w:p w14:paraId="5E916DD7" w14:textId="77777777" w:rsidR="004C07C5" w:rsidRPr="004C07C5" w:rsidRDefault="004C07C5" w:rsidP="004C07C5">
      <w:pPr>
        <w:pStyle w:val="Default"/>
        <w:ind w:left="709"/>
        <w:jc w:val="both"/>
        <w:rPr>
          <w:color w:val="auto"/>
        </w:rPr>
      </w:pPr>
    </w:p>
    <w:p w14:paraId="6F8E7D72" w14:textId="77777777" w:rsidR="005A6D26" w:rsidRDefault="005A6D26" w:rsidP="005A6D26">
      <w:pPr>
        <w:pStyle w:val="ListParagraph"/>
        <w:numPr>
          <w:ilvl w:val="0"/>
          <w:numId w:val="25"/>
        </w:numPr>
        <w:suppressAutoHyphens w:val="0"/>
        <w:autoSpaceDE w:val="0"/>
        <w:autoSpaceDN w:val="0"/>
        <w:adjustRightInd w:val="0"/>
        <w:spacing w:before="0" w:after="0" w:line="360" w:lineRule="auto"/>
        <w:rPr>
          <w:rFonts w:cs="Arial"/>
          <w:bCs/>
        </w:rPr>
      </w:pPr>
      <w:r>
        <w:rPr>
          <w:rFonts w:cs="Arial"/>
          <w:bCs/>
        </w:rPr>
        <w:t>Having</w:t>
      </w:r>
      <w:r w:rsidRPr="00B95136">
        <w:rPr>
          <w:rFonts w:cs="Arial"/>
          <w:bCs/>
        </w:rPr>
        <w:t xml:space="preserve"> the appropriate EPRR staff as per section </w:t>
      </w:r>
      <w:r w:rsidR="00FA4AC7">
        <w:rPr>
          <w:rFonts w:cs="Arial"/>
          <w:bCs/>
        </w:rPr>
        <w:t>6</w:t>
      </w:r>
      <w:r w:rsidRPr="00B95136">
        <w:rPr>
          <w:rFonts w:cs="Arial"/>
          <w:bCs/>
        </w:rPr>
        <w:t>.4 above to discharge</w:t>
      </w:r>
      <w:r>
        <w:rPr>
          <w:rFonts w:cs="Arial"/>
          <w:bCs/>
        </w:rPr>
        <w:t xml:space="preserve"> the CCG’s</w:t>
      </w:r>
      <w:r w:rsidRPr="00B95136">
        <w:rPr>
          <w:rFonts w:cs="Arial"/>
          <w:bCs/>
        </w:rPr>
        <w:t xml:space="preserve"> responsibilities under the Civil Contingencies Act 2004. </w:t>
      </w:r>
    </w:p>
    <w:p w14:paraId="486F6CA2" w14:textId="77777777" w:rsidR="005A6D26" w:rsidRDefault="005A6D26" w:rsidP="005A6D26">
      <w:pPr>
        <w:pStyle w:val="ListParagraph"/>
        <w:numPr>
          <w:ilvl w:val="0"/>
          <w:numId w:val="25"/>
        </w:numPr>
        <w:suppressAutoHyphens w:val="0"/>
        <w:autoSpaceDE w:val="0"/>
        <w:autoSpaceDN w:val="0"/>
        <w:adjustRightInd w:val="0"/>
        <w:spacing w:before="0" w:after="0" w:line="360" w:lineRule="auto"/>
        <w:rPr>
          <w:rFonts w:cs="Arial"/>
          <w:bCs/>
        </w:rPr>
      </w:pPr>
      <w:r>
        <w:rPr>
          <w:rFonts w:cs="Arial"/>
          <w:bCs/>
        </w:rPr>
        <w:t>Having a 24/7 on-call Director available for contact by CCG staff and providers.</w:t>
      </w:r>
    </w:p>
    <w:p w14:paraId="75A7642E" w14:textId="77777777" w:rsidR="005A6D26" w:rsidRDefault="005A6D26" w:rsidP="005A6D26">
      <w:pPr>
        <w:pStyle w:val="ListParagraph"/>
        <w:numPr>
          <w:ilvl w:val="0"/>
          <w:numId w:val="25"/>
        </w:numPr>
        <w:suppressAutoHyphens w:val="0"/>
        <w:autoSpaceDE w:val="0"/>
        <w:autoSpaceDN w:val="0"/>
        <w:adjustRightInd w:val="0"/>
        <w:spacing w:before="0" w:after="0" w:line="360" w:lineRule="auto"/>
        <w:rPr>
          <w:rFonts w:cs="Arial"/>
          <w:bCs/>
        </w:rPr>
      </w:pPr>
      <w:r>
        <w:rPr>
          <w:rFonts w:cs="Arial"/>
          <w:bCs/>
        </w:rPr>
        <w:t>Attendance at the LHRP by a Director or appropriate nominated individual (e.g. the EPRR Emergency Officer)</w:t>
      </w:r>
    </w:p>
    <w:p w14:paraId="31BB370B" w14:textId="77777777" w:rsidR="005A6D26" w:rsidRDefault="005A6D26" w:rsidP="005A6D26">
      <w:pPr>
        <w:pStyle w:val="ListParagraph"/>
        <w:numPr>
          <w:ilvl w:val="0"/>
          <w:numId w:val="25"/>
        </w:numPr>
        <w:suppressAutoHyphens w:val="0"/>
        <w:autoSpaceDE w:val="0"/>
        <w:autoSpaceDN w:val="0"/>
        <w:adjustRightInd w:val="0"/>
        <w:spacing w:before="0" w:after="0" w:line="360" w:lineRule="auto"/>
        <w:rPr>
          <w:rFonts w:cs="Arial"/>
          <w:bCs/>
        </w:rPr>
      </w:pPr>
      <w:r>
        <w:rPr>
          <w:rFonts w:cs="Arial"/>
          <w:bCs/>
        </w:rPr>
        <w:t>Completing an annual training needs analysis for themselves and providers to successfully organise exercising and training opportunities</w:t>
      </w:r>
    </w:p>
    <w:p w14:paraId="763B5E0F" w14:textId="77777777" w:rsidR="005A6D26" w:rsidRDefault="005A6D26" w:rsidP="005A6D26">
      <w:pPr>
        <w:pStyle w:val="ListParagraph"/>
        <w:numPr>
          <w:ilvl w:val="0"/>
          <w:numId w:val="25"/>
        </w:numPr>
        <w:suppressAutoHyphens w:val="0"/>
        <w:autoSpaceDE w:val="0"/>
        <w:autoSpaceDN w:val="0"/>
        <w:adjustRightInd w:val="0"/>
        <w:spacing w:before="0" w:after="0" w:line="360" w:lineRule="auto"/>
        <w:rPr>
          <w:rFonts w:cs="Arial"/>
          <w:bCs/>
        </w:rPr>
      </w:pPr>
      <w:r>
        <w:rPr>
          <w:rFonts w:cs="Arial"/>
          <w:bCs/>
        </w:rPr>
        <w:t>Organising and chairing the local EPARG.</w:t>
      </w:r>
    </w:p>
    <w:p w14:paraId="5E946713" w14:textId="77777777" w:rsidR="005A6D26" w:rsidRDefault="005A6D26" w:rsidP="005A6D26">
      <w:pPr>
        <w:pStyle w:val="ListParagraph"/>
        <w:numPr>
          <w:ilvl w:val="0"/>
          <w:numId w:val="25"/>
        </w:numPr>
        <w:suppressAutoHyphens w:val="0"/>
        <w:autoSpaceDE w:val="0"/>
        <w:autoSpaceDN w:val="0"/>
        <w:adjustRightInd w:val="0"/>
        <w:spacing w:before="0" w:after="0" w:line="360" w:lineRule="auto"/>
        <w:rPr>
          <w:rFonts w:cs="Arial"/>
          <w:bCs/>
        </w:rPr>
      </w:pPr>
      <w:r>
        <w:rPr>
          <w:rFonts w:cs="Arial"/>
          <w:bCs/>
        </w:rPr>
        <w:t>Meeting the training and exercising requirements under EPRR</w:t>
      </w:r>
    </w:p>
    <w:p w14:paraId="7E432707" w14:textId="77777777" w:rsidR="005A6D26" w:rsidRDefault="005A6D26" w:rsidP="005A6D26">
      <w:pPr>
        <w:pStyle w:val="ListParagraph"/>
        <w:numPr>
          <w:ilvl w:val="0"/>
          <w:numId w:val="25"/>
        </w:numPr>
        <w:suppressAutoHyphens w:val="0"/>
        <w:autoSpaceDE w:val="0"/>
        <w:autoSpaceDN w:val="0"/>
        <w:adjustRightInd w:val="0"/>
        <w:spacing w:before="0" w:after="0" w:line="360" w:lineRule="auto"/>
        <w:rPr>
          <w:rFonts w:cs="Arial"/>
          <w:bCs/>
        </w:rPr>
      </w:pPr>
      <w:r>
        <w:rPr>
          <w:rFonts w:cs="Arial"/>
          <w:bCs/>
        </w:rPr>
        <w:t xml:space="preserve">Fulfilling the CCG’s role in co-ordinating the local health response and deploying resources in accordance with the NELCCG On-Call Handbook to deal with Major/Critical/Business Continuity Incidents for the CCG and its providers. </w:t>
      </w:r>
    </w:p>
    <w:p w14:paraId="713D43A8" w14:textId="77777777" w:rsidR="005A6D26" w:rsidRDefault="005A6D26" w:rsidP="005A6D26">
      <w:pPr>
        <w:pStyle w:val="ListParagraph"/>
        <w:numPr>
          <w:ilvl w:val="0"/>
          <w:numId w:val="25"/>
        </w:numPr>
        <w:suppressAutoHyphens w:val="0"/>
        <w:autoSpaceDE w:val="0"/>
        <w:autoSpaceDN w:val="0"/>
        <w:adjustRightInd w:val="0"/>
        <w:spacing w:before="0" w:after="0" w:line="360" w:lineRule="auto"/>
        <w:rPr>
          <w:rFonts w:cs="Arial"/>
          <w:bCs/>
        </w:rPr>
      </w:pPr>
      <w:r>
        <w:rPr>
          <w:rFonts w:cs="Arial"/>
          <w:bCs/>
        </w:rPr>
        <w:t xml:space="preserve">Work with provider to improve their Business Continuity planning through EPARG. </w:t>
      </w:r>
    </w:p>
    <w:p w14:paraId="28856809" w14:textId="469EA1FB" w:rsidR="004C07C5" w:rsidRDefault="005A6D26" w:rsidP="004C07C5">
      <w:pPr>
        <w:pStyle w:val="ListParagraph"/>
        <w:numPr>
          <w:ilvl w:val="0"/>
          <w:numId w:val="25"/>
        </w:numPr>
        <w:suppressAutoHyphens w:val="0"/>
        <w:autoSpaceDE w:val="0"/>
        <w:autoSpaceDN w:val="0"/>
        <w:adjustRightInd w:val="0"/>
        <w:spacing w:before="0" w:after="0" w:line="360" w:lineRule="auto"/>
        <w:rPr>
          <w:rFonts w:cs="Arial"/>
          <w:bCs/>
        </w:rPr>
      </w:pPr>
      <w:r>
        <w:rPr>
          <w:rFonts w:cs="Arial"/>
          <w:bCs/>
        </w:rPr>
        <w:t xml:space="preserve">The CCG commits to publishing </w:t>
      </w:r>
      <w:r w:rsidR="004C07C5">
        <w:rPr>
          <w:rFonts w:cs="Arial"/>
          <w:bCs/>
        </w:rPr>
        <w:t>its</w:t>
      </w:r>
      <w:r>
        <w:rPr>
          <w:rFonts w:cs="Arial"/>
          <w:bCs/>
        </w:rPr>
        <w:t xml:space="preserve"> compliance with EPRR Core Standards on an annual basis and providing annual reports to the Governing Body on progress on EPRR, current compliance and corresponding action plan.</w:t>
      </w:r>
    </w:p>
    <w:p w14:paraId="190BDC6A" w14:textId="77777777" w:rsidR="004C07C5" w:rsidRPr="004C07C5" w:rsidRDefault="004C07C5" w:rsidP="004C07C5">
      <w:pPr>
        <w:pStyle w:val="ListParagraph"/>
        <w:suppressAutoHyphens w:val="0"/>
        <w:autoSpaceDE w:val="0"/>
        <w:autoSpaceDN w:val="0"/>
        <w:adjustRightInd w:val="0"/>
        <w:spacing w:before="0" w:after="0" w:line="360" w:lineRule="auto"/>
        <w:ind w:left="0"/>
        <w:rPr>
          <w:rFonts w:cs="Arial"/>
          <w:bCs/>
        </w:rPr>
      </w:pPr>
    </w:p>
    <w:p w14:paraId="2F4F0E39" w14:textId="77777777" w:rsidR="005A6D26" w:rsidRPr="004E72C3" w:rsidRDefault="005A6D26" w:rsidP="005A6D26">
      <w:pPr>
        <w:pStyle w:val="Default"/>
        <w:ind w:left="709"/>
        <w:jc w:val="both"/>
        <w:rPr>
          <w:rStyle w:val="SubtleEmphasis"/>
          <w:i w:val="0"/>
          <w:iCs w:val="0"/>
          <w:color w:val="auto"/>
        </w:rPr>
      </w:pPr>
      <w:bookmarkStart w:id="30" w:name="_Toc523405110"/>
      <w:r w:rsidRPr="004E72C3">
        <w:rPr>
          <w:rStyle w:val="SubtleEmphasis"/>
          <w:i w:val="0"/>
          <w:iCs w:val="0"/>
          <w:color w:val="auto"/>
        </w:rPr>
        <w:t>11.2 Incident Co-ordination Centre</w:t>
      </w:r>
      <w:bookmarkEnd w:id="30"/>
    </w:p>
    <w:p w14:paraId="06E1789A" w14:textId="77777777" w:rsidR="005A6D26" w:rsidRPr="005A6D26" w:rsidRDefault="005A6D26" w:rsidP="005A6D26">
      <w:pPr>
        <w:pStyle w:val="Default"/>
        <w:ind w:left="709"/>
        <w:jc w:val="both"/>
        <w:rPr>
          <w:rStyle w:val="SubtleEmphasis"/>
        </w:rPr>
      </w:pPr>
    </w:p>
    <w:p w14:paraId="12DC61E6" w14:textId="77777777" w:rsidR="005A6D26" w:rsidRPr="00C12A16" w:rsidRDefault="005A6D26" w:rsidP="005A6D26">
      <w:pPr>
        <w:pStyle w:val="Default"/>
        <w:ind w:left="709"/>
        <w:jc w:val="both"/>
        <w:rPr>
          <w:sz w:val="22"/>
          <w:szCs w:val="22"/>
        </w:rPr>
      </w:pPr>
      <w:r w:rsidRPr="00C12A16">
        <w:rPr>
          <w:sz w:val="22"/>
          <w:szCs w:val="22"/>
        </w:rPr>
        <w:t xml:space="preserve">In the event of an emergency the CCG will locate commanding staff to the Fred Smith Room in the Fishing Heritage Centre, Alexandra Dock, Grimsby, DN31 1UZ. This ICC is run, </w:t>
      </w:r>
      <w:proofErr w:type="gramStart"/>
      <w:r w:rsidRPr="00C12A16">
        <w:rPr>
          <w:sz w:val="22"/>
          <w:szCs w:val="22"/>
        </w:rPr>
        <w:t>equipped</w:t>
      </w:r>
      <w:proofErr w:type="gramEnd"/>
      <w:r w:rsidRPr="00C12A16">
        <w:rPr>
          <w:sz w:val="22"/>
          <w:szCs w:val="22"/>
        </w:rPr>
        <w:t xml:space="preserve"> and regularly tested by North East Lincolnshire Council. </w:t>
      </w:r>
    </w:p>
    <w:p w14:paraId="2BA45FA4" w14:textId="77777777" w:rsidR="005A6D26" w:rsidRPr="00C12A16" w:rsidRDefault="005A6D26" w:rsidP="005A6D26">
      <w:pPr>
        <w:pStyle w:val="Default"/>
        <w:ind w:left="709"/>
        <w:jc w:val="both"/>
        <w:rPr>
          <w:sz w:val="22"/>
          <w:szCs w:val="22"/>
        </w:rPr>
      </w:pPr>
    </w:p>
    <w:p w14:paraId="5BF5DB10" w14:textId="77777777" w:rsidR="005A6D26" w:rsidRPr="00C12A16" w:rsidRDefault="005A6D26" w:rsidP="005A6D26">
      <w:pPr>
        <w:pStyle w:val="Default"/>
        <w:ind w:left="709"/>
        <w:jc w:val="both"/>
        <w:rPr>
          <w:sz w:val="22"/>
          <w:szCs w:val="22"/>
        </w:rPr>
      </w:pPr>
      <w:r w:rsidRPr="00C12A16">
        <w:rPr>
          <w:sz w:val="22"/>
          <w:szCs w:val="22"/>
        </w:rPr>
        <w:t xml:space="preserve">In the event of the Fishing Heritage Centre being unusable, the CCG will locate commanding staff to the backup ICC based in the Municipal Offices, Town Hall Square, Grimsby, North East Lincolnshire, DN31 1HU, which is also incidentally where the CCG is based. </w:t>
      </w:r>
    </w:p>
    <w:p w14:paraId="01E1CF68" w14:textId="77777777" w:rsidR="005A6D26" w:rsidRPr="00C12A16" w:rsidRDefault="005A6D26" w:rsidP="005A6D26">
      <w:pPr>
        <w:pStyle w:val="Default"/>
        <w:ind w:left="709"/>
        <w:jc w:val="both"/>
        <w:rPr>
          <w:sz w:val="22"/>
          <w:szCs w:val="22"/>
        </w:rPr>
      </w:pPr>
    </w:p>
    <w:p w14:paraId="4EDE6D0C" w14:textId="77777777" w:rsidR="005A6D26" w:rsidRPr="00C12A16" w:rsidRDefault="005A6D26" w:rsidP="005A6D26">
      <w:pPr>
        <w:pStyle w:val="Default"/>
        <w:ind w:left="709"/>
        <w:jc w:val="both"/>
        <w:rPr>
          <w:sz w:val="22"/>
          <w:szCs w:val="22"/>
        </w:rPr>
      </w:pPr>
      <w:r w:rsidRPr="00C12A16">
        <w:rPr>
          <w:sz w:val="22"/>
          <w:szCs w:val="22"/>
        </w:rPr>
        <w:t xml:space="preserve">The LRF Command in Clough Road, Hull, will send regular SITREPs back to the ICC in Grimsby including updates from NHS England. The Gold Commander of the incident may wish to locate to Clough Road personally if they require a faster </w:t>
      </w:r>
      <w:r w:rsidRPr="00C12A16">
        <w:rPr>
          <w:sz w:val="22"/>
          <w:szCs w:val="22"/>
        </w:rPr>
        <w:lastRenderedPageBreak/>
        <w:t xml:space="preserve">cascade of communication, with another staff member (Silver or Bronze Command) locating to the Grimsby ICC. </w:t>
      </w:r>
    </w:p>
    <w:p w14:paraId="460A3BE7" w14:textId="77777777" w:rsidR="005A6D26" w:rsidRPr="00C12A16" w:rsidRDefault="005A6D26" w:rsidP="005A6D26">
      <w:pPr>
        <w:pStyle w:val="Default"/>
        <w:ind w:left="709"/>
        <w:jc w:val="both"/>
        <w:rPr>
          <w:sz w:val="22"/>
          <w:szCs w:val="22"/>
        </w:rPr>
      </w:pPr>
    </w:p>
    <w:p w14:paraId="11A8F5E5" w14:textId="4374279B" w:rsidR="005A6D26" w:rsidRPr="00C12A16" w:rsidRDefault="005A6D26" w:rsidP="005A6D26">
      <w:pPr>
        <w:pStyle w:val="Default"/>
        <w:ind w:left="709"/>
        <w:jc w:val="both"/>
        <w:rPr>
          <w:sz w:val="22"/>
          <w:szCs w:val="22"/>
        </w:rPr>
      </w:pPr>
      <w:r w:rsidRPr="00C12A16">
        <w:rPr>
          <w:sz w:val="22"/>
          <w:szCs w:val="22"/>
        </w:rPr>
        <w:t xml:space="preserve">The CCG participates in the testing exercises for both ICCs. </w:t>
      </w:r>
    </w:p>
    <w:p w14:paraId="5E1C831B" w14:textId="77777777" w:rsidR="005A6D26" w:rsidRPr="00C12A16" w:rsidRDefault="005A6D26" w:rsidP="004C07C5">
      <w:pPr>
        <w:pStyle w:val="Default"/>
        <w:jc w:val="both"/>
        <w:rPr>
          <w:sz w:val="22"/>
          <w:szCs w:val="22"/>
        </w:rPr>
      </w:pPr>
    </w:p>
    <w:p w14:paraId="243AB19F" w14:textId="4EB8F106" w:rsidR="005A6D26" w:rsidRPr="004C07C5" w:rsidRDefault="005A6D26" w:rsidP="004C07C5">
      <w:pPr>
        <w:pStyle w:val="Default"/>
        <w:ind w:left="709"/>
        <w:jc w:val="both"/>
        <w:rPr>
          <w:color w:val="auto"/>
        </w:rPr>
      </w:pPr>
      <w:bookmarkStart w:id="31" w:name="_Toc523405111"/>
      <w:r w:rsidRPr="004E72C3">
        <w:rPr>
          <w:rStyle w:val="SubtleEmphasis"/>
          <w:i w:val="0"/>
          <w:iCs w:val="0"/>
          <w:color w:val="auto"/>
        </w:rPr>
        <w:t>11.3 Finances</w:t>
      </w:r>
      <w:bookmarkEnd w:id="31"/>
    </w:p>
    <w:p w14:paraId="24AE07F6" w14:textId="77777777" w:rsidR="004C07C5" w:rsidRDefault="004C07C5" w:rsidP="005A6D26">
      <w:pPr>
        <w:pStyle w:val="Default"/>
        <w:ind w:left="709"/>
        <w:jc w:val="both"/>
        <w:rPr>
          <w:sz w:val="22"/>
          <w:szCs w:val="22"/>
        </w:rPr>
      </w:pPr>
    </w:p>
    <w:p w14:paraId="7ABCD9B4" w14:textId="28036107" w:rsidR="005A6D26" w:rsidRPr="00C12A16" w:rsidRDefault="005A6D26" w:rsidP="005A6D26">
      <w:pPr>
        <w:pStyle w:val="Default"/>
        <w:ind w:left="709"/>
        <w:jc w:val="both"/>
        <w:rPr>
          <w:sz w:val="22"/>
          <w:szCs w:val="22"/>
        </w:rPr>
      </w:pPr>
      <w:r w:rsidRPr="00C12A16">
        <w:rPr>
          <w:sz w:val="22"/>
          <w:szCs w:val="22"/>
        </w:rPr>
        <w:t xml:space="preserve">The CCG recognizes its obligations with regards to emergency planning, resilience, responding to major, </w:t>
      </w:r>
      <w:proofErr w:type="gramStart"/>
      <w:r w:rsidRPr="00C12A16">
        <w:rPr>
          <w:sz w:val="22"/>
          <w:szCs w:val="22"/>
        </w:rPr>
        <w:t>critical</w:t>
      </w:r>
      <w:proofErr w:type="gramEnd"/>
      <w:r w:rsidRPr="00C12A16">
        <w:rPr>
          <w:sz w:val="22"/>
          <w:szCs w:val="22"/>
        </w:rPr>
        <w:t xml:space="preserve"> and business continuity incidents. Funds, if necessary, will be made available in the event of these incidents to ensure the CCG meets its obligations with respect to these.</w:t>
      </w:r>
    </w:p>
    <w:p w14:paraId="39F8D064" w14:textId="77777777" w:rsidR="005A6D26" w:rsidRPr="00C12A16" w:rsidRDefault="005A6D26" w:rsidP="005A6D26">
      <w:pPr>
        <w:pStyle w:val="Default"/>
        <w:ind w:left="709"/>
        <w:jc w:val="both"/>
        <w:rPr>
          <w:sz w:val="22"/>
          <w:szCs w:val="22"/>
        </w:rPr>
      </w:pPr>
    </w:p>
    <w:p w14:paraId="7CB9C776" w14:textId="5A204AD6" w:rsidR="005A6D26" w:rsidRPr="004C07C5" w:rsidRDefault="005A6D26" w:rsidP="004C07C5">
      <w:pPr>
        <w:pStyle w:val="Default"/>
        <w:ind w:left="709"/>
        <w:jc w:val="both"/>
        <w:rPr>
          <w:sz w:val="22"/>
          <w:szCs w:val="22"/>
        </w:rPr>
      </w:pPr>
      <w:r w:rsidRPr="00C12A16">
        <w:rPr>
          <w:sz w:val="22"/>
          <w:szCs w:val="22"/>
        </w:rPr>
        <w:t>Any decisions to deploy funds in the event of a Major Incident should be recorded appropriately, and the cost should be traceable to those records.</w:t>
      </w:r>
    </w:p>
    <w:p w14:paraId="10F4A1EE" w14:textId="265DA333" w:rsidR="005A6D26" w:rsidRPr="004C07C5" w:rsidRDefault="005A6D26" w:rsidP="004C07C5">
      <w:pPr>
        <w:pStyle w:val="Heading1"/>
        <w:rPr>
          <w:rFonts w:ascii="Arial" w:hAnsi="Arial" w:cs="Arial"/>
          <w:b/>
          <w:bCs/>
          <w:color w:val="000000"/>
          <w:sz w:val="24"/>
          <w:szCs w:val="24"/>
        </w:rPr>
      </w:pPr>
      <w:bookmarkStart w:id="32" w:name="_Toc70604990"/>
      <w:r w:rsidRPr="004C07C5">
        <w:rPr>
          <w:rFonts w:ascii="Arial" w:hAnsi="Arial" w:cs="Arial"/>
          <w:b/>
          <w:color w:val="000000"/>
          <w:sz w:val="24"/>
          <w:szCs w:val="24"/>
        </w:rPr>
        <w:t>12</w:t>
      </w:r>
      <w:r w:rsidRPr="00C12A16">
        <w:rPr>
          <w:rFonts w:ascii="Arial" w:hAnsi="Arial" w:cs="Arial"/>
          <w:b/>
          <w:bCs/>
          <w:color w:val="000000"/>
          <w:sz w:val="24"/>
          <w:szCs w:val="24"/>
        </w:rPr>
        <w:t>.</w:t>
      </w:r>
      <w:r w:rsidR="004C07C5">
        <w:rPr>
          <w:rFonts w:ascii="Arial" w:hAnsi="Arial" w:cs="Arial"/>
          <w:b/>
          <w:bCs/>
          <w:color w:val="000000"/>
          <w:sz w:val="24"/>
          <w:szCs w:val="24"/>
        </w:rPr>
        <w:t>0</w:t>
      </w:r>
      <w:r w:rsidR="00086FB3">
        <w:rPr>
          <w:rFonts w:ascii="Arial" w:hAnsi="Arial" w:cs="Arial"/>
          <w:b/>
          <w:bCs/>
          <w:color w:val="000000"/>
          <w:sz w:val="24"/>
          <w:szCs w:val="24"/>
        </w:rPr>
        <w:t xml:space="preserve">    </w:t>
      </w:r>
      <w:r w:rsidRPr="00C12A16">
        <w:rPr>
          <w:rFonts w:ascii="Arial" w:hAnsi="Arial" w:cs="Arial"/>
          <w:b/>
          <w:bCs/>
          <w:color w:val="000000"/>
          <w:sz w:val="24"/>
          <w:szCs w:val="24"/>
        </w:rPr>
        <w:t>CONCLUSION</w:t>
      </w:r>
      <w:bookmarkEnd w:id="32"/>
      <w:r w:rsidRPr="00C12A16">
        <w:rPr>
          <w:rFonts w:ascii="Arial" w:hAnsi="Arial" w:cs="Arial"/>
          <w:b/>
          <w:bCs/>
          <w:color w:val="000000"/>
          <w:sz w:val="24"/>
          <w:szCs w:val="24"/>
        </w:rPr>
        <w:t xml:space="preserve"> </w:t>
      </w:r>
    </w:p>
    <w:p w14:paraId="20F706FA" w14:textId="77777777" w:rsidR="004C07C5" w:rsidRDefault="004C07C5" w:rsidP="005A6D26">
      <w:pPr>
        <w:pStyle w:val="Default"/>
        <w:ind w:left="709"/>
        <w:jc w:val="both"/>
        <w:rPr>
          <w:sz w:val="22"/>
          <w:szCs w:val="22"/>
        </w:rPr>
      </w:pPr>
    </w:p>
    <w:p w14:paraId="13F4D4CC" w14:textId="7607B6A6" w:rsidR="005A6D26" w:rsidRPr="00C12A16" w:rsidRDefault="005A6D26" w:rsidP="005A6D26">
      <w:pPr>
        <w:pStyle w:val="Default"/>
        <w:ind w:left="709"/>
        <w:jc w:val="both"/>
        <w:rPr>
          <w:sz w:val="22"/>
          <w:szCs w:val="22"/>
        </w:rPr>
      </w:pPr>
      <w:r w:rsidRPr="00C12A16">
        <w:rPr>
          <w:sz w:val="22"/>
          <w:szCs w:val="22"/>
        </w:rPr>
        <w:t>The CCG is required to respond to all NHS England directives in relation to emergency planning and there are processes in place for this to happen.</w:t>
      </w:r>
    </w:p>
    <w:p w14:paraId="32944577" w14:textId="77777777" w:rsidR="005A6D26" w:rsidRPr="00C12A16" w:rsidRDefault="005A6D26" w:rsidP="005A6D26">
      <w:pPr>
        <w:pStyle w:val="Default"/>
        <w:ind w:left="709"/>
        <w:jc w:val="both"/>
        <w:rPr>
          <w:sz w:val="22"/>
          <w:szCs w:val="22"/>
        </w:rPr>
      </w:pPr>
    </w:p>
    <w:p w14:paraId="0A51F357" w14:textId="2926785F" w:rsidR="004C07C5" w:rsidRDefault="005A6D26" w:rsidP="004C07C5">
      <w:pPr>
        <w:pStyle w:val="Default"/>
        <w:ind w:left="709"/>
        <w:jc w:val="both"/>
        <w:rPr>
          <w:sz w:val="22"/>
          <w:szCs w:val="22"/>
        </w:rPr>
      </w:pPr>
      <w:r w:rsidRPr="00C12A16">
        <w:rPr>
          <w:sz w:val="22"/>
          <w:szCs w:val="22"/>
        </w:rPr>
        <w:t>No one document can address every eventuality however the CCG is committed to working with partners in planning, testing and initiating procedures should the need arise.</w:t>
      </w:r>
      <w:bookmarkStart w:id="33" w:name="_Toc70604991"/>
    </w:p>
    <w:p w14:paraId="25CCA088" w14:textId="1B073873" w:rsidR="00B11B6B" w:rsidRDefault="00B11B6B" w:rsidP="004C07C5">
      <w:pPr>
        <w:pStyle w:val="Heading1"/>
      </w:pPr>
      <w:r>
        <w:rPr>
          <w:rFonts w:ascii="Arial" w:hAnsi="Arial" w:cs="Arial"/>
          <w:b/>
          <w:bCs/>
          <w:color w:val="auto"/>
          <w:sz w:val="24"/>
          <w:szCs w:val="24"/>
        </w:rPr>
        <w:t>1</w:t>
      </w:r>
      <w:r w:rsidR="004C07C5">
        <w:rPr>
          <w:rFonts w:ascii="Arial" w:hAnsi="Arial" w:cs="Arial"/>
          <w:b/>
          <w:bCs/>
          <w:color w:val="auto"/>
          <w:sz w:val="24"/>
          <w:szCs w:val="24"/>
        </w:rPr>
        <w:t>3</w:t>
      </w:r>
      <w:r>
        <w:rPr>
          <w:rFonts w:ascii="Arial" w:hAnsi="Arial" w:cs="Arial"/>
          <w:b/>
          <w:bCs/>
          <w:color w:val="auto"/>
          <w:sz w:val="24"/>
          <w:szCs w:val="24"/>
        </w:rPr>
        <w:t>.0</w:t>
      </w:r>
      <w:r>
        <w:rPr>
          <w:rFonts w:ascii="Arial" w:hAnsi="Arial" w:cs="Arial"/>
          <w:b/>
          <w:bCs/>
          <w:color w:val="auto"/>
          <w:sz w:val="24"/>
          <w:szCs w:val="24"/>
        </w:rPr>
        <w:tab/>
      </w:r>
      <w:r>
        <w:rPr>
          <w:rStyle w:val="Heading1Char"/>
          <w:rFonts w:ascii="Arial" w:hAnsi="Arial" w:cs="Arial"/>
          <w:b/>
          <w:color w:val="auto"/>
          <w:sz w:val="24"/>
          <w:szCs w:val="24"/>
        </w:rPr>
        <w:t>IMPLEMENTATION</w:t>
      </w:r>
      <w:bookmarkEnd w:id="33"/>
      <w:r>
        <w:rPr>
          <w:rStyle w:val="Heading1Char"/>
          <w:rFonts w:ascii="Arial" w:hAnsi="Arial" w:cs="Arial"/>
          <w:b/>
          <w:color w:val="auto"/>
          <w:sz w:val="24"/>
          <w:szCs w:val="24"/>
        </w:rPr>
        <w:t xml:space="preserve"> </w:t>
      </w:r>
    </w:p>
    <w:p w14:paraId="3637369B" w14:textId="77777777" w:rsidR="0020722C" w:rsidRDefault="0020722C">
      <w:pPr>
        <w:pStyle w:val="Default"/>
        <w:ind w:left="720"/>
        <w:contextualSpacing/>
        <w:rPr>
          <w:i/>
          <w:color w:val="auto"/>
          <w:sz w:val="22"/>
          <w:szCs w:val="22"/>
        </w:rPr>
      </w:pPr>
    </w:p>
    <w:p w14:paraId="70296FCD" w14:textId="43E4A85B" w:rsidR="00B11B6B" w:rsidRPr="004C07C5" w:rsidRDefault="0020722C" w:rsidP="004C07C5">
      <w:pPr>
        <w:pStyle w:val="Default"/>
        <w:ind w:left="720"/>
        <w:contextualSpacing/>
        <w:rPr>
          <w:iCs/>
        </w:rPr>
      </w:pPr>
      <w:r w:rsidRPr="0020722C">
        <w:rPr>
          <w:iCs/>
          <w:color w:val="auto"/>
          <w:sz w:val="22"/>
          <w:szCs w:val="22"/>
        </w:rPr>
        <w:t xml:space="preserve">This policy will be agreed by the Director for Strategic Planning before being sent to Governing Body for ratification. The policy will be reviewed every two years. </w:t>
      </w:r>
    </w:p>
    <w:p w14:paraId="00B308AF" w14:textId="659BD595" w:rsidR="00B11B6B" w:rsidRDefault="00B11B6B">
      <w:pPr>
        <w:pStyle w:val="Heading1"/>
      </w:pPr>
      <w:bookmarkStart w:id="34" w:name="_Toc70604992"/>
      <w:r>
        <w:rPr>
          <w:rFonts w:ascii="Arial" w:eastAsia="Calibri" w:hAnsi="Arial" w:cs="Arial"/>
          <w:b/>
          <w:color w:val="auto"/>
          <w:sz w:val="24"/>
          <w:szCs w:val="24"/>
          <w:lang w:eastAsia="en-US"/>
        </w:rPr>
        <w:t>1</w:t>
      </w:r>
      <w:r w:rsidR="004C07C5">
        <w:rPr>
          <w:rFonts w:ascii="Arial" w:hAnsi="Arial" w:cs="Arial"/>
          <w:b/>
          <w:color w:val="auto"/>
          <w:sz w:val="24"/>
          <w:szCs w:val="24"/>
          <w:lang w:eastAsia="en-US"/>
        </w:rPr>
        <w:t>4</w:t>
      </w:r>
      <w:r>
        <w:rPr>
          <w:rFonts w:ascii="Arial" w:hAnsi="Arial" w:cs="Arial"/>
          <w:b/>
          <w:color w:val="auto"/>
          <w:sz w:val="24"/>
          <w:szCs w:val="24"/>
          <w:lang w:eastAsia="en-US"/>
        </w:rPr>
        <w:t>.0</w:t>
      </w:r>
      <w:r>
        <w:rPr>
          <w:rFonts w:ascii="Arial" w:hAnsi="Arial" w:cs="Arial"/>
          <w:b/>
          <w:color w:val="auto"/>
          <w:sz w:val="24"/>
          <w:szCs w:val="24"/>
          <w:lang w:eastAsia="en-US"/>
        </w:rPr>
        <w:tab/>
        <w:t>DISSEMINATION, ACCESS &amp; TRAINING</w:t>
      </w:r>
      <w:bookmarkEnd w:id="34"/>
    </w:p>
    <w:p w14:paraId="6F60C2C4" w14:textId="77777777" w:rsidR="00B11B6B" w:rsidRDefault="00B11B6B">
      <w:pPr>
        <w:pStyle w:val="Default"/>
        <w:ind w:left="720"/>
        <w:contextualSpacing/>
        <w:rPr>
          <w:sz w:val="22"/>
          <w:szCs w:val="22"/>
        </w:rPr>
      </w:pPr>
    </w:p>
    <w:p w14:paraId="6E1CC4F3" w14:textId="77777777" w:rsidR="00B11B6B" w:rsidRDefault="00B11B6B">
      <w:pPr>
        <w:pStyle w:val="Default"/>
        <w:ind w:left="720"/>
        <w:contextualSpacing/>
        <w:rPr>
          <w:iCs/>
          <w:color w:val="auto"/>
          <w:sz w:val="22"/>
          <w:szCs w:val="22"/>
        </w:rPr>
      </w:pPr>
      <w:r w:rsidRPr="0020722C">
        <w:rPr>
          <w:iCs/>
          <w:color w:val="auto"/>
          <w:sz w:val="22"/>
          <w:szCs w:val="22"/>
        </w:rPr>
        <w:t>This policy will be published on the CCG’s intranet and or internet and disseminated to all CCG staff via the global newsletter.</w:t>
      </w:r>
    </w:p>
    <w:p w14:paraId="60BC8B4C" w14:textId="77777777" w:rsidR="0020722C" w:rsidRDefault="0020722C">
      <w:pPr>
        <w:pStyle w:val="Default"/>
        <w:ind w:left="720"/>
        <w:contextualSpacing/>
        <w:rPr>
          <w:iCs/>
          <w:color w:val="auto"/>
          <w:sz w:val="22"/>
          <w:szCs w:val="22"/>
        </w:rPr>
      </w:pPr>
    </w:p>
    <w:p w14:paraId="1B03A1FD" w14:textId="361B8EB7" w:rsidR="00B11B6B" w:rsidRPr="004C07C5" w:rsidRDefault="0020722C" w:rsidP="004C07C5">
      <w:pPr>
        <w:pStyle w:val="Default"/>
        <w:ind w:left="720"/>
        <w:contextualSpacing/>
        <w:rPr>
          <w:iCs/>
        </w:rPr>
      </w:pPr>
      <w:r>
        <w:rPr>
          <w:iCs/>
          <w:color w:val="auto"/>
          <w:sz w:val="22"/>
          <w:szCs w:val="22"/>
        </w:rPr>
        <w:t xml:space="preserve">Training requirements associated with this policy are communicated directly to the staff that require EPRR specific training, and on-call directors will be invited to attend exercises and training sessions as they are planned. </w:t>
      </w:r>
    </w:p>
    <w:p w14:paraId="756A1FDA" w14:textId="59229412" w:rsidR="00B11B6B" w:rsidRDefault="00B11B6B">
      <w:pPr>
        <w:pStyle w:val="Heading1"/>
      </w:pPr>
      <w:bookmarkStart w:id="35" w:name="_Toc70604993"/>
      <w:r>
        <w:rPr>
          <w:rFonts w:ascii="Arial" w:eastAsia="Calibri" w:hAnsi="Arial" w:cs="Arial"/>
          <w:b/>
          <w:color w:val="auto"/>
          <w:sz w:val="24"/>
          <w:szCs w:val="24"/>
          <w:lang w:eastAsia="en-US"/>
        </w:rPr>
        <w:t>1</w:t>
      </w:r>
      <w:r w:rsidR="004C07C5">
        <w:rPr>
          <w:rFonts w:ascii="Arial" w:eastAsia="Calibri" w:hAnsi="Arial" w:cs="Arial"/>
          <w:b/>
          <w:color w:val="auto"/>
          <w:sz w:val="24"/>
          <w:szCs w:val="24"/>
          <w:lang w:eastAsia="en-US"/>
        </w:rPr>
        <w:t>5</w:t>
      </w:r>
      <w:r>
        <w:rPr>
          <w:rFonts w:ascii="Arial" w:eastAsia="Calibri" w:hAnsi="Arial" w:cs="Arial"/>
          <w:b/>
          <w:color w:val="auto"/>
          <w:sz w:val="24"/>
          <w:szCs w:val="24"/>
          <w:lang w:eastAsia="en-US"/>
        </w:rPr>
        <w:t>.0</w:t>
      </w:r>
      <w:r>
        <w:rPr>
          <w:rFonts w:ascii="Arial" w:eastAsia="Calibri" w:hAnsi="Arial" w:cs="Arial"/>
          <w:b/>
          <w:color w:val="auto"/>
          <w:sz w:val="24"/>
          <w:szCs w:val="24"/>
          <w:lang w:eastAsia="en-US"/>
        </w:rPr>
        <w:tab/>
      </w:r>
      <w:r>
        <w:rPr>
          <w:rFonts w:ascii="Arial" w:hAnsi="Arial" w:cs="Arial"/>
          <w:b/>
          <w:color w:val="auto"/>
          <w:sz w:val="24"/>
          <w:szCs w:val="24"/>
        </w:rPr>
        <w:t>REVIEW, MONITORING AND COMPLIANCE</w:t>
      </w:r>
      <w:bookmarkEnd w:id="35"/>
    </w:p>
    <w:p w14:paraId="0354F033" w14:textId="77777777" w:rsidR="00B11B6B" w:rsidRDefault="00B11B6B">
      <w:pPr>
        <w:pStyle w:val="Default"/>
        <w:rPr>
          <w:sz w:val="22"/>
          <w:szCs w:val="22"/>
        </w:rPr>
      </w:pPr>
    </w:p>
    <w:p w14:paraId="6C8F8DB2" w14:textId="77777777" w:rsidR="00B11B6B" w:rsidRPr="0020722C" w:rsidRDefault="00B11B6B">
      <w:pPr>
        <w:pStyle w:val="Default"/>
        <w:ind w:left="1256" w:hanging="536"/>
      </w:pPr>
      <w:r w:rsidRPr="0020722C">
        <w:rPr>
          <w:sz w:val="22"/>
          <w:szCs w:val="22"/>
        </w:rPr>
        <w:t>14.1</w:t>
      </w:r>
      <w:r w:rsidRPr="0020722C">
        <w:rPr>
          <w:sz w:val="22"/>
          <w:szCs w:val="22"/>
        </w:rPr>
        <w:tab/>
        <w:t>The effectiveness of this policy will be monitored by the Corporate Assurance Officer and reported to the Chief Finance Officer.</w:t>
      </w:r>
    </w:p>
    <w:p w14:paraId="5A3BD635" w14:textId="77777777" w:rsidR="00B11B6B" w:rsidRPr="0020722C" w:rsidRDefault="00B11B6B">
      <w:pPr>
        <w:pStyle w:val="Default"/>
        <w:ind w:left="1256" w:hanging="536"/>
        <w:rPr>
          <w:sz w:val="22"/>
          <w:szCs w:val="22"/>
        </w:rPr>
      </w:pPr>
    </w:p>
    <w:p w14:paraId="3A2BD333" w14:textId="5A3ECC49" w:rsidR="00B11B6B" w:rsidRPr="004C07C5" w:rsidRDefault="004E72C3" w:rsidP="004C07C5">
      <w:pPr>
        <w:pStyle w:val="Default"/>
        <w:ind w:left="1256" w:hanging="547"/>
      </w:pPr>
      <w:r w:rsidRPr="0020722C">
        <w:rPr>
          <w:sz w:val="22"/>
          <w:szCs w:val="22"/>
        </w:rPr>
        <w:t>14.2 This</w:t>
      </w:r>
      <w:r w:rsidR="00B11B6B" w:rsidRPr="0020722C">
        <w:rPr>
          <w:sz w:val="22"/>
          <w:szCs w:val="22"/>
        </w:rPr>
        <w:t xml:space="preserve"> policy may be reviewed at any time at the request of either staff side or </w:t>
      </w:r>
      <w:r w:rsidR="004C07C5" w:rsidRPr="0020722C">
        <w:rPr>
          <w:sz w:val="22"/>
          <w:szCs w:val="22"/>
        </w:rPr>
        <w:t>management but</w:t>
      </w:r>
      <w:r w:rsidR="00B11B6B" w:rsidRPr="0020722C">
        <w:rPr>
          <w:sz w:val="22"/>
          <w:szCs w:val="22"/>
        </w:rPr>
        <w:t xml:space="preserve"> will automatically be reviewed after the first twelve months and thereafter </w:t>
      </w:r>
      <w:r w:rsidR="0020722C" w:rsidRPr="0020722C">
        <w:rPr>
          <w:sz w:val="22"/>
          <w:szCs w:val="22"/>
        </w:rPr>
        <w:t>every two years</w:t>
      </w:r>
      <w:r w:rsidR="00B11B6B" w:rsidRPr="0020722C">
        <w:rPr>
          <w:sz w:val="22"/>
          <w:szCs w:val="22"/>
        </w:rPr>
        <w:t xml:space="preserve"> from the date of approval or as and when statutory changes are required.</w:t>
      </w:r>
    </w:p>
    <w:p w14:paraId="6DF7F545" w14:textId="022B8063" w:rsidR="0020722C" w:rsidRPr="004C07C5" w:rsidRDefault="00F54787" w:rsidP="00F54787">
      <w:pPr>
        <w:pStyle w:val="Heading1"/>
        <w:numPr>
          <w:ilvl w:val="0"/>
          <w:numId w:val="28"/>
        </w:numPr>
        <w:rPr>
          <w:rFonts w:ascii="Arial" w:hAnsi="Arial" w:cs="Arial"/>
          <w:b/>
          <w:color w:val="000000"/>
          <w:sz w:val="24"/>
          <w:szCs w:val="24"/>
        </w:rPr>
      </w:pPr>
      <w:bookmarkStart w:id="36" w:name="_Toc70604994"/>
      <w:r>
        <w:rPr>
          <w:rFonts w:ascii="Arial" w:hAnsi="Arial" w:cs="Arial"/>
          <w:b/>
          <w:color w:val="000000"/>
          <w:sz w:val="24"/>
          <w:szCs w:val="24"/>
        </w:rPr>
        <w:t xml:space="preserve">   </w:t>
      </w:r>
      <w:r w:rsidR="00B11B6B" w:rsidRPr="00C12A16">
        <w:rPr>
          <w:rFonts w:ascii="Arial" w:hAnsi="Arial" w:cs="Arial"/>
          <w:b/>
          <w:color w:val="000000"/>
          <w:sz w:val="24"/>
          <w:szCs w:val="24"/>
        </w:rPr>
        <w:t>REFERENCES AND LINKS TO OTHER DOCUMENTS (for this policy)</w:t>
      </w:r>
      <w:bookmarkEnd w:id="36"/>
    </w:p>
    <w:p w14:paraId="5C8949BB" w14:textId="77777777" w:rsidR="0020722C" w:rsidRDefault="0020722C" w:rsidP="0020722C">
      <w:pPr>
        <w:numPr>
          <w:ilvl w:val="0"/>
          <w:numId w:val="26"/>
        </w:numPr>
      </w:pPr>
      <w:r>
        <w:t xml:space="preserve">NELCCG Business Continuity Policy </w:t>
      </w:r>
    </w:p>
    <w:p w14:paraId="19DE79E8" w14:textId="77777777" w:rsidR="0020722C" w:rsidRPr="0020722C" w:rsidRDefault="0020722C" w:rsidP="0020722C">
      <w:pPr>
        <w:numPr>
          <w:ilvl w:val="0"/>
          <w:numId w:val="26"/>
        </w:numPr>
      </w:pPr>
      <w:hyperlink r:id="rId9" w:history="1">
        <w:r>
          <w:rPr>
            <w:rStyle w:val="Hyperlink"/>
            <w:lang w:val="en-US"/>
          </w:rPr>
          <w:t>NHS England Emergency Preparedness, Resilience and R</w:t>
        </w:r>
        <w:r>
          <w:rPr>
            <w:rStyle w:val="Hyperlink"/>
            <w:lang w:val="en-US"/>
          </w:rPr>
          <w:t>esponse Framework 2015</w:t>
        </w:r>
      </w:hyperlink>
    </w:p>
    <w:p w14:paraId="06F76D23" w14:textId="77777777" w:rsidR="0020722C" w:rsidRPr="0020722C" w:rsidRDefault="0020722C" w:rsidP="0020722C">
      <w:pPr>
        <w:numPr>
          <w:ilvl w:val="0"/>
          <w:numId w:val="26"/>
        </w:numPr>
      </w:pPr>
      <w:r>
        <w:rPr>
          <w:lang w:val="en-US"/>
        </w:rPr>
        <w:t xml:space="preserve">NHS Act 2006: </w:t>
      </w:r>
      <w:hyperlink r:id="rId10" w:history="1">
        <w:r w:rsidRPr="00B23C3F">
          <w:rPr>
            <w:rStyle w:val="Hyperlink"/>
            <w:lang w:val="en-US"/>
          </w:rPr>
          <w:t>https://www.legislation.gov.uk/ukpga/2006/41/contents</w:t>
        </w:r>
      </w:hyperlink>
      <w:r>
        <w:rPr>
          <w:lang w:val="en-US"/>
        </w:rPr>
        <w:t xml:space="preserve"> </w:t>
      </w:r>
    </w:p>
    <w:p w14:paraId="5D227F80" w14:textId="77777777" w:rsidR="0020722C" w:rsidRDefault="0020722C" w:rsidP="0020722C">
      <w:pPr>
        <w:numPr>
          <w:ilvl w:val="0"/>
          <w:numId w:val="26"/>
        </w:numPr>
      </w:pPr>
      <w:r>
        <w:rPr>
          <w:lang w:val="en-US"/>
        </w:rPr>
        <w:t>Civil Contingencies Act 2004:</w:t>
      </w:r>
      <w:r>
        <w:t xml:space="preserve"> </w:t>
      </w:r>
      <w:hyperlink r:id="rId11" w:history="1">
        <w:r w:rsidRPr="00B23C3F">
          <w:rPr>
            <w:rStyle w:val="Hyperlink"/>
          </w:rPr>
          <w:t>https://www.legislation.gov.uk/ukpga/2004/36/contents</w:t>
        </w:r>
      </w:hyperlink>
      <w:r>
        <w:t xml:space="preserve"> </w:t>
      </w:r>
    </w:p>
    <w:p w14:paraId="0F823CA7" w14:textId="77777777" w:rsidR="0020722C" w:rsidRDefault="0020722C" w:rsidP="0020722C">
      <w:pPr>
        <w:numPr>
          <w:ilvl w:val="0"/>
          <w:numId w:val="26"/>
        </w:numPr>
      </w:pPr>
      <w:r>
        <w:t>Humber On-call Policy</w:t>
      </w:r>
    </w:p>
    <w:p w14:paraId="125D7C68" w14:textId="77777777" w:rsidR="0020722C" w:rsidRPr="0020722C" w:rsidRDefault="0020722C" w:rsidP="0020722C">
      <w:pPr>
        <w:numPr>
          <w:ilvl w:val="0"/>
          <w:numId w:val="26"/>
        </w:numPr>
      </w:pPr>
      <w:r>
        <w:t>Humber On-call Pack (Grab Pack and Induction Pack)</w:t>
      </w:r>
    </w:p>
    <w:p w14:paraId="277A5BED" w14:textId="77777777" w:rsidR="00B11B6B" w:rsidRDefault="00B11B6B">
      <w:pPr>
        <w:pStyle w:val="Default"/>
        <w:ind w:left="465"/>
        <w:rPr>
          <w:sz w:val="22"/>
          <w:szCs w:val="22"/>
        </w:rPr>
      </w:pPr>
    </w:p>
    <w:sectPr w:rsidR="00B11B6B">
      <w:headerReference w:type="default" r:id="rId12"/>
      <w:footerReference w:type="default" r:id="rId13"/>
      <w:headerReference w:type="first" r:id="rId14"/>
      <w:pgSz w:w="11906" w:h="16838"/>
      <w:pgMar w:top="1440" w:right="1440" w:bottom="1440" w:left="1440" w:header="709" w:footer="709" w:gutter="0"/>
      <w:cols w:space="72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3320C" w14:textId="77777777" w:rsidR="0083606C" w:rsidRDefault="0083606C">
      <w:pPr>
        <w:spacing w:before="0" w:after="0"/>
      </w:pPr>
      <w:r>
        <w:separator/>
      </w:r>
    </w:p>
  </w:endnote>
  <w:endnote w:type="continuationSeparator" w:id="0">
    <w:p w14:paraId="51DB4AA7" w14:textId="77777777" w:rsidR="0083606C" w:rsidRDefault="008360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588">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66D7" w14:textId="77777777" w:rsidR="001B1D3C" w:rsidRPr="00406B29" w:rsidRDefault="001B1D3C">
    <w:pPr>
      <w:pStyle w:val="Footer"/>
      <w:jc w:val="left"/>
      <w:rPr>
        <w:iCs/>
      </w:rPr>
    </w:pPr>
    <w:r w:rsidRPr="00406B29">
      <w:rPr>
        <w:rFonts w:eastAsia="Calibri" w:cs="Arial"/>
        <w:b/>
        <w:iCs/>
        <w:sz w:val="20"/>
        <w:szCs w:val="20"/>
        <w:lang w:eastAsia="en-US"/>
      </w:rPr>
      <w:t>North East Lincolnshire CCG EPRR Policy and Framework</w:t>
    </w:r>
    <w:r w:rsidRPr="00406B29">
      <w:rPr>
        <w:iCs/>
        <w:sz w:val="16"/>
        <w:szCs w:val="16"/>
      </w:rPr>
      <w:t xml:space="preserve"> </w:t>
    </w:r>
    <w:r w:rsidRPr="00406B29">
      <w:rPr>
        <w:iCs/>
        <w:sz w:val="16"/>
        <w:szCs w:val="16"/>
      </w:rPr>
      <w:tab/>
    </w:r>
    <w:r w:rsidRPr="00406B29">
      <w:rPr>
        <w:iCs/>
        <w:sz w:val="16"/>
        <w:szCs w:val="16"/>
      </w:rPr>
      <w:tab/>
      <w:t xml:space="preserve">Page </w:t>
    </w:r>
    <w:r w:rsidRPr="00406B29">
      <w:rPr>
        <w:bCs/>
        <w:iCs/>
        <w:sz w:val="16"/>
        <w:szCs w:val="16"/>
      </w:rPr>
      <w:fldChar w:fldCharType="begin"/>
    </w:r>
    <w:r w:rsidRPr="00406B29">
      <w:rPr>
        <w:bCs/>
        <w:iCs/>
        <w:sz w:val="16"/>
        <w:szCs w:val="16"/>
      </w:rPr>
      <w:instrText xml:space="preserve"> PAGE </w:instrText>
    </w:r>
    <w:r w:rsidRPr="00406B29">
      <w:rPr>
        <w:bCs/>
        <w:iCs/>
        <w:sz w:val="16"/>
        <w:szCs w:val="16"/>
      </w:rPr>
      <w:fldChar w:fldCharType="separate"/>
    </w:r>
    <w:r w:rsidRPr="00406B29">
      <w:rPr>
        <w:bCs/>
        <w:iCs/>
        <w:sz w:val="16"/>
        <w:szCs w:val="16"/>
      </w:rPr>
      <w:t>8</w:t>
    </w:r>
    <w:r w:rsidRPr="00406B29">
      <w:rPr>
        <w:bCs/>
        <w:iCs/>
        <w:sz w:val="16"/>
        <w:szCs w:val="16"/>
      </w:rPr>
      <w:fldChar w:fldCharType="end"/>
    </w:r>
    <w:r w:rsidRPr="00406B29">
      <w:rPr>
        <w:iCs/>
        <w:sz w:val="16"/>
        <w:szCs w:val="16"/>
      </w:rPr>
      <w:t xml:space="preserve"> of </w:t>
    </w:r>
    <w:r w:rsidRPr="00406B29">
      <w:rPr>
        <w:bCs/>
        <w:iCs/>
        <w:sz w:val="16"/>
        <w:szCs w:val="16"/>
      </w:rPr>
      <w:fldChar w:fldCharType="begin"/>
    </w:r>
    <w:r w:rsidRPr="00406B29">
      <w:rPr>
        <w:bCs/>
        <w:iCs/>
        <w:sz w:val="16"/>
        <w:szCs w:val="16"/>
      </w:rPr>
      <w:instrText xml:space="preserve"> NUMPAGES </w:instrText>
    </w:r>
    <w:r w:rsidRPr="00406B29">
      <w:rPr>
        <w:bCs/>
        <w:iCs/>
        <w:sz w:val="16"/>
        <w:szCs w:val="16"/>
      </w:rPr>
      <w:fldChar w:fldCharType="separate"/>
    </w:r>
    <w:r w:rsidRPr="00406B29">
      <w:rPr>
        <w:bCs/>
        <w:iCs/>
        <w:sz w:val="16"/>
        <w:szCs w:val="16"/>
      </w:rPr>
      <w:t>8</w:t>
    </w:r>
    <w:r w:rsidRPr="00406B29">
      <w:rPr>
        <w:bCs/>
        <w:iCs/>
        <w:sz w:val="16"/>
        <w:szCs w:val="16"/>
      </w:rPr>
      <w:fldChar w:fldCharType="end"/>
    </w:r>
  </w:p>
  <w:p w14:paraId="57752710" w14:textId="77777777" w:rsidR="001B1D3C" w:rsidRDefault="001B1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D4125" w14:textId="77777777" w:rsidR="0083606C" w:rsidRDefault="0083606C">
      <w:pPr>
        <w:spacing w:before="0" w:after="0"/>
      </w:pPr>
      <w:r>
        <w:separator/>
      </w:r>
    </w:p>
  </w:footnote>
  <w:footnote w:type="continuationSeparator" w:id="0">
    <w:p w14:paraId="50E3FBC3" w14:textId="77777777" w:rsidR="0083606C" w:rsidRDefault="0083606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D34B" w14:textId="77777777" w:rsidR="001B1D3C" w:rsidRDefault="001B1D3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977E" w14:textId="3578E707" w:rsidR="001B1D3C" w:rsidRDefault="00FD1F5A">
    <w:pPr>
      <w:pStyle w:val="Header"/>
      <w:jc w:val="right"/>
    </w:pPr>
    <w:r>
      <w:rPr>
        <w:noProof/>
      </w:rPr>
      <w:drawing>
        <wp:inline distT="0" distB="0" distL="0" distR="0" wp14:anchorId="32CB600C" wp14:editId="1910D2EF">
          <wp:extent cx="201168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73152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bullet"/>
      <w:lvlText w:val=""/>
      <w:lvlJc w:val="left"/>
      <w:pPr>
        <w:tabs>
          <w:tab w:val="num" w:pos="-720"/>
        </w:tabs>
        <w:ind w:left="420" w:hanging="360"/>
      </w:pPr>
      <w:rPr>
        <w:rFonts w:ascii="Symbol" w:hAnsi="Symbol"/>
      </w:rPr>
    </w:lvl>
    <w:lvl w:ilvl="1">
      <w:start w:val="1"/>
      <w:numFmt w:val="bullet"/>
      <w:lvlText w:val="o"/>
      <w:lvlJc w:val="left"/>
      <w:pPr>
        <w:tabs>
          <w:tab w:val="num" w:pos="-720"/>
        </w:tabs>
        <w:ind w:left="1140" w:hanging="360"/>
      </w:pPr>
      <w:rPr>
        <w:rFonts w:ascii="Courier New" w:hAnsi="Courier New" w:cs="Courier New"/>
      </w:rPr>
    </w:lvl>
    <w:lvl w:ilvl="2">
      <w:start w:val="1"/>
      <w:numFmt w:val="bullet"/>
      <w:lvlText w:val=""/>
      <w:lvlJc w:val="left"/>
      <w:pPr>
        <w:tabs>
          <w:tab w:val="num" w:pos="-720"/>
        </w:tabs>
        <w:ind w:left="1860" w:hanging="360"/>
      </w:pPr>
      <w:rPr>
        <w:rFonts w:ascii="Wingdings" w:hAnsi="Wingdings"/>
      </w:rPr>
    </w:lvl>
    <w:lvl w:ilvl="3">
      <w:start w:val="1"/>
      <w:numFmt w:val="bullet"/>
      <w:lvlText w:val=""/>
      <w:lvlJc w:val="left"/>
      <w:pPr>
        <w:tabs>
          <w:tab w:val="num" w:pos="-720"/>
        </w:tabs>
        <w:ind w:left="2580" w:hanging="360"/>
      </w:pPr>
      <w:rPr>
        <w:rFonts w:ascii="Symbol" w:hAnsi="Symbol"/>
      </w:rPr>
    </w:lvl>
    <w:lvl w:ilvl="4">
      <w:start w:val="1"/>
      <w:numFmt w:val="bullet"/>
      <w:lvlText w:val="o"/>
      <w:lvlJc w:val="left"/>
      <w:pPr>
        <w:tabs>
          <w:tab w:val="num" w:pos="-720"/>
        </w:tabs>
        <w:ind w:left="3300" w:hanging="360"/>
      </w:pPr>
      <w:rPr>
        <w:rFonts w:ascii="Courier New" w:hAnsi="Courier New" w:cs="Courier New"/>
      </w:rPr>
    </w:lvl>
    <w:lvl w:ilvl="5">
      <w:start w:val="1"/>
      <w:numFmt w:val="bullet"/>
      <w:lvlText w:val=""/>
      <w:lvlJc w:val="left"/>
      <w:pPr>
        <w:tabs>
          <w:tab w:val="num" w:pos="-720"/>
        </w:tabs>
        <w:ind w:left="4020" w:hanging="360"/>
      </w:pPr>
      <w:rPr>
        <w:rFonts w:ascii="Wingdings" w:hAnsi="Wingdings"/>
      </w:rPr>
    </w:lvl>
    <w:lvl w:ilvl="6">
      <w:start w:val="1"/>
      <w:numFmt w:val="bullet"/>
      <w:lvlText w:val=""/>
      <w:lvlJc w:val="left"/>
      <w:pPr>
        <w:tabs>
          <w:tab w:val="num" w:pos="-720"/>
        </w:tabs>
        <w:ind w:left="4740" w:hanging="360"/>
      </w:pPr>
      <w:rPr>
        <w:rFonts w:ascii="Symbol" w:hAnsi="Symbol"/>
      </w:rPr>
    </w:lvl>
    <w:lvl w:ilvl="7">
      <w:start w:val="1"/>
      <w:numFmt w:val="bullet"/>
      <w:lvlText w:val="o"/>
      <w:lvlJc w:val="left"/>
      <w:pPr>
        <w:tabs>
          <w:tab w:val="num" w:pos="-720"/>
        </w:tabs>
        <w:ind w:left="5460" w:hanging="360"/>
      </w:pPr>
      <w:rPr>
        <w:rFonts w:ascii="Courier New" w:hAnsi="Courier New" w:cs="Courier New"/>
      </w:rPr>
    </w:lvl>
    <w:lvl w:ilvl="8">
      <w:start w:val="1"/>
      <w:numFmt w:val="bullet"/>
      <w:lvlText w:val=""/>
      <w:lvlJc w:val="left"/>
      <w:pPr>
        <w:tabs>
          <w:tab w:val="num" w:pos="-720"/>
        </w:tabs>
        <w:ind w:left="6180" w:hanging="360"/>
      </w:pPr>
      <w:rPr>
        <w:rFonts w:ascii="Wingdings" w:hAnsi="Wingdings"/>
      </w:rPr>
    </w:lvl>
  </w:abstractNum>
  <w:abstractNum w:abstractNumId="1" w15:restartNumberingAfterBreak="0">
    <w:nsid w:val="00000002"/>
    <w:multiLevelType w:val="multilevel"/>
    <w:tmpl w:val="00000002"/>
    <w:name w:val="WWNum6"/>
    <w:lvl w:ilvl="0">
      <w:start w:val="1"/>
      <w:numFmt w:val="decimal"/>
      <w:lvlText w:val="%1.0"/>
      <w:lvlJc w:val="left"/>
      <w:pPr>
        <w:tabs>
          <w:tab w:val="num" w:pos="0"/>
        </w:tabs>
        <w:ind w:left="720" w:hanging="720"/>
      </w:pPr>
      <w:rPr>
        <w:rFonts w:ascii="Arial" w:hAnsi="Arial"/>
        <w:b/>
        <w:sz w:val="24"/>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520" w:hanging="108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4320" w:hanging="1440"/>
      </w:pPr>
    </w:lvl>
    <w:lvl w:ilvl="5">
      <w:start w:val="1"/>
      <w:numFmt w:val="decimal"/>
      <w:lvlText w:val="%1.%2.%3.%4.%5.%6"/>
      <w:lvlJc w:val="left"/>
      <w:pPr>
        <w:tabs>
          <w:tab w:val="num" w:pos="0"/>
        </w:tabs>
        <w:ind w:left="5400" w:hanging="180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7200" w:hanging="2160"/>
      </w:pPr>
    </w:lvl>
    <w:lvl w:ilvl="8">
      <w:start w:val="1"/>
      <w:numFmt w:val="decimal"/>
      <w:lvlText w:val="%1.%2.%3.%4.%5.%6.%7.%8.%9"/>
      <w:lvlJc w:val="left"/>
      <w:pPr>
        <w:tabs>
          <w:tab w:val="num" w:pos="0"/>
        </w:tabs>
        <w:ind w:left="8280" w:hanging="2520"/>
      </w:pPr>
    </w:lvl>
  </w:abstractNum>
  <w:abstractNum w:abstractNumId="2" w15:restartNumberingAfterBreak="0">
    <w:nsid w:val="00000003"/>
    <w:multiLevelType w:val="multilevel"/>
    <w:tmpl w:val="3C12F6E2"/>
    <w:name w:val="WWNum8"/>
    <w:lvl w:ilvl="0">
      <w:start w:val="5"/>
      <w:numFmt w:val="decimal"/>
      <w:lvlText w:val="%1.0"/>
      <w:lvlJc w:val="left"/>
      <w:pPr>
        <w:tabs>
          <w:tab w:val="num" w:pos="0"/>
        </w:tabs>
        <w:ind w:left="1080" w:hanging="360"/>
      </w:pPr>
      <w:rPr>
        <w:rFonts w:ascii="Arial" w:hAnsi="Arial" w:cs="Arial" w:hint="default"/>
        <w:b/>
        <w:bCs/>
        <w:color w:val="000000"/>
        <w:sz w:val="24"/>
        <w:szCs w:val="24"/>
      </w:r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600" w:hanging="720"/>
      </w:pPr>
    </w:lvl>
    <w:lvl w:ilvl="4">
      <w:start w:val="1"/>
      <w:numFmt w:val="decimal"/>
      <w:lvlText w:val="%1.%2.%3.%4.%5"/>
      <w:lvlJc w:val="left"/>
      <w:pPr>
        <w:tabs>
          <w:tab w:val="num" w:pos="0"/>
        </w:tabs>
        <w:ind w:left="4680" w:hanging="1080"/>
      </w:pPr>
    </w:lvl>
    <w:lvl w:ilvl="5">
      <w:start w:val="1"/>
      <w:numFmt w:val="decimal"/>
      <w:lvlText w:val="%1.%2.%3.%4.%5.%6"/>
      <w:lvlJc w:val="left"/>
      <w:pPr>
        <w:tabs>
          <w:tab w:val="num" w:pos="0"/>
        </w:tabs>
        <w:ind w:left="5400" w:hanging="1080"/>
      </w:pPr>
    </w:lvl>
    <w:lvl w:ilvl="6">
      <w:start w:val="1"/>
      <w:numFmt w:val="decimal"/>
      <w:lvlText w:val="%1.%2.%3.%4.%5.%6.%7"/>
      <w:lvlJc w:val="left"/>
      <w:pPr>
        <w:tabs>
          <w:tab w:val="num" w:pos="0"/>
        </w:tabs>
        <w:ind w:left="6480" w:hanging="1440"/>
      </w:pPr>
    </w:lvl>
    <w:lvl w:ilvl="7">
      <w:start w:val="1"/>
      <w:numFmt w:val="decimal"/>
      <w:lvlText w:val="%1.%2.%3.%4.%5.%6.%7.%8"/>
      <w:lvlJc w:val="left"/>
      <w:pPr>
        <w:tabs>
          <w:tab w:val="num" w:pos="0"/>
        </w:tabs>
        <w:ind w:left="7200" w:hanging="1440"/>
      </w:pPr>
    </w:lvl>
    <w:lvl w:ilvl="8">
      <w:start w:val="1"/>
      <w:numFmt w:val="decimal"/>
      <w:lvlText w:val="%1.%2.%3.%4.%5.%6.%7.%8.%9"/>
      <w:lvlJc w:val="left"/>
      <w:pPr>
        <w:tabs>
          <w:tab w:val="num" w:pos="0"/>
        </w:tabs>
        <w:ind w:left="8280" w:hanging="1800"/>
      </w:pPr>
    </w:lvl>
  </w:abstractNum>
  <w:abstractNum w:abstractNumId="3" w15:restartNumberingAfterBreak="0">
    <w:nsid w:val="00000004"/>
    <w:multiLevelType w:val="multilevel"/>
    <w:tmpl w:val="00000004"/>
    <w:name w:val="WWNum9"/>
    <w:lvl w:ilvl="0">
      <w:start w:val="15"/>
      <w:numFmt w:val="decimal"/>
      <w:lvlText w:val="%1.0"/>
      <w:lvlJc w:val="left"/>
      <w:pPr>
        <w:tabs>
          <w:tab w:val="num" w:pos="0"/>
        </w:tabs>
        <w:ind w:left="465" w:hanging="465"/>
      </w:pPr>
    </w:lvl>
    <w:lvl w:ilvl="1">
      <w:start w:val="1"/>
      <w:numFmt w:val="decimal"/>
      <w:lvlText w:val="%1.%2"/>
      <w:lvlJc w:val="left"/>
      <w:pPr>
        <w:tabs>
          <w:tab w:val="num" w:pos="0"/>
        </w:tabs>
        <w:ind w:left="1185" w:hanging="465"/>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DAE7745"/>
    <w:multiLevelType w:val="hybridMultilevel"/>
    <w:tmpl w:val="B9BE54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6B95A49"/>
    <w:multiLevelType w:val="hybridMultilevel"/>
    <w:tmpl w:val="D5F819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7D57D97"/>
    <w:multiLevelType w:val="hybridMultilevel"/>
    <w:tmpl w:val="9DB833C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7D9198F"/>
    <w:multiLevelType w:val="hybridMultilevel"/>
    <w:tmpl w:val="7F98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7A0EEC"/>
    <w:multiLevelType w:val="hybridMultilevel"/>
    <w:tmpl w:val="7256B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990FA0"/>
    <w:multiLevelType w:val="hybridMultilevel"/>
    <w:tmpl w:val="341A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1050B4"/>
    <w:multiLevelType w:val="hybridMultilevel"/>
    <w:tmpl w:val="545A71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5240E6B"/>
    <w:multiLevelType w:val="hybridMultilevel"/>
    <w:tmpl w:val="2A8E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1A5E15"/>
    <w:multiLevelType w:val="hybridMultilevel"/>
    <w:tmpl w:val="A0ECECFA"/>
    <w:lvl w:ilvl="0" w:tplc="F84401A6">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F4FC9"/>
    <w:multiLevelType w:val="hybridMultilevel"/>
    <w:tmpl w:val="4E963578"/>
    <w:lvl w:ilvl="0" w:tplc="1BD4D82A">
      <w:start w:val="3"/>
      <w:numFmt w:val="bullet"/>
      <w:lvlText w:val="-"/>
      <w:lvlJc w:val="left"/>
      <w:pPr>
        <w:ind w:left="1440" w:hanging="360"/>
      </w:pPr>
      <w:rPr>
        <w:rFonts w:ascii="Calibri" w:eastAsia="Calibr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9B2290C"/>
    <w:multiLevelType w:val="multilevel"/>
    <w:tmpl w:val="72BAE28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Calibri" w:hAnsi="Calibr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6F026DF"/>
    <w:multiLevelType w:val="multilevel"/>
    <w:tmpl w:val="B57271E0"/>
    <w:lvl w:ilvl="0">
      <w:start w:val="2"/>
      <w:numFmt w:val="decimal"/>
      <w:lvlText w:val="%1"/>
      <w:lvlJc w:val="left"/>
      <w:pPr>
        <w:ind w:left="360" w:hanging="360"/>
      </w:pPr>
      <w:rPr>
        <w:rFonts w:ascii="Calibri" w:hAnsi="Calibri" w:hint="default"/>
      </w:rPr>
    </w:lvl>
    <w:lvl w:ilvl="1">
      <w:start w:val="1"/>
      <w:numFmt w:val="decimal"/>
      <w:lvlText w:val="%1.%2"/>
      <w:lvlJc w:val="left"/>
      <w:pPr>
        <w:ind w:left="720" w:hanging="360"/>
      </w:pPr>
      <w:rPr>
        <w:rFonts w:ascii="Calibri" w:hAnsi="Calibri"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2F4292A"/>
    <w:multiLevelType w:val="hybridMultilevel"/>
    <w:tmpl w:val="B7D279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66533AD"/>
    <w:multiLevelType w:val="hybridMultilevel"/>
    <w:tmpl w:val="2F60E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5D4883"/>
    <w:multiLevelType w:val="multilevel"/>
    <w:tmpl w:val="2AAC944A"/>
    <w:lvl w:ilvl="0">
      <w:start w:val="16"/>
      <w:numFmt w:val="decimal"/>
      <w:lvlText w:val="%1.0"/>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8F0262C"/>
    <w:multiLevelType w:val="hybridMultilevel"/>
    <w:tmpl w:val="0060A4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AF93C30"/>
    <w:multiLevelType w:val="hybridMultilevel"/>
    <w:tmpl w:val="6B2AC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AF3E51"/>
    <w:multiLevelType w:val="hybridMultilevel"/>
    <w:tmpl w:val="993E72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8391887"/>
    <w:multiLevelType w:val="hybridMultilevel"/>
    <w:tmpl w:val="5DBEC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B515EA2"/>
    <w:multiLevelType w:val="hybridMultilevel"/>
    <w:tmpl w:val="3BCA0978"/>
    <w:lvl w:ilvl="0" w:tplc="1BD4D82A">
      <w:start w:val="3"/>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647CD7"/>
    <w:multiLevelType w:val="hybridMultilevel"/>
    <w:tmpl w:val="8306FFA8"/>
    <w:lvl w:ilvl="0" w:tplc="2DB01A9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7D5A30DF"/>
    <w:multiLevelType w:val="hybridMultilevel"/>
    <w:tmpl w:val="02F259E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EEB4E03"/>
    <w:multiLevelType w:val="hybridMultilevel"/>
    <w:tmpl w:val="503C952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10"/>
  </w:num>
  <w:num w:numId="8">
    <w:abstractNumId w:val="25"/>
  </w:num>
  <w:num w:numId="9">
    <w:abstractNumId w:val="16"/>
  </w:num>
  <w:num w:numId="10">
    <w:abstractNumId w:val="17"/>
  </w:num>
  <w:num w:numId="11">
    <w:abstractNumId w:val="11"/>
  </w:num>
  <w:num w:numId="12">
    <w:abstractNumId w:val="27"/>
  </w:num>
  <w:num w:numId="13">
    <w:abstractNumId w:val="20"/>
  </w:num>
  <w:num w:numId="14">
    <w:abstractNumId w:val="8"/>
  </w:num>
  <w:num w:numId="15">
    <w:abstractNumId w:val="18"/>
  </w:num>
  <w:num w:numId="16">
    <w:abstractNumId w:val="26"/>
  </w:num>
  <w:num w:numId="17">
    <w:abstractNumId w:val="9"/>
  </w:num>
  <w:num w:numId="18">
    <w:abstractNumId w:val="15"/>
  </w:num>
  <w:num w:numId="19">
    <w:abstractNumId w:val="24"/>
  </w:num>
  <w:num w:numId="20">
    <w:abstractNumId w:val="13"/>
  </w:num>
  <w:num w:numId="21">
    <w:abstractNumId w:val="14"/>
  </w:num>
  <w:num w:numId="22">
    <w:abstractNumId w:val="22"/>
  </w:num>
  <w:num w:numId="23">
    <w:abstractNumId w:val="5"/>
  </w:num>
  <w:num w:numId="24">
    <w:abstractNumId w:val="6"/>
  </w:num>
  <w:num w:numId="25">
    <w:abstractNumId w:val="7"/>
  </w:num>
  <w:num w:numId="26">
    <w:abstractNumId w:val="23"/>
  </w:num>
  <w:num w:numId="27">
    <w:abstractNumId w:val="2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619"/>
    <w:rsid w:val="00040719"/>
    <w:rsid w:val="00086FB3"/>
    <w:rsid w:val="001B1D3C"/>
    <w:rsid w:val="001D72A3"/>
    <w:rsid w:val="0020722C"/>
    <w:rsid w:val="002B5BD4"/>
    <w:rsid w:val="00406B29"/>
    <w:rsid w:val="004C07C5"/>
    <w:rsid w:val="004E1299"/>
    <w:rsid w:val="004E72C3"/>
    <w:rsid w:val="005A6D26"/>
    <w:rsid w:val="007654D5"/>
    <w:rsid w:val="007A2C89"/>
    <w:rsid w:val="007C5EB3"/>
    <w:rsid w:val="007F5479"/>
    <w:rsid w:val="0083606C"/>
    <w:rsid w:val="008B4AFB"/>
    <w:rsid w:val="0092094A"/>
    <w:rsid w:val="009821B7"/>
    <w:rsid w:val="00AF3CD1"/>
    <w:rsid w:val="00B11B6B"/>
    <w:rsid w:val="00BD2AA9"/>
    <w:rsid w:val="00C12A16"/>
    <w:rsid w:val="00C32EF7"/>
    <w:rsid w:val="00CB628F"/>
    <w:rsid w:val="00CE50D4"/>
    <w:rsid w:val="00EE44B6"/>
    <w:rsid w:val="00F22A3D"/>
    <w:rsid w:val="00F44619"/>
    <w:rsid w:val="00F54787"/>
    <w:rsid w:val="00FA4AC7"/>
    <w:rsid w:val="00FD1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Straight Arrow Connector 13"/>
        <o:r id="V:Rule2" type="connector" idref="#Straight Arrow Connector 10"/>
        <o:r id="V:Rule3" type="connector" idref="#Straight Arrow Connector 11"/>
        <o:r id="V:Rule4" type="connector" idref="#Straight Arrow Connector 12"/>
        <o:r id="V:Rule5" type="connector" idref="#Straight Arrow Connector 12"/>
        <o:r id="V:Rule6" type="connector" idref="#_x0000_s1046"/>
        <o:r id="V:Rule7" type="connector" idref="#_x0000_s1047"/>
        <o:r id="V:Rule8" type="connector" idref="#_x0000_s1048"/>
      </o:rules>
    </o:shapelayout>
  </w:shapeDefaults>
  <w:doNotEmbedSmartTags/>
  <w:decimalSymbol w:val="."/>
  <w:listSeparator w:val=","/>
  <w14:docId w14:val="1AC4DC85"/>
  <w15:chartTrackingRefBased/>
  <w15:docId w15:val="{B3DA2DE0-E335-4840-AA67-EC5BF474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200" w:after="200"/>
      <w:jc w:val="both"/>
    </w:pPr>
    <w:rPr>
      <w:rFonts w:ascii="Arial" w:hAnsi="Arial"/>
      <w:sz w:val="22"/>
      <w:szCs w:val="24"/>
    </w:rPr>
  </w:style>
  <w:style w:type="paragraph" w:styleId="Heading1">
    <w:name w:val="heading 1"/>
    <w:basedOn w:val="Normal"/>
    <w:next w:val="Normal"/>
    <w:qFormat/>
    <w:pPr>
      <w:keepNext/>
      <w:keepLines/>
      <w:spacing w:before="240" w:after="0"/>
      <w:outlineLvl w:val="0"/>
    </w:pPr>
    <w:rPr>
      <w:rFonts w:ascii="Cambria" w:eastAsia="font588" w:hAnsi="Cambria" w:cs="font588"/>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BalloonTextChar">
    <w:name w:val="Balloon Text Char"/>
    <w:rPr>
      <w:rFonts w:ascii="Tahoma" w:eastAsia="Times New Roman" w:hAnsi="Tahoma" w:cs="Tahoma"/>
      <w:sz w:val="16"/>
      <w:szCs w:val="16"/>
      <w:lang w:eastAsia="en-GB"/>
    </w:rPr>
  </w:style>
  <w:style w:type="character" w:customStyle="1" w:styleId="HeaderChar">
    <w:name w:val="Header Char"/>
    <w:rPr>
      <w:rFonts w:ascii="Arial" w:eastAsia="Times New Roman" w:hAnsi="Arial" w:cs="Times New Roman"/>
      <w:szCs w:val="24"/>
      <w:lang w:eastAsia="en-GB"/>
    </w:rPr>
  </w:style>
  <w:style w:type="character" w:customStyle="1" w:styleId="FooterChar">
    <w:name w:val="Footer Char"/>
    <w:rPr>
      <w:rFonts w:ascii="Arial" w:eastAsia="Times New Roman" w:hAnsi="Arial" w:cs="Times New Roman"/>
      <w:szCs w:val="24"/>
      <w:lang w:eastAsia="en-GB"/>
    </w:rPr>
  </w:style>
  <w:style w:type="character" w:customStyle="1" w:styleId="NoSpacingChar">
    <w:name w:val="No Spacing Char"/>
    <w:basedOn w:val="DefaultParagraphFont0"/>
  </w:style>
  <w:style w:type="character" w:styleId="PlaceholderText">
    <w:name w:val="Placeholder Text"/>
    <w:rPr>
      <w:color w:val="808080"/>
    </w:rPr>
  </w:style>
  <w:style w:type="character" w:customStyle="1" w:styleId="Heading1Char">
    <w:name w:val="Heading 1 Char"/>
    <w:rPr>
      <w:rFonts w:ascii="Cambria" w:eastAsia="font588" w:hAnsi="Cambria" w:cs="font588"/>
      <w:color w:val="365F91"/>
      <w:sz w:val="32"/>
      <w:szCs w:val="32"/>
      <w:lang w:eastAsia="en-GB"/>
    </w:rPr>
  </w:style>
  <w:style w:type="character" w:styleId="Hyperlink">
    <w:name w:val="Hyperlink"/>
    <w:uiPriority w:val="99"/>
    <w:rPr>
      <w:color w:val="0000FF"/>
      <w:u w:val="single"/>
    </w:rPr>
  </w:style>
  <w:style w:type="character" w:customStyle="1" w:styleId="TitleChar">
    <w:name w:val="Title Char"/>
    <w:rPr>
      <w:rFonts w:ascii="Cambria" w:eastAsia="font588" w:hAnsi="Cambria" w:cs="font588"/>
      <w:spacing w:val="-10"/>
      <w:kern w:val="2"/>
      <w:sz w:val="56"/>
      <w:szCs w:val="56"/>
      <w:lang w:eastAsia="en-GB"/>
    </w:rPr>
  </w:style>
  <w:style w:type="character" w:customStyle="1" w:styleId="Style1">
    <w:name w:val="Style1"/>
    <w:rPr>
      <w:rFonts w:ascii="Arial" w:hAnsi="Arial"/>
      <w:sz w:val="40"/>
    </w:rPr>
  </w:style>
  <w:style w:type="character" w:customStyle="1" w:styleId="Style2">
    <w:name w:val="Style2"/>
    <w:rPr>
      <w:rFonts w:ascii="Arial" w:hAnsi="Arial"/>
      <w:b/>
      <w:sz w:val="40"/>
    </w:rPr>
  </w:style>
  <w:style w:type="character" w:customStyle="1" w:styleId="ListLabel1">
    <w:name w:val="ListLabel 1"/>
    <w:rPr>
      <w:b w:val="0"/>
    </w:rPr>
  </w:style>
  <w:style w:type="character" w:customStyle="1" w:styleId="ListLabel2">
    <w:name w:val="ListLabel 2"/>
    <w:rPr>
      <w:i w:val="0"/>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b w:val="0"/>
    </w:rPr>
  </w:style>
  <w:style w:type="character" w:customStyle="1" w:styleId="ListLabel7">
    <w:name w:val="ListLabel 7"/>
    <w:rPr>
      <w:rFonts w:ascii="Arial" w:hAnsi="Arial"/>
      <w:b/>
      <w:color w:val="auto"/>
      <w:sz w:val="24"/>
    </w:rPr>
  </w:style>
  <w:style w:type="character" w:customStyle="1" w:styleId="IndexLink">
    <w:name w:val="Index Link"/>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rPr>
  </w:style>
  <w:style w:type="paragraph" w:customStyle="1" w:styleId="Index">
    <w:name w:val="Index"/>
    <w:basedOn w:val="Normal"/>
    <w:pPr>
      <w:suppressLineNumbers/>
    </w:pPr>
    <w:rPr>
      <w:rFonts w:cs="Arial"/>
    </w:rPr>
  </w:style>
  <w:style w:type="paragraph" w:customStyle="1" w:styleId="Default">
    <w:name w:val="Default"/>
    <w:pPr>
      <w:suppressAutoHyphens/>
    </w:pPr>
    <w:rPr>
      <w:rFonts w:ascii="Arial" w:eastAsia="Calibri" w:hAnsi="Arial" w:cs="Arial"/>
      <w:color w:val="000000"/>
      <w:sz w:val="24"/>
      <w:szCs w:val="24"/>
      <w:lang w:eastAsia="en-US"/>
    </w:rPr>
  </w:style>
  <w:style w:type="paragraph" w:styleId="ListParagraph">
    <w:name w:val="List Paragraph"/>
    <w:basedOn w:val="Normal"/>
    <w:uiPriority w:val="34"/>
    <w:qFormat/>
    <w:pPr>
      <w:ind w:left="720"/>
      <w:contextualSpacing/>
    </w:pPr>
  </w:style>
  <w:style w:type="paragraph" w:styleId="BalloonText">
    <w:name w:val="Balloon Text"/>
    <w:basedOn w:val="Normal"/>
    <w:pPr>
      <w:spacing w:before="0" w:after="0"/>
    </w:pPr>
    <w:rPr>
      <w:rFonts w:ascii="Tahoma" w:hAnsi="Tahoma" w:cs="Tahoma"/>
      <w:sz w:val="16"/>
      <w:szCs w:val="16"/>
    </w:rPr>
  </w:style>
  <w:style w:type="paragraph" w:styleId="NoSpacing">
    <w:name w:val="No Spacing"/>
    <w:qFormat/>
    <w:pPr>
      <w:suppressAutoHyphens/>
    </w:pPr>
    <w:rPr>
      <w:rFonts w:ascii="Calibri" w:eastAsia="Calibri" w:hAnsi="Calibri" w:cs="font588"/>
      <w:sz w:val="22"/>
      <w:szCs w:val="22"/>
      <w:lang w:eastAsia="en-US"/>
    </w:rPr>
  </w:style>
  <w:style w:type="paragraph" w:customStyle="1" w:styleId="HeaderandFooter">
    <w:name w:val="Header and Footer"/>
    <w:basedOn w:val="Normal"/>
  </w:style>
  <w:style w:type="paragraph" w:styleId="Header">
    <w:name w:val="header"/>
    <w:basedOn w:val="Normal"/>
    <w:pPr>
      <w:tabs>
        <w:tab w:val="center" w:pos="4513"/>
        <w:tab w:val="right" w:pos="9026"/>
      </w:tabs>
      <w:spacing w:before="0" w:after="0"/>
    </w:pPr>
  </w:style>
  <w:style w:type="paragraph" w:styleId="Footer">
    <w:name w:val="footer"/>
    <w:basedOn w:val="Normal"/>
    <w:pPr>
      <w:tabs>
        <w:tab w:val="center" w:pos="4513"/>
        <w:tab w:val="right" w:pos="9026"/>
      </w:tabs>
      <w:spacing w:before="0" w:after="0"/>
    </w:pPr>
  </w:style>
  <w:style w:type="paragraph" w:styleId="TOC1">
    <w:name w:val="toc 1"/>
    <w:basedOn w:val="Normal"/>
    <w:next w:val="Normal"/>
    <w:autoRedefine/>
    <w:uiPriority w:val="39"/>
    <w:pPr>
      <w:spacing w:after="100"/>
    </w:pPr>
  </w:style>
  <w:style w:type="paragraph" w:styleId="Title">
    <w:name w:val="Title"/>
    <w:basedOn w:val="Normal"/>
    <w:next w:val="Normal"/>
    <w:qFormat/>
    <w:pPr>
      <w:spacing w:before="0" w:after="0"/>
      <w:contextualSpacing/>
    </w:pPr>
    <w:rPr>
      <w:rFonts w:ascii="Cambria" w:eastAsia="font588" w:hAnsi="Cambria" w:cs="font588"/>
      <w:spacing w:val="-10"/>
      <w:kern w:val="2"/>
      <w:sz w:val="56"/>
      <w:szCs w:val="56"/>
    </w:rPr>
  </w:style>
  <w:style w:type="paragraph" w:styleId="NormalWeb">
    <w:name w:val="Normal (Web)"/>
    <w:basedOn w:val="Normal"/>
    <w:uiPriority w:val="99"/>
    <w:semiHidden/>
    <w:unhideWhenUsed/>
    <w:rsid w:val="00AF3CD1"/>
    <w:pPr>
      <w:suppressAutoHyphens w:val="0"/>
      <w:spacing w:before="100" w:beforeAutospacing="1" w:after="100" w:afterAutospacing="1"/>
      <w:jc w:val="left"/>
    </w:pPr>
    <w:rPr>
      <w:rFonts w:ascii="Times New Roman" w:hAnsi="Times New Roman"/>
      <w:sz w:val="24"/>
    </w:rPr>
  </w:style>
  <w:style w:type="character" w:styleId="UnresolvedMention">
    <w:name w:val="Unresolved Mention"/>
    <w:uiPriority w:val="99"/>
    <w:semiHidden/>
    <w:unhideWhenUsed/>
    <w:rsid w:val="004E1299"/>
    <w:rPr>
      <w:color w:val="605E5C"/>
      <w:shd w:val="clear" w:color="auto" w:fill="E1DFDD"/>
    </w:rPr>
  </w:style>
  <w:style w:type="character" w:styleId="SubtleEmphasis">
    <w:name w:val="Subtle Emphasis"/>
    <w:uiPriority w:val="19"/>
    <w:qFormat/>
    <w:rsid w:val="009821B7"/>
    <w:rPr>
      <w:i/>
      <w:iCs/>
      <w:color w:val="404040"/>
    </w:rPr>
  </w:style>
  <w:style w:type="table" w:styleId="TableGrid">
    <w:name w:val="Table Grid"/>
    <w:basedOn w:val="TableNormal"/>
    <w:uiPriority w:val="59"/>
    <w:rsid w:val="001B1D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B1D3C"/>
    <w:rPr>
      <w:i/>
      <w:iCs/>
    </w:rPr>
  </w:style>
  <w:style w:type="character" w:styleId="FollowedHyperlink">
    <w:name w:val="FollowedHyperlink"/>
    <w:uiPriority w:val="99"/>
    <w:semiHidden/>
    <w:unhideWhenUsed/>
    <w:rsid w:val="0020722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eastlincolnshireccg.nhs.uk/countering-fraud-in-the-nh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04/36/cont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slation.gov.uk/ukpga/2006/41/contents" TargetMode="External"/><Relationship Id="rId4" Type="http://schemas.openxmlformats.org/officeDocument/2006/relationships/settings" Target="settings.xml"/><Relationship Id="rId9" Type="http://schemas.openxmlformats.org/officeDocument/2006/relationships/hyperlink" Target="https://www.england.nhs.uk/wp-content/uploads/2015/11/eprr-framework.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12F6A-1752-458F-B0A6-402DEF11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4288</Words>
  <Characters>24442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28673</CharactersWithSpaces>
  <SharedDoc>false</SharedDoc>
  <HLinks>
    <vt:vector size="120" baseType="variant">
      <vt:variant>
        <vt:i4>5505115</vt:i4>
      </vt:variant>
      <vt:variant>
        <vt:i4>108</vt:i4>
      </vt:variant>
      <vt:variant>
        <vt:i4>0</vt:i4>
      </vt:variant>
      <vt:variant>
        <vt:i4>5</vt:i4>
      </vt:variant>
      <vt:variant>
        <vt:lpwstr>https://www.legislation.gov.uk/ukpga/2004/36/contents</vt:lpwstr>
      </vt:variant>
      <vt:variant>
        <vt:lpwstr/>
      </vt:variant>
      <vt:variant>
        <vt:i4>5439582</vt:i4>
      </vt:variant>
      <vt:variant>
        <vt:i4>105</vt:i4>
      </vt:variant>
      <vt:variant>
        <vt:i4>0</vt:i4>
      </vt:variant>
      <vt:variant>
        <vt:i4>5</vt:i4>
      </vt:variant>
      <vt:variant>
        <vt:lpwstr>https://www.legislation.gov.uk/ukpga/2006/41/contents</vt:lpwstr>
      </vt:variant>
      <vt:variant>
        <vt:lpwstr/>
      </vt:variant>
      <vt:variant>
        <vt:i4>1703952</vt:i4>
      </vt:variant>
      <vt:variant>
        <vt:i4>102</vt:i4>
      </vt:variant>
      <vt:variant>
        <vt:i4>0</vt:i4>
      </vt:variant>
      <vt:variant>
        <vt:i4>5</vt:i4>
      </vt:variant>
      <vt:variant>
        <vt:lpwstr>https://www.england.nhs.uk/wp-content/uploads/2015/11/eprr-framework.pdf</vt:lpwstr>
      </vt:variant>
      <vt:variant>
        <vt:lpwstr/>
      </vt:variant>
      <vt:variant>
        <vt:i4>2621543</vt:i4>
      </vt:variant>
      <vt:variant>
        <vt:i4>99</vt:i4>
      </vt:variant>
      <vt:variant>
        <vt:i4>0</vt:i4>
      </vt:variant>
      <vt:variant>
        <vt:i4>5</vt:i4>
      </vt:variant>
      <vt:variant>
        <vt:lpwstr>http://www.northeastlincolnshireccg.nhs.uk/countering-fraud-in-the-nhs</vt:lpwstr>
      </vt:variant>
      <vt:variant>
        <vt:lpwstr/>
      </vt:variant>
      <vt:variant>
        <vt:i4>1703996</vt:i4>
      </vt:variant>
      <vt:variant>
        <vt:i4>92</vt:i4>
      </vt:variant>
      <vt:variant>
        <vt:i4>0</vt:i4>
      </vt:variant>
      <vt:variant>
        <vt:i4>5</vt:i4>
      </vt:variant>
      <vt:variant>
        <vt:lpwstr/>
      </vt:variant>
      <vt:variant>
        <vt:lpwstr>_Toc70604994</vt:lpwstr>
      </vt:variant>
      <vt:variant>
        <vt:i4>1900604</vt:i4>
      </vt:variant>
      <vt:variant>
        <vt:i4>86</vt:i4>
      </vt:variant>
      <vt:variant>
        <vt:i4>0</vt:i4>
      </vt:variant>
      <vt:variant>
        <vt:i4>5</vt:i4>
      </vt:variant>
      <vt:variant>
        <vt:lpwstr/>
      </vt:variant>
      <vt:variant>
        <vt:lpwstr>_Toc70604993</vt:lpwstr>
      </vt:variant>
      <vt:variant>
        <vt:i4>1835068</vt:i4>
      </vt:variant>
      <vt:variant>
        <vt:i4>80</vt:i4>
      </vt:variant>
      <vt:variant>
        <vt:i4>0</vt:i4>
      </vt:variant>
      <vt:variant>
        <vt:i4>5</vt:i4>
      </vt:variant>
      <vt:variant>
        <vt:lpwstr/>
      </vt:variant>
      <vt:variant>
        <vt:lpwstr>_Toc70604992</vt:lpwstr>
      </vt:variant>
      <vt:variant>
        <vt:i4>2031676</vt:i4>
      </vt:variant>
      <vt:variant>
        <vt:i4>74</vt:i4>
      </vt:variant>
      <vt:variant>
        <vt:i4>0</vt:i4>
      </vt:variant>
      <vt:variant>
        <vt:i4>5</vt:i4>
      </vt:variant>
      <vt:variant>
        <vt:lpwstr/>
      </vt:variant>
      <vt:variant>
        <vt:lpwstr>_Toc70604991</vt:lpwstr>
      </vt:variant>
      <vt:variant>
        <vt:i4>1966140</vt:i4>
      </vt:variant>
      <vt:variant>
        <vt:i4>68</vt:i4>
      </vt:variant>
      <vt:variant>
        <vt:i4>0</vt:i4>
      </vt:variant>
      <vt:variant>
        <vt:i4>5</vt:i4>
      </vt:variant>
      <vt:variant>
        <vt:lpwstr/>
      </vt:variant>
      <vt:variant>
        <vt:lpwstr>_Toc70604990</vt:lpwstr>
      </vt:variant>
      <vt:variant>
        <vt:i4>1507389</vt:i4>
      </vt:variant>
      <vt:variant>
        <vt:i4>62</vt:i4>
      </vt:variant>
      <vt:variant>
        <vt:i4>0</vt:i4>
      </vt:variant>
      <vt:variant>
        <vt:i4>5</vt:i4>
      </vt:variant>
      <vt:variant>
        <vt:lpwstr/>
      </vt:variant>
      <vt:variant>
        <vt:lpwstr>_Toc70604989</vt:lpwstr>
      </vt:variant>
      <vt:variant>
        <vt:i4>1441853</vt:i4>
      </vt:variant>
      <vt:variant>
        <vt:i4>56</vt:i4>
      </vt:variant>
      <vt:variant>
        <vt:i4>0</vt:i4>
      </vt:variant>
      <vt:variant>
        <vt:i4>5</vt:i4>
      </vt:variant>
      <vt:variant>
        <vt:lpwstr/>
      </vt:variant>
      <vt:variant>
        <vt:lpwstr>_Toc70604988</vt:lpwstr>
      </vt:variant>
      <vt:variant>
        <vt:i4>1638461</vt:i4>
      </vt:variant>
      <vt:variant>
        <vt:i4>50</vt:i4>
      </vt:variant>
      <vt:variant>
        <vt:i4>0</vt:i4>
      </vt:variant>
      <vt:variant>
        <vt:i4>5</vt:i4>
      </vt:variant>
      <vt:variant>
        <vt:lpwstr/>
      </vt:variant>
      <vt:variant>
        <vt:lpwstr>_Toc70604987</vt:lpwstr>
      </vt:variant>
      <vt:variant>
        <vt:i4>1572925</vt:i4>
      </vt:variant>
      <vt:variant>
        <vt:i4>44</vt:i4>
      </vt:variant>
      <vt:variant>
        <vt:i4>0</vt:i4>
      </vt:variant>
      <vt:variant>
        <vt:i4>5</vt:i4>
      </vt:variant>
      <vt:variant>
        <vt:lpwstr/>
      </vt:variant>
      <vt:variant>
        <vt:lpwstr>_Toc70604986</vt:lpwstr>
      </vt:variant>
      <vt:variant>
        <vt:i4>1769533</vt:i4>
      </vt:variant>
      <vt:variant>
        <vt:i4>38</vt:i4>
      </vt:variant>
      <vt:variant>
        <vt:i4>0</vt:i4>
      </vt:variant>
      <vt:variant>
        <vt:i4>5</vt:i4>
      </vt:variant>
      <vt:variant>
        <vt:lpwstr/>
      </vt:variant>
      <vt:variant>
        <vt:lpwstr>_Toc70604985</vt:lpwstr>
      </vt:variant>
      <vt:variant>
        <vt:i4>1703997</vt:i4>
      </vt:variant>
      <vt:variant>
        <vt:i4>32</vt:i4>
      </vt:variant>
      <vt:variant>
        <vt:i4>0</vt:i4>
      </vt:variant>
      <vt:variant>
        <vt:i4>5</vt:i4>
      </vt:variant>
      <vt:variant>
        <vt:lpwstr/>
      </vt:variant>
      <vt:variant>
        <vt:lpwstr>_Toc70604984</vt:lpwstr>
      </vt:variant>
      <vt:variant>
        <vt:i4>1900605</vt:i4>
      </vt:variant>
      <vt:variant>
        <vt:i4>26</vt:i4>
      </vt:variant>
      <vt:variant>
        <vt:i4>0</vt:i4>
      </vt:variant>
      <vt:variant>
        <vt:i4>5</vt:i4>
      </vt:variant>
      <vt:variant>
        <vt:lpwstr/>
      </vt:variant>
      <vt:variant>
        <vt:lpwstr>_Toc70604983</vt:lpwstr>
      </vt:variant>
      <vt:variant>
        <vt:i4>1835069</vt:i4>
      </vt:variant>
      <vt:variant>
        <vt:i4>20</vt:i4>
      </vt:variant>
      <vt:variant>
        <vt:i4>0</vt:i4>
      </vt:variant>
      <vt:variant>
        <vt:i4>5</vt:i4>
      </vt:variant>
      <vt:variant>
        <vt:lpwstr/>
      </vt:variant>
      <vt:variant>
        <vt:lpwstr>_Toc70604982</vt:lpwstr>
      </vt:variant>
      <vt:variant>
        <vt:i4>2031677</vt:i4>
      </vt:variant>
      <vt:variant>
        <vt:i4>14</vt:i4>
      </vt:variant>
      <vt:variant>
        <vt:i4>0</vt:i4>
      </vt:variant>
      <vt:variant>
        <vt:i4>5</vt:i4>
      </vt:variant>
      <vt:variant>
        <vt:lpwstr/>
      </vt:variant>
      <vt:variant>
        <vt:lpwstr>_Toc70604981</vt:lpwstr>
      </vt:variant>
      <vt:variant>
        <vt:i4>1966141</vt:i4>
      </vt:variant>
      <vt:variant>
        <vt:i4>8</vt:i4>
      </vt:variant>
      <vt:variant>
        <vt:i4>0</vt:i4>
      </vt:variant>
      <vt:variant>
        <vt:i4>5</vt:i4>
      </vt:variant>
      <vt:variant>
        <vt:lpwstr/>
      </vt:variant>
      <vt:variant>
        <vt:lpwstr>_Toc70604980</vt:lpwstr>
      </vt:variant>
      <vt:variant>
        <vt:i4>1507378</vt:i4>
      </vt:variant>
      <vt:variant>
        <vt:i4>2</vt:i4>
      </vt:variant>
      <vt:variant>
        <vt:i4>0</vt:i4>
      </vt:variant>
      <vt:variant>
        <vt:i4>5</vt:i4>
      </vt:variant>
      <vt:variant>
        <vt:lpwstr/>
      </vt:variant>
      <vt:variant>
        <vt:lpwstr>_Toc70604979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Warburton</dc:creator>
  <cp:keywords/>
  <cp:lastModifiedBy>Jeanette Harris (CCG)</cp:lastModifiedBy>
  <cp:revision>2</cp:revision>
  <cp:lastPrinted>1995-11-21T17:41:00Z</cp:lastPrinted>
  <dcterms:created xsi:type="dcterms:W3CDTF">2021-05-06T14:58:00Z</dcterms:created>
  <dcterms:modified xsi:type="dcterms:W3CDTF">2021-05-06T14:58:00Z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NLNHS &amp; NELCTP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