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7D49ADAD" w:rsidR="007A35A7" w:rsidRDefault="007A35A7" w:rsidP="007A35A7">
      <w:pPr>
        <w:rPr>
          <w:rFonts w:ascii="Arial" w:hAnsi="Arial" w:cs="Arial"/>
        </w:rPr>
      </w:pPr>
      <w:bookmarkStart w:id="0" w:name="_Hlk95236916"/>
      <w:bookmarkEnd w:id="0"/>
      <w:r w:rsidRPr="007A35A7">
        <w:rPr>
          <w:rFonts w:ascii="Arial" w:hAnsi="Arial" w:cs="Arial"/>
          <w:b/>
          <w:bCs/>
        </w:rPr>
        <w:t>Agenda Item:</w:t>
      </w:r>
      <w:r>
        <w:rPr>
          <w:rFonts w:ascii="Arial" w:hAnsi="Arial" w:cs="Arial"/>
          <w:b/>
          <w:bCs/>
        </w:rPr>
        <w:tab/>
      </w:r>
    </w:p>
    <w:p w14:paraId="22258ED1" w14:textId="15E4ADD6" w:rsidR="007A35A7" w:rsidRDefault="007A35A7" w:rsidP="007A35A7">
      <w:pPr>
        <w:rPr>
          <w:rFonts w:ascii="Arial" w:hAnsi="Arial" w:cs="Arial"/>
        </w:rPr>
      </w:pPr>
    </w:p>
    <w:p w14:paraId="00EDB048" w14:textId="60FFBAFD"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5C3720">
            <w:rPr>
              <w:rFonts w:ascii="Arial" w:hAnsi="Arial" w:cs="Arial"/>
            </w:rPr>
            <w:t>Governing Body</w:t>
          </w:r>
        </w:sdtContent>
      </w:sdt>
    </w:p>
    <w:p w14:paraId="16DEF567" w14:textId="4699CE10"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43372577"/>
          <w:placeholder>
            <w:docPart w:val="81713A34ABA3402595EFB98FF1974702"/>
          </w:placeholder>
          <w:date w:fullDate="2022-02-17T00:00:00Z">
            <w:dateFormat w:val="dd/MM/yyyy"/>
            <w:lid w:val="en-GB"/>
            <w:storeMappedDataAs w:val="dateTime"/>
            <w:calendar w:val="gregorian"/>
          </w:date>
        </w:sdtPr>
        <w:sdtEndPr/>
        <w:sdtContent>
          <w:r w:rsidR="000956CC">
            <w:rPr>
              <w:rFonts w:ascii="Arial" w:hAnsi="Arial" w:cs="Arial"/>
              <w:lang w:val="en-GB"/>
            </w:rPr>
            <w:t>17/02/2022</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6E30E49A"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1217166332"/>
          <w:placeholder>
            <w:docPart w:val="B2BEDB5797074CA08F74570156FE8720"/>
          </w:placeholder>
          <w:text/>
        </w:sdtPr>
        <w:sdtEndPr/>
        <w:sdtContent>
          <w:r w:rsidR="005C3720" w:rsidRPr="005C3720">
            <w:rPr>
              <w:rFonts w:ascii="Arial" w:hAnsi="Arial" w:cs="Arial"/>
            </w:rPr>
            <w:t>Annual Review of Board Assurance Framework</w:t>
          </w:r>
        </w:sdtContent>
      </w:sdt>
    </w:p>
    <w:p w14:paraId="69070772" w14:textId="61DBA5B1"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5C3720" w:rsidRPr="005C3720">
            <w:rPr>
              <w:rFonts w:ascii="Arial" w:hAnsi="Arial" w:cs="Arial"/>
            </w:rPr>
            <w:t>Laura Whitton</w:t>
          </w:r>
        </w:sdtContent>
      </w:sdt>
    </w:p>
    <w:p w14:paraId="50602481" w14:textId="471E392C" w:rsidR="007A35A7" w:rsidRPr="005C3720" w:rsidRDefault="007A35A7" w:rsidP="00F47E31">
      <w:pPr>
        <w:rPr>
          <w:rFonts w:ascii="Arial" w:hAnsi="Arial" w:cs="Arial"/>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rPr>
          <w:id w:val="1504311521"/>
          <w:placeholder>
            <w:docPart w:val="8067A05DCAA14B36AA4AA6B43430B3A4"/>
          </w:placeholder>
          <w:text/>
        </w:sdtPr>
        <w:sdtEndPr/>
        <w:sdtContent>
          <w:r w:rsidR="005C3720" w:rsidRPr="005C3720">
            <w:rPr>
              <w:rFonts w:ascii="Arial" w:hAnsi="Arial" w:cs="Arial"/>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D69A21B"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5C3720">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D69A21B"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5C3720">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78C864CF"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30D48">
        <w:trPr>
          <w:trHeight w:val="267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7CA9C7D5" w14:textId="19E88E72" w:rsidR="005C3720" w:rsidRPr="00B30D48" w:rsidRDefault="005C3720" w:rsidP="005C3720">
            <w:pPr>
              <w:pStyle w:val="Default"/>
              <w:jc w:val="both"/>
              <w:rPr>
                <w:sz w:val="21"/>
                <w:szCs w:val="21"/>
              </w:rPr>
            </w:pPr>
            <w:proofErr w:type="gramStart"/>
            <w:r w:rsidRPr="00B30D48">
              <w:rPr>
                <w:sz w:val="21"/>
                <w:szCs w:val="21"/>
              </w:rPr>
              <w:t>North East</w:t>
            </w:r>
            <w:proofErr w:type="gramEnd"/>
            <w:r w:rsidRPr="00B30D48">
              <w:rPr>
                <w:sz w:val="21"/>
                <w:szCs w:val="21"/>
              </w:rPr>
              <w:t xml:space="preserve"> Lincolnshire CCG Board Assurance Framework (hereafter CCG BAF) acts as a high-level risk identification system and provides a structure and process that enables the CCG to focus on the principal risks. </w:t>
            </w:r>
          </w:p>
          <w:p w14:paraId="18643BD4" w14:textId="77777777" w:rsidR="005C3720" w:rsidRPr="00B30D48" w:rsidRDefault="005C3720" w:rsidP="005C3720">
            <w:pPr>
              <w:pStyle w:val="Default"/>
              <w:jc w:val="both"/>
              <w:rPr>
                <w:sz w:val="21"/>
                <w:szCs w:val="21"/>
              </w:rPr>
            </w:pPr>
          </w:p>
          <w:p w14:paraId="5857FAD2" w14:textId="67F99A1D" w:rsidR="005C3720" w:rsidRPr="00B30D48" w:rsidRDefault="005C3720" w:rsidP="005C3720">
            <w:pPr>
              <w:pStyle w:val="Default"/>
              <w:jc w:val="both"/>
              <w:rPr>
                <w:sz w:val="21"/>
                <w:szCs w:val="21"/>
              </w:rPr>
            </w:pPr>
            <w:r w:rsidRPr="00B30D48">
              <w:rPr>
                <w:sz w:val="21"/>
                <w:szCs w:val="21"/>
              </w:rPr>
              <w:t>The BAF enables the Governing Body to review each of the risks, analyse the controls and assurances, clearly identify any gaps and the actions needed to address them.</w:t>
            </w:r>
          </w:p>
          <w:p w14:paraId="423E3D14" w14:textId="77777777" w:rsidR="005C3720" w:rsidRPr="00B30D48" w:rsidRDefault="005C3720" w:rsidP="005C3720">
            <w:pPr>
              <w:pStyle w:val="Default"/>
              <w:jc w:val="both"/>
              <w:rPr>
                <w:sz w:val="21"/>
                <w:szCs w:val="21"/>
              </w:rPr>
            </w:pPr>
          </w:p>
          <w:p w14:paraId="31933D74" w14:textId="5DA62E92" w:rsidR="003F1101" w:rsidRPr="00B30D48" w:rsidRDefault="005C3720" w:rsidP="00B30D48">
            <w:pPr>
              <w:pStyle w:val="Default"/>
              <w:jc w:val="both"/>
              <w:rPr>
                <w:b/>
                <w:bCs/>
                <w:sz w:val="21"/>
                <w:szCs w:val="21"/>
              </w:rPr>
            </w:pPr>
            <w:r w:rsidRPr="00B30D48">
              <w:rPr>
                <w:sz w:val="21"/>
                <w:szCs w:val="21"/>
              </w:rPr>
              <w:t xml:space="preserve">To support the Governing Body in carrying out its duties effectively the Integrated Governance &amp; Audit Committee monitors the BAF on a quarterly basis, which ensures robust and adequate progression of the risks are kept live and relevant.  This Integrated Governance &amp; Audit Committee informs and escalates any risk to the Governing Body as and when required. </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C561926" w14:textId="77777777" w:rsidR="005C3720" w:rsidRPr="00B30D48" w:rsidRDefault="005C3720" w:rsidP="005C3720">
            <w:pPr>
              <w:pStyle w:val="Default"/>
              <w:jc w:val="both"/>
              <w:rPr>
                <w:sz w:val="21"/>
                <w:szCs w:val="21"/>
              </w:rPr>
            </w:pPr>
            <w:r w:rsidRPr="00B30D48">
              <w:rPr>
                <w:sz w:val="21"/>
                <w:szCs w:val="21"/>
              </w:rPr>
              <w:t xml:space="preserve">The Governing body are asked to note </w:t>
            </w:r>
          </w:p>
          <w:p w14:paraId="3E0FBE04" w14:textId="59CAE2E1" w:rsidR="005C3720" w:rsidRPr="00B30D48" w:rsidRDefault="005C3720" w:rsidP="005C3720">
            <w:pPr>
              <w:pStyle w:val="Default"/>
              <w:jc w:val="both"/>
              <w:rPr>
                <w:sz w:val="21"/>
                <w:szCs w:val="21"/>
              </w:rPr>
            </w:pPr>
            <w:r w:rsidRPr="00B30D48">
              <w:rPr>
                <w:sz w:val="21"/>
                <w:szCs w:val="21"/>
              </w:rPr>
              <w:t>•</w:t>
            </w:r>
            <w:r w:rsidRPr="00B30D48">
              <w:rPr>
                <w:sz w:val="21"/>
                <w:szCs w:val="21"/>
              </w:rPr>
              <w:tab/>
              <w:t>The update provided.</w:t>
            </w:r>
          </w:p>
          <w:p w14:paraId="7CF978FD" w14:textId="2E990525" w:rsidR="005C3720" w:rsidRPr="00B30D48" w:rsidRDefault="005C3720" w:rsidP="005C3720">
            <w:pPr>
              <w:pStyle w:val="Default"/>
              <w:jc w:val="both"/>
              <w:rPr>
                <w:sz w:val="21"/>
                <w:szCs w:val="21"/>
              </w:rPr>
            </w:pPr>
            <w:r w:rsidRPr="00B30D48">
              <w:rPr>
                <w:sz w:val="21"/>
                <w:szCs w:val="21"/>
              </w:rPr>
              <w:t>•</w:t>
            </w:r>
            <w:r w:rsidRPr="00B30D48">
              <w:rPr>
                <w:sz w:val="21"/>
                <w:szCs w:val="21"/>
              </w:rPr>
              <w:tab/>
              <w:t xml:space="preserve">Review the BAF and identify any gaps </w:t>
            </w:r>
            <w:r w:rsidR="00B30D48" w:rsidRPr="00B30D48">
              <w:rPr>
                <w:sz w:val="21"/>
                <w:szCs w:val="21"/>
              </w:rPr>
              <w:t>and</w:t>
            </w:r>
          </w:p>
          <w:p w14:paraId="20B6F83C" w14:textId="77777777" w:rsidR="005C3720" w:rsidRPr="00B30D48" w:rsidRDefault="005C3720" w:rsidP="005C3720">
            <w:pPr>
              <w:pStyle w:val="Default"/>
              <w:jc w:val="both"/>
              <w:rPr>
                <w:sz w:val="21"/>
                <w:szCs w:val="21"/>
              </w:rPr>
            </w:pPr>
            <w:r w:rsidRPr="00B30D48">
              <w:rPr>
                <w:sz w:val="21"/>
                <w:szCs w:val="21"/>
              </w:rPr>
              <w:t>•</w:t>
            </w:r>
            <w:r w:rsidRPr="00B30D48">
              <w:rPr>
                <w:sz w:val="21"/>
                <w:szCs w:val="21"/>
              </w:rPr>
              <w:tab/>
              <w:t>The level of assurance received by the CCG, in relation to its strategic risks and</w:t>
            </w:r>
          </w:p>
          <w:p w14:paraId="66B92889" w14:textId="19AF8CA9" w:rsidR="003F1101" w:rsidRPr="005C3720" w:rsidRDefault="005C3720" w:rsidP="005C3720">
            <w:pPr>
              <w:pStyle w:val="Default"/>
              <w:jc w:val="both"/>
              <w:rPr>
                <w:sz w:val="22"/>
                <w:szCs w:val="22"/>
              </w:rPr>
            </w:pPr>
            <w:r w:rsidRPr="00B30D48">
              <w:rPr>
                <w:sz w:val="21"/>
                <w:szCs w:val="21"/>
              </w:rPr>
              <w:t xml:space="preserve">            comment where appropriate.</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43645EB0" w14:textId="3C0B0F6D" w:rsidR="003F1101" w:rsidRPr="003F1101" w:rsidRDefault="005C3720" w:rsidP="005C3720">
            <w:pPr>
              <w:pStyle w:val="Default"/>
              <w:jc w:val="both"/>
              <w:rPr>
                <w:b/>
                <w:bCs/>
                <w:color w:val="auto"/>
                <w:sz w:val="22"/>
                <w:szCs w:val="22"/>
              </w:rPr>
            </w:pPr>
            <w:r>
              <w:rPr>
                <w:bCs/>
                <w:color w:val="auto"/>
                <w:sz w:val="22"/>
                <w:szCs w:val="22"/>
              </w:rPr>
              <w:t>N/A</w:t>
            </w: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62275049" w:rsidR="003F1101" w:rsidRPr="003F1101" w:rsidRDefault="005C3720" w:rsidP="003F1101">
            <w:pPr>
              <w:pStyle w:val="Default"/>
              <w:jc w:val="both"/>
              <w:rPr>
                <w:bCs/>
                <w:color w:val="auto"/>
                <w:sz w:val="22"/>
                <w:szCs w:val="22"/>
              </w:rPr>
            </w:pPr>
            <w:r>
              <w:rPr>
                <w:bCs/>
                <w:color w:val="auto"/>
                <w:sz w:val="22"/>
                <w:szCs w:val="22"/>
              </w:rPr>
              <w:t>N/A</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201F0288" w:rsidR="003F1101" w:rsidRPr="005C3720" w:rsidRDefault="003F1101" w:rsidP="003F1101">
            <w:pPr>
              <w:pStyle w:val="Default"/>
              <w:jc w:val="both"/>
              <w:rPr>
                <w:sz w:val="22"/>
                <w:szCs w:val="22"/>
              </w:rPr>
            </w:pPr>
            <w:r w:rsidRPr="005C3720">
              <w:rPr>
                <w:sz w:val="22"/>
                <w:szCs w:val="22"/>
              </w:rPr>
              <w:t xml:space="preserve"> </w:t>
            </w:r>
            <w:r w:rsidR="005C3720" w:rsidRPr="005C3720">
              <w:rPr>
                <w:sz w:val="22"/>
                <w:szCs w:val="22"/>
              </w:rPr>
              <w:t>Integrated Governance &amp; Audit Committee</w:t>
            </w:r>
            <w:r w:rsidRPr="005C3720">
              <w:rPr>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01CC33E0" w:rsidR="001712C0" w:rsidRDefault="00B30D48"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09C410C" w:rsidR="00DE79E3" w:rsidRPr="001712C0" w:rsidRDefault="00B30D48"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61D87FF7" w:rsidR="001712C0" w:rsidRDefault="00B30D48"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7B4D770A" w:rsidR="00DE79E3" w:rsidRPr="001712C0" w:rsidRDefault="00B30D48"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1"/>
                <w14:checkedState w14:val="2612" w14:font="MS Gothic"/>
                <w14:uncheckedState w14:val="2610" w14:font="MS Gothic"/>
              </w14:checkbox>
            </w:sdtPr>
            <w:sdtEndPr/>
            <w:sdtContent>
              <w:p w14:paraId="3983DC5E" w14:textId="5F55693C" w:rsidR="001712C0" w:rsidRDefault="00B30D48"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1"/>
                <w14:checkedState w14:val="2612" w14:font="MS Gothic"/>
                <w14:uncheckedState w14:val="2610" w14:font="MS Gothic"/>
              </w14:checkbox>
            </w:sdtPr>
            <w:sdtEndPr/>
            <w:sdtContent>
              <w:p w14:paraId="5FEA6376" w14:textId="7116D96D" w:rsidR="00DE79E3" w:rsidRDefault="00B30D48"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1"/>
                <w14:checkedState w14:val="2612" w14:font="MS Gothic"/>
                <w14:uncheckedState w14:val="2610" w14:font="MS Gothic"/>
              </w14:checkbox>
            </w:sdtPr>
            <w:sdtEndPr/>
            <w:sdtContent>
              <w:p w14:paraId="0D7AAD58" w14:textId="5CA2CE28" w:rsidR="00DE79E3" w:rsidRDefault="00B30D48"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1"/>
                <w14:checkedState w14:val="2612" w14:font="MS Gothic"/>
                <w14:uncheckedState w14:val="2610" w14:font="MS Gothic"/>
              </w14:checkbox>
            </w:sdtPr>
            <w:sdtEndPr/>
            <w:sdtContent>
              <w:p w14:paraId="01E6A19D" w14:textId="4F2B376C" w:rsidR="00DE79E3" w:rsidRDefault="00B30D48"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1"/>
                <w14:checkedState w14:val="2612" w14:font="MS Gothic"/>
                <w14:uncheckedState w14:val="2610" w14:font="MS Gothic"/>
              </w14:checkbox>
            </w:sdtPr>
            <w:sdtEndPr/>
            <w:sdtContent>
              <w:p w14:paraId="7FF8DC3F" w14:textId="2F1ACC76" w:rsidR="00DE79E3" w:rsidRPr="001712C0" w:rsidRDefault="00B30D48"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B30D48">
        <w:trPr>
          <w:trHeight w:val="1186"/>
        </w:trPr>
        <w:tc>
          <w:tcPr>
            <w:tcW w:w="11096" w:type="dxa"/>
          </w:tcPr>
          <w:p w14:paraId="316F177F" w14:textId="611916E2" w:rsidR="00985504" w:rsidRDefault="00B30D48" w:rsidP="000956CC">
            <w:pPr>
              <w:rPr>
                <w:rFonts w:ascii="Arial" w:hAnsi="Arial" w:cs="Arial"/>
              </w:rPr>
            </w:pPr>
            <w:r w:rsidRPr="00B30D48">
              <w:rPr>
                <w:rFonts w:ascii="Arial" w:hAnsi="Arial" w:cs="Arial"/>
                <w:sz w:val="21"/>
                <w:szCs w:val="21"/>
                <w:lang w:val="en-GB"/>
              </w:rPr>
              <w:t>Failure to implement an effective risk management process could result in the</w:t>
            </w:r>
            <w:r w:rsidR="000956CC">
              <w:rPr>
                <w:rFonts w:ascii="Arial" w:hAnsi="Arial" w:cs="Arial"/>
                <w:sz w:val="21"/>
                <w:szCs w:val="21"/>
                <w:lang w:val="en-GB"/>
              </w:rPr>
              <w:t xml:space="preserve"> </w:t>
            </w:r>
            <w:r w:rsidRPr="00B30D48">
              <w:rPr>
                <w:rFonts w:ascii="Arial" w:hAnsi="Arial" w:cs="Arial"/>
                <w:sz w:val="21"/>
                <w:szCs w:val="21"/>
                <w:lang w:val="en-GB"/>
              </w:rPr>
              <w:t>CCG failing to effectively recognise and manage its principal risks which could prevent necessary mitigation being undertaken and potentially impact on our patients/community</w:t>
            </w:r>
            <w:r w:rsidRPr="00B30D48">
              <w:rPr>
                <w:rFonts w:ascii="Arial" w:hAnsi="Arial" w:cs="Arial"/>
                <w:lang w:val="en-GB"/>
              </w:rPr>
              <w:t>.</w:t>
            </w:r>
            <w:r>
              <w:rPr>
                <w:rFonts w:ascii="Arial" w:hAnsi="Arial" w:cs="Arial"/>
                <w:lang w:val="en-GB"/>
              </w:rPr>
              <w:t xml:space="preserve">  The BAF contains key risks in relation to legal/finance/quality and performance. </w:t>
            </w:r>
          </w:p>
        </w:tc>
      </w:tr>
    </w:tbl>
    <w:p w14:paraId="67204DAA" w14:textId="77777777" w:rsidR="00B30D48" w:rsidRDefault="00B30D48" w:rsidP="007A35A7">
      <w:pPr>
        <w:rPr>
          <w:rFonts w:ascii="Arial" w:hAnsi="Arial" w:cs="Arial"/>
          <w:b/>
          <w:bCs/>
        </w:rPr>
      </w:pPr>
    </w:p>
    <w:p w14:paraId="163665E4" w14:textId="63C06645" w:rsidR="00DB7724" w:rsidRDefault="00DB7724" w:rsidP="007A35A7">
      <w:pPr>
        <w:rPr>
          <w:rFonts w:ascii="Arial" w:hAnsi="Arial" w:cs="Arial"/>
        </w:rPr>
      </w:pPr>
      <w:r>
        <w:rPr>
          <w:rFonts w:ascii="Arial" w:hAnsi="Arial" w:cs="Arial"/>
          <w:b/>
          <w:bCs/>
        </w:rPr>
        <w:t>Executive Summary</w:t>
      </w:r>
    </w:p>
    <w:p w14:paraId="72CAB732" w14:textId="04B8BD40" w:rsidR="00DB7724" w:rsidRDefault="00DB7724" w:rsidP="007A35A7">
      <w:pPr>
        <w:rPr>
          <w:rFonts w:ascii="Arial" w:hAnsi="Arial" w:cs="Arial"/>
        </w:rPr>
      </w:pPr>
    </w:p>
    <w:p w14:paraId="70758FD9" w14:textId="040CB050" w:rsidR="00B30D48" w:rsidRPr="00B30D48" w:rsidRDefault="00B30D48" w:rsidP="00324A42">
      <w:pPr>
        <w:jc w:val="both"/>
        <w:rPr>
          <w:rFonts w:ascii="Arial" w:hAnsi="Arial" w:cs="Arial"/>
          <w:sz w:val="21"/>
          <w:szCs w:val="21"/>
        </w:rPr>
      </w:pPr>
      <w:r w:rsidRPr="00B30D48">
        <w:rPr>
          <w:rFonts w:ascii="Arial" w:hAnsi="Arial" w:cs="Arial"/>
          <w:sz w:val="21"/>
          <w:szCs w:val="21"/>
        </w:rPr>
        <w:t xml:space="preserve">The CCG Governing Body should have the opportunity during the financial year to monitor the assurance it has received and identify any gaps that should be addressed to be assured.  Where gaps are identified, or key controls and assurances are insufficient to reduce the risk of non-delivery, action needs to be taken. Planned actions will enable the Governing Body to monitor progress in addressing gaps or weaknesses and to ensure that resources are allocated appropriately. </w:t>
      </w:r>
    </w:p>
    <w:p w14:paraId="691C5EB5" w14:textId="77777777" w:rsidR="00B30D48" w:rsidRPr="00B30D48" w:rsidRDefault="00B30D48" w:rsidP="00324A42">
      <w:pPr>
        <w:jc w:val="both"/>
        <w:rPr>
          <w:rFonts w:ascii="Arial" w:hAnsi="Arial" w:cs="Arial"/>
          <w:sz w:val="21"/>
          <w:szCs w:val="21"/>
        </w:rPr>
      </w:pPr>
    </w:p>
    <w:p w14:paraId="006A2EBC" w14:textId="4A6E427E" w:rsidR="00B30D48" w:rsidRPr="00B30D48" w:rsidRDefault="00B30D48" w:rsidP="00324A42">
      <w:pPr>
        <w:jc w:val="both"/>
        <w:rPr>
          <w:rFonts w:ascii="Arial" w:hAnsi="Arial" w:cs="Arial"/>
          <w:b/>
          <w:bCs/>
          <w:sz w:val="21"/>
          <w:szCs w:val="21"/>
        </w:rPr>
      </w:pPr>
      <w:r w:rsidRPr="00B30D48">
        <w:rPr>
          <w:rFonts w:ascii="Arial" w:hAnsi="Arial" w:cs="Arial"/>
          <w:b/>
          <w:bCs/>
          <w:sz w:val="21"/>
          <w:szCs w:val="21"/>
        </w:rPr>
        <w:t xml:space="preserve">Key Progress </w:t>
      </w:r>
      <w:r w:rsidR="000956CC">
        <w:rPr>
          <w:rFonts w:ascii="Arial" w:hAnsi="Arial" w:cs="Arial"/>
          <w:b/>
          <w:bCs/>
          <w:sz w:val="21"/>
          <w:szCs w:val="21"/>
        </w:rPr>
        <w:t>2021- 22</w:t>
      </w:r>
    </w:p>
    <w:p w14:paraId="1B8FCEDA" w14:textId="77777777" w:rsidR="000956CC" w:rsidRDefault="000956CC" w:rsidP="00324A42">
      <w:pPr>
        <w:jc w:val="both"/>
        <w:rPr>
          <w:rFonts w:ascii="Arial" w:hAnsi="Arial" w:cs="Arial"/>
          <w:sz w:val="21"/>
          <w:szCs w:val="21"/>
        </w:rPr>
      </w:pPr>
    </w:p>
    <w:p w14:paraId="436DDA8A" w14:textId="2D4B36F6" w:rsidR="000956CC" w:rsidRDefault="000956CC" w:rsidP="00324A42">
      <w:pPr>
        <w:jc w:val="both"/>
        <w:rPr>
          <w:rFonts w:ascii="Arial" w:hAnsi="Arial" w:cs="Arial"/>
          <w:sz w:val="21"/>
          <w:szCs w:val="21"/>
        </w:rPr>
      </w:pPr>
      <w:r w:rsidRPr="000956CC">
        <w:rPr>
          <w:rFonts w:ascii="Arial" w:hAnsi="Arial" w:cs="Arial"/>
          <w:sz w:val="21"/>
          <w:szCs w:val="21"/>
        </w:rPr>
        <w:t>2021-2</w:t>
      </w:r>
      <w:r>
        <w:rPr>
          <w:rFonts w:ascii="Arial" w:hAnsi="Arial" w:cs="Arial"/>
          <w:sz w:val="21"/>
          <w:szCs w:val="21"/>
        </w:rPr>
        <w:t xml:space="preserve">2 has been another </w:t>
      </w:r>
      <w:r w:rsidRPr="000956CC">
        <w:rPr>
          <w:rFonts w:ascii="Arial" w:hAnsi="Arial" w:cs="Arial"/>
          <w:sz w:val="21"/>
          <w:szCs w:val="21"/>
        </w:rPr>
        <w:t xml:space="preserve">challenging year for the CCG working under different circumstances, priorities, and pressures. </w:t>
      </w:r>
      <w:r w:rsidR="00222AB1">
        <w:rPr>
          <w:rFonts w:ascii="Arial" w:hAnsi="Arial" w:cs="Arial"/>
          <w:sz w:val="21"/>
          <w:szCs w:val="21"/>
        </w:rPr>
        <w:t xml:space="preserve">It was evident that </w:t>
      </w:r>
      <w:r w:rsidRPr="000956CC">
        <w:rPr>
          <w:rFonts w:ascii="Arial" w:hAnsi="Arial" w:cs="Arial"/>
          <w:sz w:val="21"/>
          <w:szCs w:val="21"/>
        </w:rPr>
        <w:t>we need</w:t>
      </w:r>
      <w:r w:rsidR="00222AB1">
        <w:rPr>
          <w:rFonts w:ascii="Arial" w:hAnsi="Arial" w:cs="Arial"/>
          <w:sz w:val="21"/>
          <w:szCs w:val="21"/>
        </w:rPr>
        <w:t>ed</w:t>
      </w:r>
      <w:r w:rsidRPr="000956CC">
        <w:rPr>
          <w:rFonts w:ascii="Arial" w:hAnsi="Arial" w:cs="Arial"/>
          <w:sz w:val="21"/>
          <w:szCs w:val="21"/>
        </w:rPr>
        <w:t xml:space="preserve"> to re-consider our approach to risk </w:t>
      </w:r>
      <w:r w:rsidR="00222AB1" w:rsidRPr="000956CC">
        <w:rPr>
          <w:rFonts w:ascii="Arial" w:hAnsi="Arial" w:cs="Arial"/>
          <w:sz w:val="21"/>
          <w:szCs w:val="21"/>
        </w:rPr>
        <w:t>management</w:t>
      </w:r>
      <w:r w:rsidR="00222AB1">
        <w:rPr>
          <w:rFonts w:ascii="Arial" w:hAnsi="Arial" w:cs="Arial"/>
          <w:sz w:val="21"/>
          <w:szCs w:val="21"/>
        </w:rPr>
        <w:t>.  Risk</w:t>
      </w:r>
      <w:r w:rsidR="00222AB1" w:rsidRPr="00222AB1">
        <w:rPr>
          <w:rFonts w:ascii="Arial" w:hAnsi="Arial" w:cs="Arial"/>
          <w:sz w:val="21"/>
          <w:szCs w:val="21"/>
        </w:rPr>
        <w:t xml:space="preserve"> management become a more integrated approach covering performance and CCG priorities with a single monitoring reporting via the CCG Operational Leadership Team and reporting to the Integrated and Audit Committee.</w:t>
      </w:r>
      <w:r w:rsidR="00222AB1">
        <w:rPr>
          <w:rFonts w:ascii="Arial" w:hAnsi="Arial" w:cs="Arial"/>
          <w:sz w:val="21"/>
          <w:szCs w:val="21"/>
        </w:rPr>
        <w:t xml:space="preserve">  However, due to the further pressures namely in relation to COVID 19 this approach has been put on hold.   </w:t>
      </w:r>
    </w:p>
    <w:p w14:paraId="23A838D5" w14:textId="0798FC67" w:rsidR="0066390F" w:rsidRDefault="0066390F" w:rsidP="00324A42">
      <w:pPr>
        <w:jc w:val="both"/>
        <w:rPr>
          <w:rFonts w:ascii="Arial" w:hAnsi="Arial" w:cs="Arial"/>
          <w:sz w:val="21"/>
          <w:szCs w:val="21"/>
        </w:rPr>
      </w:pPr>
    </w:p>
    <w:p w14:paraId="34545C3D" w14:textId="2B5F1E79" w:rsidR="000956CC" w:rsidRDefault="00324A42" w:rsidP="00324A42">
      <w:pPr>
        <w:jc w:val="both"/>
        <w:rPr>
          <w:rFonts w:ascii="Arial" w:hAnsi="Arial" w:cs="Arial"/>
          <w:sz w:val="21"/>
          <w:szCs w:val="21"/>
        </w:rPr>
      </w:pPr>
      <w:r>
        <w:rPr>
          <w:rFonts w:ascii="Arial" w:hAnsi="Arial" w:cs="Arial"/>
          <w:sz w:val="21"/>
          <w:szCs w:val="21"/>
        </w:rPr>
        <w:t>Unfortunately, the p</w:t>
      </w:r>
      <w:r w:rsidRPr="00324A42">
        <w:rPr>
          <w:rFonts w:ascii="Arial" w:hAnsi="Arial" w:cs="Arial"/>
          <w:sz w:val="21"/>
          <w:szCs w:val="21"/>
        </w:rPr>
        <w:t>roposed Governing Body workshop for September</w:t>
      </w:r>
      <w:r>
        <w:rPr>
          <w:rFonts w:ascii="Arial" w:hAnsi="Arial" w:cs="Arial"/>
          <w:sz w:val="21"/>
          <w:szCs w:val="21"/>
        </w:rPr>
        <w:t xml:space="preserve"> 2021 was cancelled. </w:t>
      </w:r>
      <w:r w:rsidR="00F36894">
        <w:rPr>
          <w:rFonts w:ascii="Arial" w:hAnsi="Arial" w:cs="Arial"/>
          <w:sz w:val="21"/>
          <w:szCs w:val="21"/>
        </w:rPr>
        <w:t xml:space="preserve">It was agreed at </w:t>
      </w:r>
      <w:r>
        <w:rPr>
          <w:rFonts w:ascii="Arial" w:hAnsi="Arial" w:cs="Arial"/>
          <w:sz w:val="21"/>
          <w:szCs w:val="21"/>
        </w:rPr>
        <w:t>the Integrated Governance &amp; Audit Committee in December for the Chair, Chief Finance Officer and Corporate Assurance Officer to undertake a deep dive risk review and define the risks associated with the transition/ developments of the Integrated Care Board and the Health Care Partnership and how these will be managed.</w:t>
      </w:r>
    </w:p>
    <w:p w14:paraId="3D620DA0" w14:textId="75B18EAF" w:rsidR="00324A42" w:rsidRDefault="00324A42" w:rsidP="00324A42">
      <w:pPr>
        <w:jc w:val="both"/>
        <w:rPr>
          <w:rFonts w:ascii="Arial" w:hAnsi="Arial" w:cs="Arial"/>
          <w:sz w:val="21"/>
          <w:szCs w:val="21"/>
        </w:rPr>
      </w:pPr>
    </w:p>
    <w:p w14:paraId="37BBCE6E" w14:textId="0B3993EE" w:rsidR="00324A42" w:rsidRDefault="00324A42" w:rsidP="00324A42">
      <w:pPr>
        <w:jc w:val="both"/>
        <w:rPr>
          <w:rFonts w:ascii="Arial" w:hAnsi="Arial" w:cs="Arial"/>
          <w:sz w:val="21"/>
          <w:szCs w:val="21"/>
        </w:rPr>
      </w:pPr>
      <w:r>
        <w:rPr>
          <w:rFonts w:ascii="Arial" w:hAnsi="Arial" w:cs="Arial"/>
          <w:sz w:val="21"/>
          <w:szCs w:val="21"/>
        </w:rPr>
        <w:t>To assure the Governing Body, all</w:t>
      </w:r>
      <w:r w:rsidRPr="00324A42">
        <w:rPr>
          <w:rFonts w:ascii="Arial" w:hAnsi="Arial" w:cs="Arial"/>
          <w:sz w:val="21"/>
          <w:szCs w:val="21"/>
        </w:rPr>
        <w:t xml:space="preserve"> risks continue to be monitored on a 3-month systematic approach.  </w:t>
      </w:r>
    </w:p>
    <w:p w14:paraId="6BC00DB5" w14:textId="77777777" w:rsidR="0066390F" w:rsidRDefault="0066390F" w:rsidP="00324A42">
      <w:pPr>
        <w:jc w:val="both"/>
        <w:rPr>
          <w:rFonts w:ascii="Arial" w:hAnsi="Arial" w:cs="Arial"/>
          <w:sz w:val="21"/>
          <w:szCs w:val="21"/>
        </w:rPr>
      </w:pPr>
    </w:p>
    <w:p w14:paraId="7C34C3B0" w14:textId="0AC99C9D" w:rsidR="003F49F4" w:rsidRDefault="00B30D48" w:rsidP="00324A42">
      <w:pPr>
        <w:jc w:val="both"/>
        <w:rPr>
          <w:rFonts w:ascii="Arial" w:hAnsi="Arial" w:cs="Arial"/>
          <w:b/>
          <w:bCs/>
          <w:sz w:val="21"/>
          <w:szCs w:val="21"/>
        </w:rPr>
      </w:pPr>
      <w:r w:rsidRPr="00B30D48">
        <w:rPr>
          <w:rFonts w:ascii="Arial" w:hAnsi="Arial" w:cs="Arial"/>
          <w:sz w:val="21"/>
          <w:szCs w:val="21"/>
        </w:rPr>
        <w:t>Every year Internal Audit assesses the effectiveness of controls in place within the CCG and provides an annual opinion in support of the CCG’s Annual Governance Statement. The BAF provides the basis for the preparation of a fair and representative Annual Governance Statement. It is the subject of annual review by both Internal and External Audit.</w:t>
      </w:r>
      <w:r w:rsidR="0066390F">
        <w:rPr>
          <w:rFonts w:ascii="Arial" w:hAnsi="Arial" w:cs="Arial"/>
          <w:sz w:val="21"/>
          <w:szCs w:val="21"/>
        </w:rPr>
        <w:t xml:space="preserve">   T</w:t>
      </w:r>
      <w:r w:rsidR="00B87CF9">
        <w:rPr>
          <w:rFonts w:ascii="Arial" w:hAnsi="Arial" w:cs="Arial"/>
          <w:sz w:val="21"/>
          <w:szCs w:val="21"/>
        </w:rPr>
        <w:t xml:space="preserve">he outcome of the audit has yet to be shared with CCG, however this will form part of the annual </w:t>
      </w:r>
      <w:r w:rsidRPr="00B30D48">
        <w:rPr>
          <w:rFonts w:ascii="Arial" w:hAnsi="Arial" w:cs="Arial"/>
          <w:sz w:val="21"/>
          <w:szCs w:val="21"/>
        </w:rPr>
        <w:t xml:space="preserve">Head of Internal Audit Opinion. </w:t>
      </w:r>
    </w:p>
    <w:p w14:paraId="4AC96C87" w14:textId="0F44442E" w:rsidR="003F49F4" w:rsidRDefault="003F49F4">
      <w:pPr>
        <w:rPr>
          <w:rFonts w:ascii="Arial" w:hAnsi="Arial" w:cs="Arial"/>
          <w:b/>
          <w:bCs/>
          <w:sz w:val="21"/>
          <w:szCs w:val="21"/>
        </w:rPr>
      </w:pPr>
    </w:p>
    <w:p w14:paraId="7DF97B61" w14:textId="77777777" w:rsidR="003F49F4" w:rsidRDefault="003F49F4" w:rsidP="00643124">
      <w:pPr>
        <w:rPr>
          <w:rFonts w:ascii="Arial" w:hAnsi="Arial" w:cs="Arial"/>
          <w:b/>
          <w:bCs/>
          <w:sz w:val="21"/>
          <w:szCs w:val="21"/>
        </w:rPr>
        <w:sectPr w:rsidR="003F49F4" w:rsidSect="00EA53C2">
          <w:headerReference w:type="default" r:id="rId7"/>
          <w:footerReference w:type="default" r:id="rId8"/>
          <w:headerReference w:type="first" r:id="rId9"/>
          <w:footerReference w:type="first" r:id="rId10"/>
          <w:pgSz w:w="12240" w:h="15840"/>
          <w:pgMar w:top="567" w:right="567" w:bottom="284" w:left="567" w:header="720" w:footer="720" w:gutter="0"/>
          <w:cols w:space="720"/>
          <w:titlePg/>
          <w:docGrid w:linePitch="360"/>
        </w:sectPr>
      </w:pPr>
    </w:p>
    <w:p w14:paraId="25E75FD6" w14:textId="7AAA9A97" w:rsidR="00643124" w:rsidRPr="00643124" w:rsidRDefault="00643124" w:rsidP="00643124">
      <w:pPr>
        <w:rPr>
          <w:rFonts w:ascii="Arial" w:hAnsi="Arial" w:cs="Arial"/>
          <w:b/>
          <w:bCs/>
          <w:sz w:val="21"/>
          <w:szCs w:val="21"/>
        </w:rPr>
      </w:pPr>
      <w:r w:rsidRPr="00643124">
        <w:rPr>
          <w:rFonts w:ascii="Arial" w:hAnsi="Arial" w:cs="Arial"/>
          <w:b/>
          <w:bCs/>
          <w:sz w:val="21"/>
          <w:szCs w:val="21"/>
        </w:rPr>
        <w:lastRenderedPageBreak/>
        <w:t>Current Position</w:t>
      </w:r>
    </w:p>
    <w:tbl>
      <w:tblPr>
        <w:tblStyle w:val="TableGrid"/>
        <w:tblpPr w:leftFromText="180" w:rightFromText="180" w:vertAnchor="text" w:horzAnchor="page" w:tblpX="4516" w:tblpY="406"/>
        <w:tblW w:w="0" w:type="auto"/>
        <w:tblLook w:val="04A0" w:firstRow="1" w:lastRow="0" w:firstColumn="1" w:lastColumn="0" w:noHBand="0" w:noVBand="1"/>
      </w:tblPr>
      <w:tblGrid>
        <w:gridCol w:w="3823"/>
        <w:gridCol w:w="1275"/>
      </w:tblGrid>
      <w:tr w:rsidR="008E1876" w:rsidRPr="00DF67E9" w14:paraId="581D82FB" w14:textId="77777777" w:rsidTr="008E1876">
        <w:trPr>
          <w:trHeight w:val="70"/>
        </w:trPr>
        <w:tc>
          <w:tcPr>
            <w:tcW w:w="3823" w:type="dxa"/>
          </w:tcPr>
          <w:p w14:paraId="41C5862F" w14:textId="77777777" w:rsidR="008E1876" w:rsidRPr="00DF67E9" w:rsidRDefault="008E1876" w:rsidP="008E1876">
            <w:pPr>
              <w:rPr>
                <w:rFonts w:ascii="Arial" w:eastAsia="Calibri" w:hAnsi="Arial" w:cs="Arial"/>
              </w:rPr>
            </w:pPr>
          </w:p>
        </w:tc>
        <w:tc>
          <w:tcPr>
            <w:tcW w:w="1275" w:type="dxa"/>
            <w:hideMark/>
          </w:tcPr>
          <w:p w14:paraId="51B99888" w14:textId="635620FD" w:rsidR="008E1876" w:rsidRPr="00DF67E9" w:rsidRDefault="008E1876" w:rsidP="008E1876">
            <w:pPr>
              <w:jc w:val="center"/>
              <w:rPr>
                <w:rFonts w:eastAsia="Calibri" w:cs="Arial"/>
              </w:rPr>
            </w:pPr>
            <w:r>
              <w:rPr>
                <w:rFonts w:eastAsia="Calibri" w:cs="Arial"/>
              </w:rPr>
              <w:t>February 202</w:t>
            </w:r>
            <w:r w:rsidR="00FF3400">
              <w:rPr>
                <w:rFonts w:eastAsia="Calibri" w:cs="Arial"/>
              </w:rPr>
              <w:t>2</w:t>
            </w:r>
          </w:p>
        </w:tc>
      </w:tr>
      <w:tr w:rsidR="008E1876" w:rsidRPr="00DF67E9" w14:paraId="36507E7D" w14:textId="77777777" w:rsidTr="008E1876">
        <w:tc>
          <w:tcPr>
            <w:tcW w:w="3823" w:type="dxa"/>
            <w:hideMark/>
          </w:tcPr>
          <w:p w14:paraId="7F36AE66" w14:textId="77777777" w:rsidR="008E1876" w:rsidRPr="00DF67E9" w:rsidRDefault="008E1876" w:rsidP="008E1876">
            <w:pPr>
              <w:rPr>
                <w:rFonts w:eastAsia="Calibri" w:cs="Arial"/>
              </w:rPr>
            </w:pPr>
            <w:r w:rsidRPr="00DF67E9">
              <w:rPr>
                <w:rFonts w:eastAsia="Calibri" w:cs="Arial"/>
              </w:rPr>
              <w:t>Total number of risks</w:t>
            </w:r>
          </w:p>
        </w:tc>
        <w:tc>
          <w:tcPr>
            <w:tcW w:w="1275" w:type="dxa"/>
            <w:hideMark/>
          </w:tcPr>
          <w:p w14:paraId="6FCD6960" w14:textId="77777777" w:rsidR="008E1876" w:rsidRPr="00DF67E9" w:rsidRDefault="008E1876" w:rsidP="008E1876">
            <w:pPr>
              <w:jc w:val="center"/>
              <w:rPr>
                <w:rFonts w:eastAsia="Calibri" w:cs="Arial"/>
              </w:rPr>
            </w:pPr>
            <w:r>
              <w:rPr>
                <w:rFonts w:eastAsia="Calibri" w:cs="Arial"/>
              </w:rPr>
              <w:t>8</w:t>
            </w:r>
          </w:p>
        </w:tc>
      </w:tr>
      <w:tr w:rsidR="008E1876" w:rsidRPr="00DF67E9" w14:paraId="30A9D3EE" w14:textId="77777777" w:rsidTr="008E1876">
        <w:tc>
          <w:tcPr>
            <w:tcW w:w="3823" w:type="dxa"/>
            <w:hideMark/>
          </w:tcPr>
          <w:p w14:paraId="49114991" w14:textId="77777777" w:rsidR="008E1876" w:rsidRPr="00DF67E9" w:rsidRDefault="008E1876" w:rsidP="008E1876">
            <w:pPr>
              <w:rPr>
                <w:rFonts w:eastAsia="Calibri" w:cs="Arial"/>
              </w:rPr>
            </w:pPr>
            <w:r w:rsidRPr="00DF67E9">
              <w:rPr>
                <w:rFonts w:eastAsia="Calibri" w:cs="Arial"/>
              </w:rPr>
              <w:t xml:space="preserve">High level risks (rated at 15+)   </w:t>
            </w:r>
          </w:p>
        </w:tc>
        <w:tc>
          <w:tcPr>
            <w:tcW w:w="1275" w:type="dxa"/>
            <w:hideMark/>
          </w:tcPr>
          <w:p w14:paraId="37401672" w14:textId="77777777" w:rsidR="008E1876" w:rsidRPr="00DF67E9" w:rsidRDefault="008E1876" w:rsidP="008E1876">
            <w:pPr>
              <w:jc w:val="center"/>
              <w:rPr>
                <w:rFonts w:eastAsia="Calibri" w:cs="Arial"/>
              </w:rPr>
            </w:pPr>
            <w:r>
              <w:rPr>
                <w:rFonts w:eastAsia="Calibri" w:cs="Arial"/>
              </w:rPr>
              <w:t>1</w:t>
            </w:r>
          </w:p>
        </w:tc>
      </w:tr>
      <w:tr w:rsidR="008E1876" w:rsidRPr="00DF67E9" w14:paraId="48AAC169" w14:textId="77777777" w:rsidTr="008E1876">
        <w:tc>
          <w:tcPr>
            <w:tcW w:w="3823" w:type="dxa"/>
            <w:hideMark/>
          </w:tcPr>
          <w:p w14:paraId="7E3413FE" w14:textId="77777777" w:rsidR="008E1876" w:rsidRPr="00DF67E9" w:rsidRDefault="008E1876" w:rsidP="008E1876">
            <w:pPr>
              <w:rPr>
                <w:rFonts w:eastAsia="Calibri" w:cs="Arial"/>
              </w:rPr>
            </w:pPr>
            <w:r w:rsidRPr="00DF67E9">
              <w:rPr>
                <w:rFonts w:eastAsia="Calibri" w:cs="Arial"/>
              </w:rPr>
              <w:t>Medium to high level risks (rated at 12+)</w:t>
            </w:r>
          </w:p>
        </w:tc>
        <w:tc>
          <w:tcPr>
            <w:tcW w:w="1275" w:type="dxa"/>
            <w:hideMark/>
          </w:tcPr>
          <w:p w14:paraId="2EF002DE" w14:textId="77777777" w:rsidR="008E1876" w:rsidRPr="00DF67E9" w:rsidRDefault="008E1876" w:rsidP="008E1876">
            <w:pPr>
              <w:jc w:val="center"/>
              <w:rPr>
                <w:rFonts w:eastAsia="Calibri" w:cs="Arial"/>
              </w:rPr>
            </w:pPr>
            <w:r>
              <w:rPr>
                <w:rFonts w:eastAsia="Calibri" w:cs="Arial"/>
              </w:rPr>
              <w:t>4</w:t>
            </w:r>
          </w:p>
        </w:tc>
      </w:tr>
      <w:tr w:rsidR="008E1876" w:rsidRPr="00DF67E9" w14:paraId="0DDB9F98" w14:textId="77777777" w:rsidTr="008E1876">
        <w:tc>
          <w:tcPr>
            <w:tcW w:w="3823" w:type="dxa"/>
            <w:hideMark/>
          </w:tcPr>
          <w:p w14:paraId="59CAACEA" w14:textId="77777777" w:rsidR="008E1876" w:rsidRPr="00DF67E9" w:rsidRDefault="008E1876" w:rsidP="008E1876">
            <w:pPr>
              <w:rPr>
                <w:rFonts w:eastAsia="Calibri" w:cs="Arial"/>
              </w:rPr>
            </w:pPr>
            <w:r w:rsidRPr="00DF67E9">
              <w:rPr>
                <w:rFonts w:eastAsia="Calibri" w:cs="Arial"/>
              </w:rPr>
              <w:t>Low to medium level risks (rated at 9+),</w:t>
            </w:r>
          </w:p>
        </w:tc>
        <w:tc>
          <w:tcPr>
            <w:tcW w:w="1275" w:type="dxa"/>
            <w:hideMark/>
          </w:tcPr>
          <w:p w14:paraId="4F5869B2" w14:textId="669459FE" w:rsidR="008E1876" w:rsidRPr="00DF67E9" w:rsidRDefault="00B57F83" w:rsidP="008E1876">
            <w:pPr>
              <w:jc w:val="center"/>
              <w:rPr>
                <w:rFonts w:eastAsia="Calibri" w:cs="Arial"/>
              </w:rPr>
            </w:pPr>
            <w:r>
              <w:rPr>
                <w:rFonts w:eastAsia="Calibri" w:cs="Arial"/>
              </w:rPr>
              <w:t>2</w:t>
            </w:r>
          </w:p>
        </w:tc>
      </w:tr>
      <w:tr w:rsidR="008E1876" w:rsidRPr="00DF67E9" w14:paraId="14618CE2" w14:textId="77777777" w:rsidTr="008E1876">
        <w:tc>
          <w:tcPr>
            <w:tcW w:w="3823" w:type="dxa"/>
            <w:hideMark/>
          </w:tcPr>
          <w:p w14:paraId="3D863A19" w14:textId="77777777" w:rsidR="008E1876" w:rsidRPr="00DF67E9" w:rsidRDefault="008E1876" w:rsidP="008E1876">
            <w:pPr>
              <w:rPr>
                <w:rFonts w:eastAsia="Calibri" w:cs="Arial"/>
              </w:rPr>
            </w:pPr>
            <w:r w:rsidRPr="00DF67E9">
              <w:rPr>
                <w:rFonts w:eastAsia="Calibri" w:cs="Arial"/>
              </w:rPr>
              <w:t>Low level risks (rated at 3+)</w:t>
            </w:r>
          </w:p>
        </w:tc>
        <w:tc>
          <w:tcPr>
            <w:tcW w:w="1275" w:type="dxa"/>
            <w:hideMark/>
          </w:tcPr>
          <w:p w14:paraId="616FAD8B" w14:textId="04E51168" w:rsidR="008E1876" w:rsidRPr="00DF67E9" w:rsidRDefault="00B57F83" w:rsidP="008E1876">
            <w:pPr>
              <w:jc w:val="center"/>
              <w:rPr>
                <w:rFonts w:eastAsia="Calibri" w:cs="Arial"/>
              </w:rPr>
            </w:pPr>
            <w:r>
              <w:rPr>
                <w:rFonts w:eastAsia="Calibri" w:cs="Arial"/>
              </w:rPr>
              <w:t>1</w:t>
            </w:r>
          </w:p>
        </w:tc>
      </w:tr>
    </w:tbl>
    <w:p w14:paraId="5A7935F0" w14:textId="7E0A1D88" w:rsidR="00643124" w:rsidRDefault="008E1876" w:rsidP="00643124">
      <w:pPr>
        <w:rPr>
          <w:rFonts w:ascii="Arial" w:hAnsi="Arial" w:cs="Arial"/>
          <w:sz w:val="21"/>
          <w:szCs w:val="21"/>
        </w:rPr>
      </w:pPr>
      <w:r w:rsidRPr="00643124">
        <w:rPr>
          <w:rFonts w:ascii="Arial" w:hAnsi="Arial" w:cs="Arial"/>
          <w:sz w:val="21"/>
          <w:szCs w:val="21"/>
        </w:rPr>
        <w:t xml:space="preserve"> </w:t>
      </w:r>
      <w:r w:rsidR="00643124" w:rsidRPr="00643124">
        <w:rPr>
          <w:rFonts w:ascii="Arial" w:hAnsi="Arial" w:cs="Arial"/>
          <w:sz w:val="21"/>
          <w:szCs w:val="21"/>
        </w:rPr>
        <w:t>A</w:t>
      </w:r>
      <w:r w:rsidR="00643124">
        <w:rPr>
          <w:rFonts w:ascii="Arial" w:hAnsi="Arial" w:cs="Arial"/>
          <w:sz w:val="21"/>
          <w:szCs w:val="21"/>
        </w:rPr>
        <w:t xml:space="preserve">s at the </w:t>
      </w:r>
      <w:r w:rsidR="00324A42">
        <w:rPr>
          <w:rFonts w:ascii="Arial" w:hAnsi="Arial" w:cs="Arial"/>
          <w:sz w:val="21"/>
          <w:szCs w:val="21"/>
        </w:rPr>
        <w:t>8 Feb</w:t>
      </w:r>
      <w:r w:rsidR="00643124">
        <w:rPr>
          <w:rFonts w:ascii="Arial" w:hAnsi="Arial" w:cs="Arial"/>
          <w:sz w:val="21"/>
          <w:szCs w:val="21"/>
        </w:rPr>
        <w:t>ruary 202</w:t>
      </w:r>
      <w:r w:rsidR="00FF3400">
        <w:rPr>
          <w:rFonts w:ascii="Arial" w:hAnsi="Arial" w:cs="Arial"/>
          <w:sz w:val="21"/>
          <w:szCs w:val="21"/>
        </w:rPr>
        <w:t>2</w:t>
      </w:r>
      <w:r w:rsidR="00643124">
        <w:rPr>
          <w:rFonts w:ascii="Arial" w:hAnsi="Arial" w:cs="Arial"/>
          <w:sz w:val="21"/>
          <w:szCs w:val="21"/>
        </w:rPr>
        <w:t xml:space="preserve">, there are </w:t>
      </w:r>
      <w:r w:rsidR="003F49F4">
        <w:rPr>
          <w:rFonts w:ascii="Arial" w:hAnsi="Arial" w:cs="Arial"/>
          <w:sz w:val="21"/>
          <w:szCs w:val="21"/>
        </w:rPr>
        <w:t xml:space="preserve">currently 8 </w:t>
      </w:r>
      <w:r w:rsidR="003F49F4" w:rsidRPr="00643124">
        <w:rPr>
          <w:rFonts w:ascii="Arial" w:hAnsi="Arial" w:cs="Arial"/>
          <w:sz w:val="21"/>
          <w:szCs w:val="21"/>
        </w:rPr>
        <w:t>risk</w:t>
      </w:r>
      <w:r w:rsidR="003F49F4">
        <w:rPr>
          <w:rFonts w:ascii="Arial" w:hAnsi="Arial" w:cs="Arial"/>
          <w:sz w:val="21"/>
          <w:szCs w:val="21"/>
        </w:rPr>
        <w:t>s</w:t>
      </w:r>
      <w:r w:rsidR="00643124" w:rsidRPr="00643124">
        <w:rPr>
          <w:rFonts w:ascii="Arial" w:hAnsi="Arial" w:cs="Arial"/>
          <w:sz w:val="21"/>
          <w:szCs w:val="21"/>
        </w:rPr>
        <w:t xml:space="preserve"> on the Board Assurance Framework, of these, </w:t>
      </w:r>
      <w:r w:rsidR="003F49F4">
        <w:rPr>
          <w:rFonts w:ascii="Arial" w:hAnsi="Arial" w:cs="Arial"/>
          <w:sz w:val="21"/>
          <w:szCs w:val="21"/>
        </w:rPr>
        <w:t>1 has a</w:t>
      </w:r>
      <w:r w:rsidR="00643124" w:rsidRPr="00643124">
        <w:rPr>
          <w:rFonts w:ascii="Arial" w:hAnsi="Arial" w:cs="Arial"/>
          <w:sz w:val="21"/>
          <w:szCs w:val="21"/>
        </w:rPr>
        <w:t xml:space="preserve"> current risk rating of high (15 or above), please refer to table below.</w:t>
      </w:r>
    </w:p>
    <w:p w14:paraId="4F403588" w14:textId="6D527EA4" w:rsidR="00643124" w:rsidRDefault="00643124" w:rsidP="00643124">
      <w:pPr>
        <w:rPr>
          <w:rFonts w:ascii="Arial" w:hAnsi="Arial" w:cs="Arial"/>
          <w:sz w:val="21"/>
          <w:szCs w:val="21"/>
        </w:rPr>
      </w:pPr>
    </w:p>
    <w:p w14:paraId="05D3AEBF" w14:textId="59800DFD" w:rsidR="003F49F4" w:rsidRDefault="001B7C77" w:rsidP="00B16A9A">
      <w:pPr>
        <w:ind w:firstLine="720"/>
        <w:rPr>
          <w:rFonts w:ascii="Arial" w:hAnsi="Arial" w:cs="Arial"/>
          <w:sz w:val="21"/>
          <w:szCs w:val="21"/>
        </w:rPr>
      </w:pPr>
      <w:r>
        <w:rPr>
          <w:rFonts w:ascii="Verdana" w:eastAsia="Verdana" w:hAnsi="Verdana" w:cs="Verdana"/>
          <w:noProof/>
          <w:color w:val="000000"/>
          <w:sz w:val="16"/>
          <w:lang w:val="en-GB"/>
        </w:rPr>
        <w:drawing>
          <wp:inline distT="0" distB="0" distL="0" distR="0" wp14:anchorId="5298E6D3" wp14:editId="329BDCA1">
            <wp:extent cx="1301750" cy="1326515"/>
            <wp:effectExtent l="0" t="0" r="0" b="698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750" cy="1326515"/>
                    </a:xfrm>
                    <a:prstGeom prst="rect">
                      <a:avLst/>
                    </a:prstGeom>
                    <a:noFill/>
                    <a:ln>
                      <a:noFill/>
                    </a:ln>
                  </pic:spPr>
                </pic:pic>
              </a:graphicData>
            </a:graphic>
          </wp:inline>
        </w:drawing>
      </w:r>
    </w:p>
    <w:p w14:paraId="4AB838EB" w14:textId="076D72CB" w:rsidR="003F49F4" w:rsidRDefault="003F49F4" w:rsidP="00643124">
      <w:pPr>
        <w:rPr>
          <w:rFonts w:ascii="Arial" w:hAnsi="Arial" w:cs="Arial"/>
          <w:sz w:val="21"/>
          <w:szCs w:val="21"/>
        </w:rPr>
      </w:pPr>
    </w:p>
    <w:p w14:paraId="3D2D64F6" w14:textId="79B31ECE" w:rsidR="003F49F4" w:rsidRDefault="00837858" w:rsidP="003F49F4">
      <w:pPr>
        <w:rPr>
          <w:rFonts w:ascii="Calibri" w:eastAsia="MS Mincho" w:hAnsi="Calibri" w:cs="Calibri"/>
          <w:color w:val="000000"/>
          <w:lang w:eastAsia="en-GB"/>
        </w:rPr>
      </w:pPr>
      <w:r>
        <w:rPr>
          <w:rFonts w:ascii="Calibri" w:eastAsia="MS Mincho" w:hAnsi="Calibri" w:cs="Calibri"/>
          <w:color w:val="000000"/>
          <w:lang w:eastAsia="en-GB"/>
        </w:rPr>
        <w:t>Th</w:t>
      </w:r>
      <w:r w:rsidR="003F49F4" w:rsidRPr="004B0E55">
        <w:rPr>
          <w:rFonts w:ascii="Calibri" w:eastAsia="MS Mincho" w:hAnsi="Calibri" w:cs="Calibri"/>
          <w:color w:val="000000"/>
          <w:lang w:eastAsia="en-GB"/>
        </w:rPr>
        <w:t xml:space="preserve">e table below demonstrates the principal risks (that is a risk rating of 15 and above) as </w:t>
      </w:r>
      <w:r w:rsidR="00282862" w:rsidRPr="004B0E55">
        <w:rPr>
          <w:rFonts w:ascii="Calibri" w:eastAsia="MS Mincho" w:hAnsi="Calibri" w:cs="Calibri"/>
          <w:color w:val="000000"/>
          <w:lang w:eastAsia="en-GB"/>
        </w:rPr>
        <w:t>of</w:t>
      </w:r>
      <w:r w:rsidR="003F49F4" w:rsidRPr="004B0E55">
        <w:rPr>
          <w:rFonts w:ascii="Calibri" w:eastAsia="MS Mincho" w:hAnsi="Calibri" w:cs="Calibri"/>
          <w:color w:val="000000"/>
          <w:lang w:eastAsia="en-GB"/>
        </w:rPr>
        <w:t xml:space="preserve"> </w:t>
      </w:r>
      <w:r w:rsidR="00B16A9A">
        <w:rPr>
          <w:rFonts w:ascii="Calibri" w:eastAsia="MS Mincho" w:hAnsi="Calibri" w:cs="Calibri"/>
          <w:color w:val="000000"/>
          <w:lang w:eastAsia="en-GB"/>
        </w:rPr>
        <w:t xml:space="preserve">8 </w:t>
      </w:r>
      <w:r w:rsidR="003F49F4">
        <w:rPr>
          <w:rFonts w:ascii="Calibri" w:eastAsia="MS Mincho" w:hAnsi="Calibri" w:cs="Calibri"/>
          <w:color w:val="000000"/>
          <w:lang w:eastAsia="en-GB"/>
        </w:rPr>
        <w:t>February 202</w:t>
      </w:r>
      <w:r w:rsidR="00B16A9A">
        <w:rPr>
          <w:rFonts w:ascii="Calibri" w:eastAsia="MS Mincho" w:hAnsi="Calibri" w:cs="Calibri"/>
          <w:color w:val="000000"/>
          <w:lang w:eastAsia="en-GB"/>
        </w:rPr>
        <w:t>2</w:t>
      </w:r>
    </w:p>
    <w:p w14:paraId="67B1CDBA" w14:textId="77777777" w:rsidR="00282862" w:rsidRDefault="00282862" w:rsidP="003F49F4">
      <w:pPr>
        <w:rPr>
          <w:rFonts w:ascii="Calibri" w:eastAsia="MS Mincho" w:hAnsi="Calibri" w:cs="Calibri"/>
          <w:color w:val="000000"/>
          <w:lang w:eastAsia="en-GB"/>
        </w:rPr>
      </w:pPr>
    </w:p>
    <w:tbl>
      <w:tblPr>
        <w:tblStyle w:val="TableGrid"/>
        <w:tblW w:w="15593" w:type="dxa"/>
        <w:tblInd w:w="-147" w:type="dxa"/>
        <w:tblLook w:val="04A0" w:firstRow="1" w:lastRow="0" w:firstColumn="1" w:lastColumn="0" w:noHBand="0" w:noVBand="1"/>
      </w:tblPr>
      <w:tblGrid>
        <w:gridCol w:w="888"/>
        <w:gridCol w:w="4384"/>
        <w:gridCol w:w="828"/>
        <w:gridCol w:w="9493"/>
      </w:tblGrid>
      <w:tr w:rsidR="008E1876" w14:paraId="2355C5DD" w14:textId="77777777" w:rsidTr="008E1876">
        <w:tc>
          <w:tcPr>
            <w:tcW w:w="888" w:type="dxa"/>
          </w:tcPr>
          <w:p w14:paraId="71B4247F" w14:textId="49018B5E" w:rsidR="008E1876" w:rsidRPr="008E1876" w:rsidRDefault="008E1876" w:rsidP="003F49F4">
            <w:pPr>
              <w:rPr>
                <w:rFonts w:ascii="Tahoma" w:eastAsia="MS Mincho" w:hAnsi="Tahoma" w:cs="Tahoma"/>
                <w:b/>
                <w:bCs/>
                <w:color w:val="000000"/>
                <w:sz w:val="16"/>
                <w:szCs w:val="16"/>
                <w:lang w:eastAsia="en-GB"/>
              </w:rPr>
            </w:pPr>
            <w:r w:rsidRPr="008E1876">
              <w:rPr>
                <w:rFonts w:ascii="Tahoma" w:eastAsia="MS Mincho" w:hAnsi="Tahoma" w:cs="Tahoma"/>
                <w:b/>
                <w:bCs/>
                <w:color w:val="000000"/>
                <w:sz w:val="16"/>
                <w:szCs w:val="16"/>
                <w:lang w:eastAsia="en-GB"/>
              </w:rPr>
              <w:t>Risk Code</w:t>
            </w:r>
          </w:p>
        </w:tc>
        <w:tc>
          <w:tcPr>
            <w:tcW w:w="4384" w:type="dxa"/>
          </w:tcPr>
          <w:p w14:paraId="26E91B11" w14:textId="6168C9FD" w:rsidR="008E1876" w:rsidRPr="008E1876" w:rsidRDefault="008E1876" w:rsidP="003F49F4">
            <w:pPr>
              <w:rPr>
                <w:rFonts w:ascii="Tahoma" w:eastAsia="MS Mincho" w:hAnsi="Tahoma" w:cs="Tahoma"/>
                <w:b/>
                <w:bCs/>
                <w:color w:val="000000"/>
                <w:sz w:val="16"/>
                <w:szCs w:val="16"/>
                <w:lang w:eastAsia="en-GB"/>
              </w:rPr>
            </w:pPr>
            <w:r w:rsidRPr="008E1876">
              <w:rPr>
                <w:rFonts w:ascii="Tahoma" w:eastAsia="MS Mincho" w:hAnsi="Tahoma" w:cs="Tahoma"/>
                <w:b/>
                <w:bCs/>
                <w:color w:val="000000"/>
                <w:sz w:val="16"/>
                <w:szCs w:val="16"/>
                <w:lang w:eastAsia="en-GB"/>
              </w:rPr>
              <w:t xml:space="preserve">Risk Summary </w:t>
            </w:r>
          </w:p>
        </w:tc>
        <w:tc>
          <w:tcPr>
            <w:tcW w:w="828" w:type="dxa"/>
          </w:tcPr>
          <w:p w14:paraId="0209BFC9" w14:textId="7F5CA6A0" w:rsidR="008E1876" w:rsidRPr="008E1876" w:rsidRDefault="008E1876" w:rsidP="003F49F4">
            <w:pPr>
              <w:rPr>
                <w:rFonts w:ascii="Tahoma" w:eastAsia="MS Mincho" w:hAnsi="Tahoma" w:cs="Tahoma"/>
                <w:b/>
                <w:bCs/>
                <w:color w:val="000000"/>
                <w:sz w:val="16"/>
                <w:szCs w:val="16"/>
                <w:lang w:eastAsia="en-GB"/>
              </w:rPr>
            </w:pPr>
            <w:r w:rsidRPr="008E1876">
              <w:rPr>
                <w:rFonts w:ascii="Tahoma" w:eastAsia="MS Mincho" w:hAnsi="Tahoma" w:cs="Tahoma"/>
                <w:b/>
                <w:bCs/>
                <w:color w:val="000000"/>
                <w:sz w:val="16"/>
                <w:szCs w:val="16"/>
                <w:lang w:eastAsia="en-GB"/>
              </w:rPr>
              <w:t xml:space="preserve">Current risk rating </w:t>
            </w:r>
          </w:p>
        </w:tc>
        <w:tc>
          <w:tcPr>
            <w:tcW w:w="9493" w:type="dxa"/>
          </w:tcPr>
          <w:p w14:paraId="4B0F41A2" w14:textId="19C6115A" w:rsidR="008E1876" w:rsidRPr="008E1876" w:rsidRDefault="008E1876" w:rsidP="008E1876">
            <w:pPr>
              <w:jc w:val="center"/>
              <w:rPr>
                <w:rFonts w:ascii="Tahoma" w:eastAsia="MS Mincho" w:hAnsi="Tahoma" w:cs="Tahoma"/>
                <w:b/>
                <w:bCs/>
                <w:color w:val="000000"/>
                <w:sz w:val="16"/>
                <w:szCs w:val="16"/>
                <w:lang w:eastAsia="en-GB"/>
              </w:rPr>
            </w:pPr>
            <w:r w:rsidRPr="008E1876">
              <w:rPr>
                <w:rFonts w:ascii="Tahoma" w:eastAsia="MS Mincho" w:hAnsi="Tahoma" w:cs="Tahoma"/>
                <w:b/>
                <w:bCs/>
                <w:color w:val="000000"/>
                <w:sz w:val="16"/>
                <w:szCs w:val="16"/>
                <w:lang w:eastAsia="en-GB"/>
              </w:rPr>
              <w:t>Controls</w:t>
            </w:r>
          </w:p>
        </w:tc>
      </w:tr>
      <w:tr w:rsidR="008E1876" w14:paraId="1CBF6BA5" w14:textId="77777777" w:rsidTr="008E1876">
        <w:tc>
          <w:tcPr>
            <w:tcW w:w="888" w:type="dxa"/>
          </w:tcPr>
          <w:p w14:paraId="2C9469E1" w14:textId="49F09449" w:rsidR="008E1876" w:rsidRPr="008E1876" w:rsidRDefault="008E1876" w:rsidP="003F49F4">
            <w:pPr>
              <w:rPr>
                <w:rFonts w:ascii="Tahoma" w:eastAsia="MS Mincho" w:hAnsi="Tahoma" w:cs="Tahoma"/>
                <w:color w:val="000000"/>
                <w:sz w:val="16"/>
                <w:szCs w:val="16"/>
                <w:lang w:eastAsia="en-GB"/>
              </w:rPr>
            </w:pPr>
            <w:r w:rsidRPr="008E1876">
              <w:rPr>
                <w:rFonts w:ascii="Tahoma" w:eastAsia="MS Mincho" w:hAnsi="Tahoma" w:cs="Tahoma"/>
                <w:color w:val="000000"/>
                <w:sz w:val="16"/>
                <w:szCs w:val="16"/>
                <w:lang w:eastAsia="en-GB"/>
              </w:rPr>
              <w:t>CCG- BAF.3006</w:t>
            </w:r>
          </w:p>
        </w:tc>
        <w:tc>
          <w:tcPr>
            <w:tcW w:w="4384" w:type="dxa"/>
          </w:tcPr>
          <w:p w14:paraId="54AEB83A" w14:textId="2CAB9EC3" w:rsidR="008E1876" w:rsidRPr="008E1876" w:rsidRDefault="008E1876" w:rsidP="003F49F4">
            <w:pPr>
              <w:rPr>
                <w:rFonts w:ascii="Tahoma" w:eastAsia="MS Mincho" w:hAnsi="Tahoma" w:cs="Tahoma"/>
                <w:color w:val="000000"/>
                <w:sz w:val="16"/>
                <w:szCs w:val="16"/>
                <w:lang w:eastAsia="en-GB"/>
              </w:rPr>
            </w:pPr>
            <w:r>
              <w:rPr>
                <w:rFonts w:ascii="Tahoma" w:eastAsia="Tahoma" w:hAnsi="Tahoma" w:cs="Tahoma"/>
                <w:color w:val="1D2828"/>
                <w:sz w:val="16"/>
                <w:szCs w:val="24"/>
                <w:lang w:eastAsia="en-GB"/>
              </w:rPr>
              <w:t xml:space="preserve">COVID 19 - </w:t>
            </w:r>
            <w:r w:rsidR="006223C6" w:rsidRPr="006223C6">
              <w:rPr>
                <w:rFonts w:ascii="Tahoma" w:eastAsia="Tahoma" w:hAnsi="Tahoma" w:cs="Tahoma"/>
                <w:color w:val="1D2828"/>
                <w:sz w:val="16"/>
                <w:szCs w:val="24"/>
                <w:lang w:eastAsia="en-GB"/>
              </w:rPr>
              <w:t xml:space="preserve">The NHS is currently dealing with the global health emergency created by the Covid-19 pandemic, and we have now </w:t>
            </w:r>
            <w:proofErr w:type="gramStart"/>
            <w:r w:rsidR="006223C6" w:rsidRPr="006223C6">
              <w:rPr>
                <w:rFonts w:ascii="Tahoma" w:eastAsia="Tahoma" w:hAnsi="Tahoma" w:cs="Tahoma"/>
                <w:color w:val="1D2828"/>
                <w:sz w:val="16"/>
                <w:szCs w:val="24"/>
                <w:lang w:eastAsia="en-GB"/>
              </w:rPr>
              <w:t>entered into</w:t>
            </w:r>
            <w:proofErr w:type="gramEnd"/>
            <w:r w:rsidR="006223C6" w:rsidRPr="006223C6">
              <w:rPr>
                <w:rFonts w:ascii="Tahoma" w:eastAsia="Tahoma" w:hAnsi="Tahoma" w:cs="Tahoma"/>
                <w:color w:val="1D2828"/>
                <w:sz w:val="16"/>
                <w:szCs w:val="24"/>
                <w:lang w:eastAsia="en-GB"/>
              </w:rPr>
              <w:t xml:space="preserve"> the recovery phase.  The risk has possible implications for both the CCG as an </w:t>
            </w:r>
            <w:proofErr w:type="spellStart"/>
            <w:r w:rsidR="006223C6" w:rsidRPr="006223C6">
              <w:rPr>
                <w:rFonts w:ascii="Tahoma" w:eastAsia="Tahoma" w:hAnsi="Tahoma" w:cs="Tahoma"/>
                <w:color w:val="1D2828"/>
                <w:sz w:val="16"/>
                <w:szCs w:val="24"/>
                <w:lang w:eastAsia="en-GB"/>
              </w:rPr>
              <w:t>organisation</w:t>
            </w:r>
            <w:proofErr w:type="spellEnd"/>
            <w:r w:rsidR="006223C6" w:rsidRPr="006223C6">
              <w:rPr>
                <w:rFonts w:ascii="Tahoma" w:eastAsia="Tahoma" w:hAnsi="Tahoma" w:cs="Tahoma"/>
                <w:color w:val="1D2828"/>
                <w:sz w:val="16"/>
                <w:szCs w:val="24"/>
                <w:lang w:eastAsia="en-GB"/>
              </w:rPr>
              <w:t xml:space="preserve"> and providers and patients. The NHS has put in place measures to ensure the safety of patients and staff while delivering services.   The NHS is currently completing plans to resume pre-Covid levels of activity whilst also planning for a potential second spike and the impact of Winter which could result in potential staffing shortages due to sickness, </w:t>
            </w:r>
            <w:proofErr w:type="spellStart"/>
            <w:r w:rsidR="006223C6" w:rsidRPr="006223C6">
              <w:rPr>
                <w:rFonts w:ascii="Tahoma" w:eastAsia="Tahoma" w:hAnsi="Tahoma" w:cs="Tahoma"/>
                <w:color w:val="1D2828"/>
                <w:sz w:val="16"/>
                <w:szCs w:val="24"/>
                <w:lang w:eastAsia="en-GB"/>
              </w:rPr>
              <w:t>carers</w:t>
            </w:r>
            <w:proofErr w:type="spellEnd"/>
            <w:r w:rsidR="006223C6" w:rsidRPr="006223C6">
              <w:rPr>
                <w:rFonts w:ascii="Tahoma" w:eastAsia="Tahoma" w:hAnsi="Tahoma" w:cs="Tahoma"/>
                <w:color w:val="1D2828"/>
                <w:sz w:val="16"/>
                <w:szCs w:val="24"/>
                <w:lang w:eastAsia="en-GB"/>
              </w:rPr>
              <w:t xml:space="preserve"> leave and increased patient attendances.   The CCG premises is closed, and staff are working from home with continued support.</w:t>
            </w:r>
          </w:p>
        </w:tc>
        <w:tc>
          <w:tcPr>
            <w:tcW w:w="828" w:type="dxa"/>
            <w:shd w:val="clear" w:color="auto" w:fill="FF0000"/>
          </w:tcPr>
          <w:p w14:paraId="664644AB" w14:textId="42BCBCA0" w:rsidR="008E1876" w:rsidRPr="008E1876" w:rsidRDefault="008E1876" w:rsidP="003F49F4">
            <w:pPr>
              <w:rPr>
                <w:rFonts w:ascii="Tahoma" w:eastAsia="MS Mincho" w:hAnsi="Tahoma" w:cs="Tahoma"/>
                <w:b/>
                <w:bCs/>
                <w:color w:val="000000"/>
                <w:sz w:val="16"/>
                <w:szCs w:val="16"/>
                <w:lang w:eastAsia="en-GB"/>
              </w:rPr>
            </w:pPr>
            <w:r w:rsidRPr="008E1876">
              <w:rPr>
                <w:rFonts w:ascii="Tahoma" w:eastAsia="MS Mincho" w:hAnsi="Tahoma" w:cs="Tahoma"/>
                <w:b/>
                <w:bCs/>
                <w:color w:val="000000"/>
                <w:sz w:val="16"/>
                <w:szCs w:val="16"/>
                <w:lang w:eastAsia="en-GB"/>
              </w:rPr>
              <w:t>16</w:t>
            </w:r>
          </w:p>
        </w:tc>
        <w:tc>
          <w:tcPr>
            <w:tcW w:w="9493" w:type="dxa"/>
          </w:tcPr>
          <w:p w14:paraId="7558B940" w14:textId="77777777" w:rsidR="008E1876" w:rsidRPr="00DF67E9" w:rsidRDefault="008E1876" w:rsidP="008E1876">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Assurance on controls</w:t>
            </w:r>
          </w:p>
          <w:p w14:paraId="265DBC51" w14:textId="282F20F1" w:rsidR="007F10CA" w:rsidRDefault="007F10CA" w:rsidP="007F10CA">
            <w:pPr>
              <w:rPr>
                <w:rFonts w:ascii="Tahoma" w:eastAsia="Tahoma" w:hAnsi="Tahoma" w:cs="Tahoma"/>
                <w:b/>
                <w:color w:val="000000"/>
                <w:sz w:val="16"/>
              </w:rPr>
            </w:pPr>
            <w:r>
              <w:rPr>
                <w:rFonts w:ascii="Tahoma" w:eastAsia="Tahoma" w:hAnsi="Tahoma" w:cs="Tahoma"/>
                <w:color w:val="1D2828"/>
                <w:sz w:val="16"/>
              </w:rPr>
              <w:t>All working groups on Covid-19 have action plans which are regularly updated. The Union Outbreak Control Steering Group meets monthly and updates the NEL Outbreak Management Plan. Covid-19 is a strategic risk for NELC and both CCG and NELC staff are involved in its mitigation.</w:t>
            </w:r>
          </w:p>
          <w:p w14:paraId="2A87CF60" w14:textId="750E33E8" w:rsidR="007F10CA" w:rsidRDefault="007F10CA" w:rsidP="007F10CA">
            <w:pPr>
              <w:rPr>
                <w:rFonts w:ascii="Tahoma" w:eastAsia="Tahoma" w:hAnsi="Tahoma" w:cs="Tahoma"/>
                <w:b/>
                <w:color w:val="000000"/>
                <w:sz w:val="16"/>
                <w:szCs w:val="24"/>
                <w:lang w:eastAsia="en-GB"/>
              </w:rPr>
            </w:pPr>
            <w:r>
              <w:rPr>
                <w:rFonts w:ascii="Tahoma" w:eastAsia="Tahoma" w:hAnsi="Tahoma" w:cs="Tahoma"/>
                <w:color w:val="1D2828"/>
                <w:sz w:val="16"/>
              </w:rPr>
              <w:t>CCG Covid 19 Risk committee established and meets weekly to oversee the work undertaken and decisions made as part of the covid response on behalf of the Governing Body</w:t>
            </w:r>
          </w:p>
          <w:p w14:paraId="18529231" w14:textId="77777777" w:rsidR="007F10CA" w:rsidRDefault="007F10CA" w:rsidP="008E1876">
            <w:pPr>
              <w:rPr>
                <w:rFonts w:ascii="Tahoma" w:eastAsia="Tahoma" w:hAnsi="Tahoma" w:cs="Tahoma"/>
                <w:b/>
                <w:color w:val="000000"/>
                <w:sz w:val="16"/>
                <w:szCs w:val="24"/>
                <w:lang w:eastAsia="en-GB"/>
              </w:rPr>
            </w:pPr>
          </w:p>
          <w:p w14:paraId="07DAF253" w14:textId="32BF0F6F" w:rsidR="008E1876" w:rsidRPr="00DF67E9" w:rsidRDefault="008E1876" w:rsidP="008E1876">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Positive Assurances</w:t>
            </w:r>
          </w:p>
          <w:p w14:paraId="73B2CD82" w14:textId="391A94EB" w:rsidR="00C36B15" w:rsidRDefault="00C36B15" w:rsidP="00C36B15">
            <w:pPr>
              <w:rPr>
                <w:rFonts w:ascii="Tahoma" w:eastAsia="Tahoma" w:hAnsi="Tahoma" w:cs="Tahoma"/>
                <w:b/>
                <w:color w:val="000000"/>
                <w:sz w:val="16"/>
              </w:rPr>
            </w:pPr>
            <w:r>
              <w:t>•</w:t>
            </w:r>
            <w:r>
              <w:rPr>
                <w:rFonts w:ascii="Tahoma" w:eastAsia="Tahoma" w:hAnsi="Tahoma" w:cs="Tahoma"/>
                <w:color w:val="1D2828"/>
                <w:sz w:val="16"/>
              </w:rPr>
              <w:t xml:space="preserve"> Leadership Team (Union) </w:t>
            </w:r>
          </w:p>
          <w:p w14:paraId="2D82E85E" w14:textId="77777777" w:rsidR="00C36B15" w:rsidRDefault="00C36B15" w:rsidP="00C36B15">
            <w:pPr>
              <w:rPr>
                <w:rFonts w:ascii="Tahoma" w:eastAsia="Tahoma" w:hAnsi="Tahoma" w:cs="Tahoma"/>
                <w:color w:val="1D2828"/>
                <w:sz w:val="16"/>
              </w:rPr>
            </w:pPr>
            <w:r>
              <w:t>•</w:t>
            </w:r>
            <w:r>
              <w:rPr>
                <w:rFonts w:ascii="Tahoma" w:eastAsia="Tahoma" w:hAnsi="Tahoma" w:cs="Tahoma"/>
                <w:color w:val="1D2828"/>
                <w:sz w:val="16"/>
              </w:rPr>
              <w:t xml:space="preserve"> NEL Covid 19 outbreak control steering group </w:t>
            </w:r>
          </w:p>
          <w:p w14:paraId="1219269B" w14:textId="77777777" w:rsidR="00C36B15" w:rsidRDefault="00C36B15" w:rsidP="00C36B15">
            <w:pPr>
              <w:rPr>
                <w:rFonts w:ascii="Tahoma" w:eastAsia="Tahoma" w:hAnsi="Tahoma" w:cs="Tahoma"/>
                <w:color w:val="1D2828"/>
                <w:sz w:val="16"/>
              </w:rPr>
            </w:pPr>
            <w:r>
              <w:t>•</w:t>
            </w:r>
            <w:r>
              <w:rPr>
                <w:rFonts w:ascii="Tahoma" w:eastAsia="Tahoma" w:hAnsi="Tahoma" w:cs="Tahoma"/>
                <w:color w:val="1D2828"/>
                <w:sz w:val="16"/>
              </w:rPr>
              <w:t xml:space="preserve"> Senior Leadership Team (CCG) </w:t>
            </w:r>
          </w:p>
          <w:p w14:paraId="69EAD495" w14:textId="77777777" w:rsidR="00C36B15" w:rsidRDefault="00C36B15" w:rsidP="00C36B15">
            <w:pPr>
              <w:rPr>
                <w:rFonts w:ascii="Tahoma" w:eastAsia="Tahoma" w:hAnsi="Tahoma" w:cs="Tahoma"/>
                <w:color w:val="1D2828"/>
                <w:sz w:val="16"/>
              </w:rPr>
            </w:pPr>
            <w:r>
              <w:t>•</w:t>
            </w:r>
            <w:r>
              <w:rPr>
                <w:rFonts w:ascii="Tahoma" w:eastAsia="Tahoma" w:hAnsi="Tahoma" w:cs="Tahoma"/>
                <w:color w:val="1D2828"/>
                <w:sz w:val="16"/>
              </w:rPr>
              <w:t xml:space="preserve"> HCV Strategic Group </w:t>
            </w:r>
          </w:p>
          <w:p w14:paraId="70EA54E2" w14:textId="77777777" w:rsidR="00C36B15" w:rsidRDefault="00C36B15" w:rsidP="00C36B15">
            <w:pPr>
              <w:rPr>
                <w:rFonts w:ascii="Tahoma" w:eastAsia="Tahoma" w:hAnsi="Tahoma" w:cs="Tahoma"/>
                <w:color w:val="1D2828"/>
                <w:sz w:val="16"/>
              </w:rPr>
            </w:pPr>
            <w:r>
              <w:t>•</w:t>
            </w:r>
            <w:r>
              <w:rPr>
                <w:rFonts w:ascii="Tahoma" w:eastAsia="Tahoma" w:hAnsi="Tahoma" w:cs="Tahoma"/>
                <w:color w:val="1D2828"/>
                <w:sz w:val="16"/>
              </w:rPr>
              <w:t xml:space="preserve"> Northern Lincolnshire A&amp;E Delivery Board </w:t>
            </w:r>
          </w:p>
          <w:p w14:paraId="68C74C7F" w14:textId="77777777" w:rsidR="00C36B15" w:rsidRDefault="00C36B15" w:rsidP="00C36B15">
            <w:pPr>
              <w:rPr>
                <w:rFonts w:ascii="Tahoma" w:eastAsia="Tahoma" w:hAnsi="Tahoma" w:cs="Tahoma"/>
                <w:color w:val="1D2828"/>
                <w:sz w:val="16"/>
              </w:rPr>
            </w:pPr>
            <w:r>
              <w:t>•</w:t>
            </w:r>
            <w:r>
              <w:rPr>
                <w:rFonts w:ascii="Tahoma" w:eastAsia="Tahoma" w:hAnsi="Tahoma" w:cs="Tahoma"/>
                <w:color w:val="1D2828"/>
                <w:sz w:val="16"/>
              </w:rPr>
              <w:t xml:space="preserve"> Risk committee – oversees the emergency decisions whilst the CCG Governing Body and committees are stood down </w:t>
            </w:r>
          </w:p>
          <w:p w14:paraId="40CEA1A4" w14:textId="77777777" w:rsidR="00C36B15" w:rsidRDefault="00C36B15" w:rsidP="00C36B15">
            <w:pPr>
              <w:rPr>
                <w:rFonts w:ascii="Tahoma" w:eastAsia="Tahoma" w:hAnsi="Tahoma" w:cs="Tahoma"/>
                <w:color w:val="1D2828"/>
                <w:sz w:val="16"/>
              </w:rPr>
            </w:pPr>
            <w:r>
              <w:t>•</w:t>
            </w:r>
            <w:r>
              <w:rPr>
                <w:rFonts w:ascii="Tahoma" w:eastAsia="Tahoma" w:hAnsi="Tahoma" w:cs="Tahoma"/>
                <w:color w:val="1D2828"/>
                <w:sz w:val="16"/>
              </w:rPr>
              <w:t xml:space="preserve"> Humber Health Cell </w:t>
            </w:r>
          </w:p>
          <w:p w14:paraId="0793640A" w14:textId="521BF3EF" w:rsidR="008E1876" w:rsidRDefault="008E1876" w:rsidP="00C36B15">
            <w:pPr>
              <w:rPr>
                <w:rFonts w:ascii="Tahoma" w:eastAsia="Tahoma" w:hAnsi="Tahoma" w:cs="Tahoma"/>
                <w:color w:val="1D2828"/>
                <w:sz w:val="16"/>
              </w:rPr>
            </w:pPr>
          </w:p>
          <w:p w14:paraId="0465D487" w14:textId="77777777" w:rsidR="008E1876" w:rsidRPr="00DF67E9" w:rsidRDefault="008E1876" w:rsidP="008E1876">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controls</w:t>
            </w:r>
          </w:p>
          <w:p w14:paraId="0C728FE7" w14:textId="77777777" w:rsidR="00282862" w:rsidRPr="00282862" w:rsidRDefault="00282862" w:rsidP="00282862">
            <w:pPr>
              <w:rPr>
                <w:rFonts w:ascii="Tahoma" w:eastAsia="Tahoma" w:hAnsi="Tahoma" w:cs="Tahoma"/>
                <w:color w:val="1D2828"/>
                <w:sz w:val="16"/>
                <w:szCs w:val="24"/>
                <w:lang w:val="en-GB" w:eastAsia="en-GB"/>
              </w:rPr>
            </w:pPr>
            <w:r w:rsidRPr="00282862">
              <w:rPr>
                <w:rFonts w:ascii="Tahoma" w:eastAsia="Tahoma" w:hAnsi="Tahoma" w:cs="Tahoma"/>
                <w:color w:val="1D2828"/>
                <w:sz w:val="16"/>
                <w:szCs w:val="24"/>
                <w:lang w:val="en-GB" w:eastAsia="en-GB"/>
              </w:rPr>
              <w:t xml:space="preserve">The CCG business continuity plan has now been reviewed, but there are still some gaps in support from NELC IT </w:t>
            </w:r>
            <w:proofErr w:type="gramStart"/>
            <w:r w:rsidRPr="00282862">
              <w:rPr>
                <w:rFonts w:ascii="Tahoma" w:eastAsia="Tahoma" w:hAnsi="Tahoma" w:cs="Tahoma"/>
                <w:color w:val="1D2828"/>
                <w:sz w:val="16"/>
                <w:szCs w:val="24"/>
                <w:lang w:val="en-GB" w:eastAsia="en-GB"/>
              </w:rPr>
              <w:t>including</w:t>
            </w:r>
            <w:proofErr w:type="gramEnd"/>
            <w:r w:rsidRPr="00282862">
              <w:rPr>
                <w:rFonts w:ascii="Tahoma" w:eastAsia="Tahoma" w:hAnsi="Tahoma" w:cs="Tahoma"/>
                <w:color w:val="1D2828"/>
                <w:sz w:val="16"/>
                <w:szCs w:val="24"/>
                <w:lang w:val="en-GB" w:eastAsia="en-GB"/>
              </w:rPr>
              <w:t xml:space="preserve"> an out of hours number to call for issues. The CCG relies heavily on IT solutions as a fully agile workforce. </w:t>
            </w:r>
          </w:p>
          <w:p w14:paraId="22074419" w14:textId="77777777" w:rsidR="00282862" w:rsidRPr="00282862" w:rsidRDefault="00282862" w:rsidP="00282862">
            <w:pPr>
              <w:rPr>
                <w:rFonts w:ascii="Tahoma" w:eastAsia="Tahoma" w:hAnsi="Tahoma" w:cs="Tahoma"/>
                <w:color w:val="1D2828"/>
                <w:sz w:val="16"/>
                <w:szCs w:val="24"/>
                <w:lang w:val="en-GB" w:eastAsia="en-GB"/>
              </w:rPr>
            </w:pPr>
            <w:r w:rsidRPr="00282862">
              <w:rPr>
                <w:rFonts w:ascii="Tahoma" w:eastAsia="Tahoma" w:hAnsi="Tahoma" w:cs="Tahoma"/>
                <w:color w:val="1D2828"/>
                <w:sz w:val="16"/>
                <w:szCs w:val="24"/>
                <w:lang w:val="en-GB" w:eastAsia="en-GB"/>
              </w:rPr>
              <w:t xml:space="preserve">• Test and trace can cause absences to health and care staff due to contact tracing </w:t>
            </w:r>
          </w:p>
          <w:p w14:paraId="3BCE38C3" w14:textId="77777777" w:rsidR="00282862" w:rsidRDefault="00282862" w:rsidP="00282862">
            <w:pPr>
              <w:rPr>
                <w:rFonts w:ascii="Tahoma" w:eastAsia="Tahoma" w:hAnsi="Tahoma" w:cs="Tahoma"/>
                <w:color w:val="1D2828"/>
                <w:sz w:val="16"/>
                <w:szCs w:val="24"/>
                <w:lang w:val="en-GB" w:eastAsia="en-GB"/>
              </w:rPr>
            </w:pPr>
            <w:r w:rsidRPr="00282862">
              <w:rPr>
                <w:rFonts w:ascii="Tahoma" w:eastAsia="Tahoma" w:hAnsi="Tahoma" w:cs="Tahoma"/>
                <w:color w:val="1D2828"/>
                <w:sz w:val="16"/>
                <w:szCs w:val="24"/>
                <w:lang w:val="en-GB" w:eastAsia="en-GB"/>
              </w:rPr>
              <w:t>• Staff absences can surge with Covid-19 spread, particularly in schools. For example, when the schools returned in both September 2020 and 2021, there was a surge in staff absence associated with children being sent home and staff needing to be off for childcare, or due to positive cases resulting from school spread. This has been mitigated slightly as a lot of restrictions in schools have now been relaxed.</w:t>
            </w:r>
          </w:p>
          <w:p w14:paraId="78AD6613" w14:textId="3249299D" w:rsidR="008E1876" w:rsidRDefault="00282862" w:rsidP="00282862">
            <w:pPr>
              <w:rPr>
                <w:rFonts w:ascii="Tahoma" w:eastAsia="Tahoma" w:hAnsi="Tahoma" w:cs="Tahoma"/>
                <w:color w:val="1D2828"/>
                <w:sz w:val="16"/>
                <w:szCs w:val="24"/>
                <w:lang w:val="en-GB" w:eastAsia="en-GB"/>
              </w:rPr>
            </w:pPr>
            <w:r w:rsidRPr="00282862">
              <w:rPr>
                <w:rFonts w:ascii="Tahoma" w:eastAsia="Tahoma" w:hAnsi="Tahoma" w:cs="Tahoma"/>
                <w:color w:val="1D2828"/>
                <w:sz w:val="16"/>
                <w:szCs w:val="24"/>
                <w:lang w:val="en-GB" w:eastAsia="en-GB"/>
              </w:rPr>
              <w:t xml:space="preserve">  </w:t>
            </w:r>
          </w:p>
          <w:p w14:paraId="3E12F53F" w14:textId="77777777" w:rsidR="008E1876" w:rsidRPr="00DF67E9" w:rsidRDefault="008E1876" w:rsidP="008E1876">
            <w:pPr>
              <w:rPr>
                <w:rFonts w:ascii="Tahoma" w:eastAsia="Tahoma" w:hAnsi="Tahoma" w:cs="Tahoma"/>
                <w:color w:val="1D2828"/>
                <w:sz w:val="16"/>
                <w:szCs w:val="24"/>
                <w:lang w:eastAsia="en-GB"/>
              </w:rPr>
            </w:pPr>
            <w:r w:rsidRPr="00DF67E9">
              <w:rPr>
                <w:rFonts w:ascii="Tahoma" w:eastAsia="Tahoma" w:hAnsi="Tahoma" w:cs="Tahoma"/>
                <w:b/>
                <w:color w:val="000000"/>
                <w:sz w:val="16"/>
                <w:szCs w:val="24"/>
                <w:lang w:eastAsia="en-GB"/>
              </w:rPr>
              <w:t>Gaps in assurances</w:t>
            </w:r>
          </w:p>
          <w:p w14:paraId="30C550F4" w14:textId="5251D5DC" w:rsidR="008E1876" w:rsidRPr="008E1876" w:rsidRDefault="008E1876" w:rsidP="008E1876">
            <w:pPr>
              <w:rPr>
                <w:rFonts w:ascii="Tahoma" w:eastAsia="MS Mincho" w:hAnsi="Tahoma" w:cs="Tahoma"/>
                <w:color w:val="000000"/>
                <w:sz w:val="16"/>
                <w:szCs w:val="16"/>
                <w:lang w:eastAsia="en-GB"/>
              </w:rPr>
            </w:pPr>
            <w:r>
              <w:rPr>
                <w:rFonts w:ascii="Tahoma" w:eastAsia="Tahoma" w:hAnsi="Tahoma" w:cs="Tahoma"/>
                <w:color w:val="000000"/>
                <w:sz w:val="16"/>
                <w:szCs w:val="24"/>
                <w:lang w:eastAsia="en-GB"/>
              </w:rPr>
              <w:t>None</w:t>
            </w:r>
          </w:p>
        </w:tc>
      </w:tr>
    </w:tbl>
    <w:p w14:paraId="1090361E" w14:textId="5ED6E94E" w:rsidR="008E1876" w:rsidRPr="00282862" w:rsidRDefault="008E1876" w:rsidP="008E1876">
      <w:pPr>
        <w:tabs>
          <w:tab w:val="left" w:pos="1770"/>
        </w:tabs>
        <w:rPr>
          <w:rFonts w:ascii="Arial" w:hAnsi="Arial" w:cs="Arial"/>
          <w:b/>
          <w:bCs/>
          <w:sz w:val="21"/>
          <w:szCs w:val="21"/>
        </w:rPr>
      </w:pPr>
      <w:r w:rsidRPr="00282862">
        <w:rPr>
          <w:rFonts w:ascii="Arial" w:hAnsi="Arial" w:cs="Arial"/>
          <w:b/>
          <w:bCs/>
          <w:sz w:val="21"/>
          <w:szCs w:val="21"/>
        </w:rPr>
        <w:lastRenderedPageBreak/>
        <w:t>Supporting Papers</w:t>
      </w:r>
    </w:p>
    <w:p w14:paraId="6A9C16BF" w14:textId="77777777" w:rsidR="008E1876" w:rsidRPr="00282862" w:rsidRDefault="008E1876" w:rsidP="005566FF">
      <w:pPr>
        <w:pStyle w:val="ListParagraph"/>
        <w:numPr>
          <w:ilvl w:val="0"/>
          <w:numId w:val="29"/>
        </w:numPr>
        <w:tabs>
          <w:tab w:val="left" w:pos="1770"/>
        </w:tabs>
        <w:rPr>
          <w:rFonts w:ascii="Arial" w:hAnsi="Arial" w:cs="Arial"/>
          <w:sz w:val="21"/>
          <w:szCs w:val="21"/>
        </w:rPr>
      </w:pPr>
      <w:r w:rsidRPr="00282862">
        <w:rPr>
          <w:rFonts w:ascii="Arial" w:hAnsi="Arial" w:cs="Arial"/>
          <w:sz w:val="21"/>
          <w:szCs w:val="21"/>
        </w:rPr>
        <w:t xml:space="preserve">Full Board Assurance Framework Report </w:t>
      </w:r>
    </w:p>
    <w:sectPr w:rsidR="008E1876" w:rsidRPr="00282862" w:rsidSect="003F49F4">
      <w:headerReference w:type="first" r:id="rId12"/>
      <w:pgSz w:w="15840" w:h="12240" w:orient="landscape"/>
      <w:pgMar w:top="567" w:right="567" w:bottom="567" w:left="2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5098" w14:textId="77777777" w:rsidR="004B10E1" w:rsidRDefault="004B10E1" w:rsidP="007A35A7">
      <w:r>
        <w:separator/>
      </w:r>
    </w:p>
  </w:endnote>
  <w:endnote w:type="continuationSeparator" w:id="0">
    <w:p w14:paraId="0937FFC0" w14:textId="77777777" w:rsidR="004B10E1" w:rsidRDefault="004B10E1"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47FA" w14:textId="77777777" w:rsidR="004B10E1" w:rsidRDefault="004B10E1" w:rsidP="007A35A7">
      <w:r>
        <w:separator/>
      </w:r>
    </w:p>
  </w:footnote>
  <w:footnote w:type="continuationSeparator" w:id="0">
    <w:p w14:paraId="59861C79" w14:textId="77777777" w:rsidR="004B10E1" w:rsidRDefault="004B10E1"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7" name="Picture 7"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BCA0" w14:textId="0477F716" w:rsidR="00837858" w:rsidRDefault="00837858" w:rsidP="00DB77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84BC3"/>
    <w:multiLevelType w:val="hybridMultilevel"/>
    <w:tmpl w:val="8642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8"/>
  </w:num>
  <w:num w:numId="24">
    <w:abstractNumId w:val="15"/>
  </w:num>
  <w:num w:numId="25">
    <w:abstractNumId w:val="18"/>
  </w:num>
  <w:num w:numId="26">
    <w:abstractNumId w:val="14"/>
  </w:num>
  <w:num w:numId="27">
    <w:abstractNumId w:val="24"/>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75C2"/>
    <w:rsid w:val="000956CC"/>
    <w:rsid w:val="000A6EBC"/>
    <w:rsid w:val="000D5EF1"/>
    <w:rsid w:val="00101458"/>
    <w:rsid w:val="001712C0"/>
    <w:rsid w:val="001805EF"/>
    <w:rsid w:val="001B7C77"/>
    <w:rsid w:val="001C71EA"/>
    <w:rsid w:val="00205F01"/>
    <w:rsid w:val="00222AB1"/>
    <w:rsid w:val="00282862"/>
    <w:rsid w:val="002A5E48"/>
    <w:rsid w:val="002B7673"/>
    <w:rsid w:val="00301E85"/>
    <w:rsid w:val="00324A42"/>
    <w:rsid w:val="00390FEA"/>
    <w:rsid w:val="003A5862"/>
    <w:rsid w:val="003F1101"/>
    <w:rsid w:val="003F49F4"/>
    <w:rsid w:val="00465B88"/>
    <w:rsid w:val="00481002"/>
    <w:rsid w:val="00485586"/>
    <w:rsid w:val="004B10E1"/>
    <w:rsid w:val="005051F9"/>
    <w:rsid w:val="0054781A"/>
    <w:rsid w:val="005566FF"/>
    <w:rsid w:val="005C3720"/>
    <w:rsid w:val="00614C77"/>
    <w:rsid w:val="00616809"/>
    <w:rsid w:val="006223C6"/>
    <w:rsid w:val="00622500"/>
    <w:rsid w:val="00643124"/>
    <w:rsid w:val="00645252"/>
    <w:rsid w:val="0066390F"/>
    <w:rsid w:val="006D3D74"/>
    <w:rsid w:val="007139D0"/>
    <w:rsid w:val="00761230"/>
    <w:rsid w:val="0077046E"/>
    <w:rsid w:val="007A35A7"/>
    <w:rsid w:val="007C6D38"/>
    <w:rsid w:val="007F10CA"/>
    <w:rsid w:val="008167A7"/>
    <w:rsid w:val="0083569A"/>
    <w:rsid w:val="00837858"/>
    <w:rsid w:val="008E1876"/>
    <w:rsid w:val="00953F75"/>
    <w:rsid w:val="009765D6"/>
    <w:rsid w:val="00985504"/>
    <w:rsid w:val="00987905"/>
    <w:rsid w:val="009A4E82"/>
    <w:rsid w:val="009D2B9B"/>
    <w:rsid w:val="00A529A7"/>
    <w:rsid w:val="00A9204E"/>
    <w:rsid w:val="00AD518E"/>
    <w:rsid w:val="00B0196B"/>
    <w:rsid w:val="00B10554"/>
    <w:rsid w:val="00B16A9A"/>
    <w:rsid w:val="00B30D48"/>
    <w:rsid w:val="00B57F83"/>
    <w:rsid w:val="00B86B77"/>
    <w:rsid w:val="00B87CF9"/>
    <w:rsid w:val="00BD3CB7"/>
    <w:rsid w:val="00C36B15"/>
    <w:rsid w:val="00C51F00"/>
    <w:rsid w:val="00C73FD3"/>
    <w:rsid w:val="00D124C3"/>
    <w:rsid w:val="00D431DE"/>
    <w:rsid w:val="00D448E3"/>
    <w:rsid w:val="00D76868"/>
    <w:rsid w:val="00DB7724"/>
    <w:rsid w:val="00DE79E3"/>
    <w:rsid w:val="00E1500A"/>
    <w:rsid w:val="00E22203"/>
    <w:rsid w:val="00E511D7"/>
    <w:rsid w:val="00EA53C2"/>
    <w:rsid w:val="00F36894"/>
    <w:rsid w:val="00F47E31"/>
    <w:rsid w:val="00FB3009"/>
    <w:rsid w:val="00FD18FF"/>
    <w:rsid w:val="00FF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E6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581624"/>
    <w:rsid w:val="006D54B2"/>
    <w:rsid w:val="007353F0"/>
    <w:rsid w:val="00757CB1"/>
    <w:rsid w:val="00A5572D"/>
    <w:rsid w:val="00E2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2022-02-08T18:50:00Z</dcterms:created>
  <dcterms:modified xsi:type="dcterms:W3CDTF">2022-02-08T18:50:00Z</dcterms:modified>
</cp:coreProperties>
</file>