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AC7A1F">
                              <w:rPr>
                                <w:rFonts w:ascii="Calibri" w:hAnsi="Calibri"/>
                                <w:b/>
                                <w:sz w:val="22"/>
                                <w:szCs w:val="22"/>
                              </w:rPr>
                              <w:t xml:space="preserve">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AC7A1F">
                        <w:rPr>
                          <w:rFonts w:ascii="Calibri" w:hAnsi="Calibri"/>
                          <w:b/>
                          <w:sz w:val="22"/>
                          <w:szCs w:val="22"/>
                        </w:rPr>
                        <w:t xml:space="preserve"> 06</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w:t>
                            </w:r>
                            <w:r w:rsidR="00FA3EE6">
                              <w:rPr>
                                <w:rFonts w:ascii="Calibri" w:hAnsi="Calibri"/>
                                <w:sz w:val="22"/>
                                <w:szCs w:val="22"/>
                              </w:rPr>
                              <w:tab/>
                            </w:r>
                            <w:r w:rsidR="00FA3EE6">
                              <w:rPr>
                                <w:rFonts w:ascii="Calibri" w:hAnsi="Calibri"/>
                                <w:sz w:val="22"/>
                                <w:szCs w:val="22"/>
                              </w:rPr>
                              <w:tab/>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FA3EE6">
                              <w:rPr>
                                <w:rFonts w:ascii="Calibri" w:hAnsi="Calibri"/>
                                <w:sz w:val="22"/>
                                <w:szCs w:val="22"/>
                              </w:rPr>
                              <w:tab/>
                              <w:t>27</w:t>
                            </w:r>
                            <w:r w:rsidR="00FA3EE6" w:rsidRPr="00FA3EE6">
                              <w:rPr>
                                <w:rFonts w:ascii="Calibri" w:hAnsi="Calibri"/>
                                <w:sz w:val="22"/>
                                <w:szCs w:val="22"/>
                                <w:vertAlign w:val="superscript"/>
                              </w:rPr>
                              <w:t>th</w:t>
                            </w:r>
                            <w:r w:rsidR="00FA3EE6">
                              <w:rPr>
                                <w:rFonts w:ascii="Calibri" w:hAnsi="Calibri"/>
                                <w:sz w:val="22"/>
                                <w:szCs w:val="22"/>
                              </w:rPr>
                              <w:t xml:space="preserve"> February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FA3EE6">
                              <w:rPr>
                                <w:rFonts w:ascii="Calibri" w:hAnsi="Calibri"/>
                                <w:sz w:val="22"/>
                                <w:szCs w:val="22"/>
                              </w:rPr>
                              <w:tab/>
                            </w:r>
                            <w:r w:rsidR="00FA3EE6">
                              <w:rPr>
                                <w:rFonts w:ascii="Calibri" w:hAnsi="Calibri"/>
                                <w:sz w:val="22"/>
                                <w:szCs w:val="22"/>
                              </w:rPr>
                              <w:tab/>
                            </w:r>
                            <w:r w:rsidR="00FA3EE6">
                              <w:rPr>
                                <w:rFonts w:ascii="Calibri" w:hAnsi="Calibri"/>
                                <w:sz w:val="22"/>
                                <w:szCs w:val="22"/>
                              </w:rPr>
                              <w:tab/>
                              <w:t>2020/21 Budgets and Medium Term Financial Plan</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6E6AF6">
                              <w:rPr>
                                <w:rFonts w:ascii="Calibri" w:hAnsi="Calibri"/>
                                <w:sz w:val="22"/>
                                <w:szCs w:val="22"/>
                              </w:rPr>
                              <w:tab/>
                            </w:r>
                            <w:r w:rsidR="006E6AF6">
                              <w:rPr>
                                <w:rFonts w:ascii="Calibri" w:hAnsi="Calibri"/>
                                <w:sz w:val="22"/>
                                <w:szCs w:val="22"/>
                              </w:rPr>
                              <w:tab/>
                              <w:t>Laura Whitton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w:t>
                      </w:r>
                      <w:r w:rsidR="00FA3EE6">
                        <w:rPr>
                          <w:rFonts w:ascii="Calibri" w:hAnsi="Calibri"/>
                          <w:sz w:val="22"/>
                          <w:szCs w:val="22"/>
                        </w:rPr>
                        <w:tab/>
                      </w:r>
                      <w:r w:rsidR="00FA3EE6">
                        <w:rPr>
                          <w:rFonts w:ascii="Calibri" w:hAnsi="Calibri"/>
                          <w:sz w:val="22"/>
                          <w:szCs w:val="22"/>
                        </w:rPr>
                        <w:tab/>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FA3EE6">
                        <w:rPr>
                          <w:rFonts w:ascii="Calibri" w:hAnsi="Calibri"/>
                          <w:sz w:val="22"/>
                          <w:szCs w:val="22"/>
                        </w:rPr>
                        <w:tab/>
                        <w:t>27</w:t>
                      </w:r>
                      <w:r w:rsidR="00FA3EE6" w:rsidRPr="00FA3EE6">
                        <w:rPr>
                          <w:rFonts w:ascii="Calibri" w:hAnsi="Calibri"/>
                          <w:sz w:val="22"/>
                          <w:szCs w:val="22"/>
                          <w:vertAlign w:val="superscript"/>
                        </w:rPr>
                        <w:t>th</w:t>
                      </w:r>
                      <w:r w:rsidR="00FA3EE6">
                        <w:rPr>
                          <w:rFonts w:ascii="Calibri" w:hAnsi="Calibri"/>
                          <w:sz w:val="22"/>
                          <w:szCs w:val="22"/>
                        </w:rPr>
                        <w:t xml:space="preserve"> February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FA3EE6">
                        <w:rPr>
                          <w:rFonts w:ascii="Calibri" w:hAnsi="Calibri"/>
                          <w:sz w:val="22"/>
                          <w:szCs w:val="22"/>
                        </w:rPr>
                        <w:tab/>
                      </w:r>
                      <w:r w:rsidR="00FA3EE6">
                        <w:rPr>
                          <w:rFonts w:ascii="Calibri" w:hAnsi="Calibri"/>
                          <w:sz w:val="22"/>
                          <w:szCs w:val="22"/>
                        </w:rPr>
                        <w:tab/>
                      </w:r>
                      <w:r w:rsidR="00FA3EE6">
                        <w:rPr>
                          <w:rFonts w:ascii="Calibri" w:hAnsi="Calibri"/>
                          <w:sz w:val="22"/>
                          <w:szCs w:val="22"/>
                        </w:rPr>
                        <w:tab/>
                        <w:t>2020/21 Budgets and Medium Term Financial Plan</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6E6AF6">
                        <w:rPr>
                          <w:rFonts w:ascii="Calibri" w:hAnsi="Calibri"/>
                          <w:sz w:val="22"/>
                          <w:szCs w:val="22"/>
                        </w:rPr>
                        <w:tab/>
                      </w:r>
                      <w:r w:rsidR="006E6AF6">
                        <w:rPr>
                          <w:rFonts w:ascii="Calibri" w:hAnsi="Calibri"/>
                          <w:sz w:val="22"/>
                          <w:szCs w:val="22"/>
                        </w:rPr>
                        <w:tab/>
                        <w:t>Laura Whitton</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6E6AF6">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6E6AF6">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6E6AF6">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6E6AF6">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6E6AF6">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6E6AF6">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FA3EE6">
            <w:pPr>
              <w:pStyle w:val="NoSpacing"/>
              <w:rPr>
                <w:rFonts w:cs="Calibri"/>
                <w:b/>
                <w:sz w:val="20"/>
                <w:szCs w:val="20"/>
              </w:rPr>
            </w:pPr>
          </w:p>
        </w:tc>
        <w:tc>
          <w:tcPr>
            <w:tcW w:w="3817" w:type="pct"/>
            <w:gridSpan w:val="2"/>
            <w:shd w:val="clear" w:color="auto" w:fill="auto"/>
          </w:tcPr>
          <w:p w:rsidR="00DF7670" w:rsidRDefault="006871B6" w:rsidP="000D1B0D">
            <w:pPr>
              <w:pStyle w:val="Default"/>
              <w:jc w:val="both"/>
              <w:rPr>
                <w:rFonts w:ascii="Calibri" w:hAnsi="Calibri" w:cs="Calibri"/>
                <w:sz w:val="20"/>
                <w:szCs w:val="20"/>
              </w:rPr>
            </w:pPr>
            <w:r w:rsidRPr="00E121D3">
              <w:rPr>
                <w:rFonts w:ascii="Calibri" w:hAnsi="Calibri" w:cs="Calibri"/>
                <w:sz w:val="20"/>
                <w:szCs w:val="20"/>
              </w:rPr>
              <w:t>To provide an update to the Governing Body on the latest position with regard to the 2020/21 Budgets, in particular the remaining outstanding issues and the steps being taken to resolve the</w:t>
            </w:r>
            <w:r w:rsidR="008513C4">
              <w:rPr>
                <w:rFonts w:ascii="Calibri" w:hAnsi="Calibri" w:cs="Calibri"/>
                <w:sz w:val="20"/>
                <w:szCs w:val="20"/>
              </w:rPr>
              <w:t xml:space="preserve">m </w:t>
            </w:r>
            <w:r w:rsidRPr="00E121D3">
              <w:rPr>
                <w:rFonts w:ascii="Calibri" w:hAnsi="Calibri" w:cs="Calibri"/>
                <w:sz w:val="20"/>
                <w:szCs w:val="20"/>
              </w:rPr>
              <w:t>so as to ensure that a balanced budget can be agreed before the 31</w:t>
            </w:r>
            <w:r w:rsidRPr="00E121D3">
              <w:rPr>
                <w:rFonts w:ascii="Calibri" w:hAnsi="Calibri" w:cs="Calibri"/>
                <w:sz w:val="20"/>
                <w:szCs w:val="20"/>
                <w:vertAlign w:val="superscript"/>
              </w:rPr>
              <w:t>st</w:t>
            </w:r>
            <w:r w:rsidRPr="00E121D3">
              <w:rPr>
                <w:rFonts w:ascii="Calibri" w:hAnsi="Calibri" w:cs="Calibri"/>
                <w:sz w:val="20"/>
                <w:szCs w:val="20"/>
              </w:rPr>
              <w:t xml:space="preserve"> March 2020. </w:t>
            </w:r>
          </w:p>
          <w:p w:rsidR="0021179C" w:rsidRDefault="0021179C" w:rsidP="000D1B0D">
            <w:pPr>
              <w:pStyle w:val="Default"/>
              <w:jc w:val="both"/>
              <w:rPr>
                <w:rFonts w:ascii="Calibri" w:hAnsi="Calibri" w:cs="Calibri"/>
                <w:sz w:val="20"/>
                <w:szCs w:val="20"/>
              </w:rPr>
            </w:pPr>
          </w:p>
          <w:p w:rsidR="0021179C" w:rsidRPr="00E121D3" w:rsidRDefault="008513C4" w:rsidP="000D1B0D">
            <w:pPr>
              <w:pStyle w:val="Default"/>
              <w:jc w:val="both"/>
              <w:rPr>
                <w:rFonts w:ascii="Calibri" w:hAnsi="Calibri" w:cs="Calibri"/>
                <w:sz w:val="20"/>
                <w:szCs w:val="20"/>
              </w:rPr>
            </w:pPr>
            <w:r>
              <w:rPr>
                <w:rFonts w:ascii="Calibri" w:hAnsi="Calibri" w:cs="Calibri"/>
                <w:sz w:val="20"/>
                <w:szCs w:val="20"/>
              </w:rPr>
              <w:t>To p</w:t>
            </w:r>
            <w:r w:rsidR="0021179C">
              <w:rPr>
                <w:rFonts w:ascii="Calibri" w:hAnsi="Calibri" w:cs="Calibri"/>
                <w:sz w:val="20"/>
                <w:szCs w:val="20"/>
              </w:rPr>
              <w:t xml:space="preserve">ropose to hold an </w:t>
            </w:r>
            <w:r>
              <w:rPr>
                <w:rFonts w:ascii="Calibri" w:hAnsi="Calibri" w:cs="Calibri"/>
                <w:sz w:val="20"/>
                <w:szCs w:val="20"/>
              </w:rPr>
              <w:t>E</w:t>
            </w:r>
            <w:r w:rsidR="0021179C">
              <w:rPr>
                <w:rFonts w:ascii="Calibri" w:hAnsi="Calibri" w:cs="Calibri"/>
                <w:sz w:val="20"/>
                <w:szCs w:val="20"/>
              </w:rPr>
              <w:t>xtraordinary Governing Body</w:t>
            </w:r>
            <w:r>
              <w:rPr>
                <w:rFonts w:ascii="Calibri" w:hAnsi="Calibri" w:cs="Calibri"/>
                <w:sz w:val="20"/>
                <w:szCs w:val="20"/>
              </w:rPr>
              <w:t xml:space="preserve"> meeting</w:t>
            </w:r>
            <w:r w:rsidR="0021179C">
              <w:rPr>
                <w:rFonts w:ascii="Calibri" w:hAnsi="Calibri" w:cs="Calibri"/>
                <w:sz w:val="20"/>
                <w:szCs w:val="20"/>
              </w:rPr>
              <w:t xml:space="preserve"> before the 31</w:t>
            </w:r>
            <w:r w:rsidR="0021179C" w:rsidRPr="0021179C">
              <w:rPr>
                <w:rFonts w:ascii="Calibri" w:hAnsi="Calibri" w:cs="Calibri"/>
                <w:sz w:val="20"/>
                <w:szCs w:val="20"/>
                <w:vertAlign w:val="superscript"/>
              </w:rPr>
              <w:t>st</w:t>
            </w:r>
            <w:r w:rsidR="0021179C">
              <w:rPr>
                <w:rFonts w:ascii="Calibri" w:hAnsi="Calibri" w:cs="Calibri"/>
                <w:sz w:val="20"/>
                <w:szCs w:val="20"/>
              </w:rPr>
              <w:t xml:space="preserve"> March to enable formal sign off of the 2020</w:t>
            </w:r>
            <w:r>
              <w:rPr>
                <w:rFonts w:ascii="Calibri" w:hAnsi="Calibri" w:cs="Calibri"/>
                <w:sz w:val="20"/>
                <w:szCs w:val="20"/>
              </w:rPr>
              <w:t>/21</w:t>
            </w:r>
            <w:r w:rsidR="0021179C">
              <w:rPr>
                <w:rFonts w:ascii="Calibri" w:hAnsi="Calibri" w:cs="Calibri"/>
                <w:sz w:val="20"/>
                <w:szCs w:val="20"/>
              </w:rPr>
              <w:t xml:space="preserve"> budgets.</w:t>
            </w:r>
          </w:p>
          <w:p w:rsidR="002054A0" w:rsidRPr="00E121D3"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E121D3" w:rsidRDefault="009D4EDC" w:rsidP="000D1B0D">
            <w:pPr>
              <w:pStyle w:val="Default"/>
              <w:jc w:val="both"/>
              <w:rPr>
                <w:rFonts w:ascii="Calibri" w:hAnsi="Calibri" w:cs="Calibri"/>
                <w:sz w:val="20"/>
                <w:szCs w:val="20"/>
              </w:rPr>
            </w:pPr>
          </w:p>
          <w:p w:rsidR="006871B6" w:rsidRPr="00E121D3" w:rsidRDefault="006871B6" w:rsidP="000D1B0D">
            <w:pPr>
              <w:pStyle w:val="Default"/>
              <w:jc w:val="both"/>
              <w:rPr>
                <w:rFonts w:ascii="Calibri" w:hAnsi="Calibri" w:cs="Calibri"/>
                <w:sz w:val="20"/>
                <w:szCs w:val="20"/>
              </w:rPr>
            </w:pPr>
            <w:r w:rsidRPr="00E121D3">
              <w:rPr>
                <w:rFonts w:ascii="Calibri" w:hAnsi="Calibri" w:cs="Calibri"/>
                <w:sz w:val="20"/>
                <w:szCs w:val="20"/>
              </w:rPr>
              <w:t xml:space="preserve">To note the :- </w:t>
            </w:r>
          </w:p>
          <w:p w:rsidR="006871B6" w:rsidRPr="00E121D3" w:rsidRDefault="006871B6" w:rsidP="006871B6">
            <w:pPr>
              <w:pStyle w:val="Default"/>
              <w:numPr>
                <w:ilvl w:val="0"/>
                <w:numId w:val="7"/>
              </w:numPr>
              <w:jc w:val="both"/>
              <w:rPr>
                <w:rFonts w:ascii="Calibri" w:hAnsi="Calibri" w:cs="Calibri"/>
                <w:sz w:val="20"/>
                <w:szCs w:val="20"/>
              </w:rPr>
            </w:pPr>
            <w:r w:rsidRPr="00E121D3">
              <w:rPr>
                <w:rFonts w:ascii="Calibri" w:hAnsi="Calibri" w:cs="Calibri"/>
                <w:sz w:val="20"/>
                <w:szCs w:val="20"/>
              </w:rPr>
              <w:t>current position with regard to setting the 2020/21 budgets</w:t>
            </w:r>
          </w:p>
          <w:p w:rsidR="009D4EDC" w:rsidRDefault="006871B6" w:rsidP="006871B6">
            <w:pPr>
              <w:pStyle w:val="Default"/>
              <w:numPr>
                <w:ilvl w:val="0"/>
                <w:numId w:val="7"/>
              </w:numPr>
              <w:jc w:val="both"/>
              <w:rPr>
                <w:rFonts w:ascii="Calibri" w:hAnsi="Calibri" w:cs="Calibri"/>
                <w:sz w:val="20"/>
                <w:szCs w:val="20"/>
              </w:rPr>
            </w:pPr>
            <w:r w:rsidRPr="00E121D3">
              <w:rPr>
                <w:rFonts w:ascii="Calibri" w:hAnsi="Calibri" w:cs="Calibri"/>
                <w:sz w:val="20"/>
                <w:szCs w:val="20"/>
              </w:rPr>
              <w:t xml:space="preserve">key outstanding issues and the steps being taken to resolve them </w:t>
            </w:r>
          </w:p>
          <w:p w:rsidR="00E121D3" w:rsidRDefault="00E121D3" w:rsidP="00E121D3">
            <w:pPr>
              <w:pStyle w:val="Default"/>
              <w:jc w:val="both"/>
              <w:rPr>
                <w:rFonts w:ascii="Calibri" w:hAnsi="Calibri" w:cs="Calibri"/>
                <w:sz w:val="20"/>
                <w:szCs w:val="20"/>
              </w:rPr>
            </w:pPr>
          </w:p>
          <w:p w:rsidR="009D4EDC" w:rsidRPr="00E121D3" w:rsidRDefault="00E121D3" w:rsidP="000D1B0D">
            <w:pPr>
              <w:pStyle w:val="Default"/>
              <w:jc w:val="both"/>
              <w:rPr>
                <w:rFonts w:ascii="Calibri" w:hAnsi="Calibri" w:cs="Calibri"/>
                <w:sz w:val="20"/>
                <w:szCs w:val="20"/>
              </w:rPr>
            </w:pPr>
            <w:r>
              <w:rPr>
                <w:rFonts w:ascii="Calibri" w:hAnsi="Calibri" w:cs="Calibri"/>
                <w:sz w:val="20"/>
                <w:szCs w:val="20"/>
              </w:rPr>
              <w:t>T</w:t>
            </w:r>
            <w:r w:rsidR="0021179C">
              <w:rPr>
                <w:rFonts w:ascii="Calibri" w:hAnsi="Calibri" w:cs="Calibri"/>
                <w:sz w:val="20"/>
                <w:szCs w:val="20"/>
              </w:rPr>
              <w:t>o agree the propos</w:t>
            </w:r>
            <w:r w:rsidR="008513C4">
              <w:rPr>
                <w:rFonts w:ascii="Calibri" w:hAnsi="Calibri" w:cs="Calibri"/>
                <w:sz w:val="20"/>
                <w:szCs w:val="20"/>
              </w:rPr>
              <w:t xml:space="preserve">al for sign </w:t>
            </w:r>
            <w:proofErr w:type="gramStart"/>
            <w:r w:rsidR="008513C4">
              <w:rPr>
                <w:rFonts w:ascii="Calibri" w:hAnsi="Calibri" w:cs="Calibri"/>
                <w:sz w:val="20"/>
                <w:szCs w:val="20"/>
              </w:rPr>
              <w:t>off of</w:t>
            </w:r>
            <w:proofErr w:type="gramEnd"/>
            <w:r w:rsidR="008513C4">
              <w:rPr>
                <w:rFonts w:ascii="Calibri" w:hAnsi="Calibri" w:cs="Calibri"/>
                <w:sz w:val="20"/>
                <w:szCs w:val="20"/>
              </w:rPr>
              <w:t xml:space="preserve"> the 2020/21 </w:t>
            </w:r>
            <w:r w:rsidR="0021179C">
              <w:rPr>
                <w:rFonts w:ascii="Calibri" w:hAnsi="Calibri" w:cs="Calibri"/>
                <w:sz w:val="20"/>
                <w:szCs w:val="20"/>
              </w:rPr>
              <w:t xml:space="preserve">budgets. </w:t>
            </w:r>
          </w:p>
          <w:p w:rsidR="009D4EDC" w:rsidRPr="00E121D3"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E121D3" w:rsidRPr="00E121D3" w:rsidRDefault="006871B6" w:rsidP="000D1B0D">
            <w:pPr>
              <w:pStyle w:val="Default"/>
              <w:jc w:val="both"/>
              <w:rPr>
                <w:rFonts w:ascii="Calibri" w:hAnsi="Calibri" w:cs="Calibri"/>
                <w:sz w:val="20"/>
                <w:szCs w:val="20"/>
              </w:rPr>
            </w:pPr>
            <w:r w:rsidRPr="00E121D3">
              <w:rPr>
                <w:rFonts w:ascii="Calibri" w:hAnsi="Calibri" w:cs="Calibri"/>
                <w:sz w:val="20"/>
                <w:szCs w:val="20"/>
              </w:rPr>
              <w:t>Integrated Governance &amp; Acute Committee</w:t>
            </w:r>
            <w:proofErr w:type="gramStart"/>
            <w:r w:rsidR="00E121D3" w:rsidRPr="00E121D3">
              <w:rPr>
                <w:rFonts w:ascii="Calibri" w:hAnsi="Calibri" w:cs="Calibri"/>
                <w:sz w:val="20"/>
                <w:szCs w:val="20"/>
              </w:rPr>
              <w:t>;</w:t>
            </w:r>
            <w:proofErr w:type="gramEnd"/>
            <w:r w:rsidR="00E121D3" w:rsidRPr="00E121D3">
              <w:rPr>
                <w:rFonts w:ascii="Calibri" w:hAnsi="Calibri" w:cs="Calibri"/>
                <w:sz w:val="20"/>
                <w:szCs w:val="20"/>
              </w:rPr>
              <w:t xml:space="preserve"> Approach &amp; Governance discussed &amp; agreed at the 6</w:t>
            </w:r>
            <w:r w:rsidR="00E121D3" w:rsidRPr="00E121D3">
              <w:rPr>
                <w:rFonts w:ascii="Calibri" w:hAnsi="Calibri" w:cs="Calibri"/>
                <w:sz w:val="20"/>
                <w:szCs w:val="20"/>
                <w:vertAlign w:val="superscript"/>
              </w:rPr>
              <w:t>th</w:t>
            </w:r>
            <w:r w:rsidR="00E121D3" w:rsidRPr="00E121D3">
              <w:rPr>
                <w:rFonts w:ascii="Calibri" w:hAnsi="Calibri" w:cs="Calibri"/>
                <w:sz w:val="20"/>
                <w:szCs w:val="20"/>
              </w:rPr>
              <w:t xml:space="preserve"> December meeting. </w:t>
            </w:r>
          </w:p>
          <w:p w:rsidR="00E121D3" w:rsidRPr="00E121D3" w:rsidRDefault="00E121D3" w:rsidP="000D1B0D">
            <w:pPr>
              <w:pStyle w:val="Default"/>
              <w:jc w:val="both"/>
              <w:rPr>
                <w:rFonts w:ascii="Calibri" w:hAnsi="Calibri" w:cs="Calibri"/>
                <w:sz w:val="20"/>
                <w:szCs w:val="20"/>
              </w:rPr>
            </w:pPr>
          </w:p>
          <w:p w:rsidR="00E121D3" w:rsidRPr="00E121D3" w:rsidRDefault="006871B6" w:rsidP="000D1B0D">
            <w:pPr>
              <w:pStyle w:val="Default"/>
              <w:jc w:val="both"/>
              <w:rPr>
                <w:rFonts w:ascii="Calibri" w:hAnsi="Calibri" w:cs="Calibri"/>
                <w:sz w:val="20"/>
                <w:szCs w:val="20"/>
              </w:rPr>
            </w:pPr>
            <w:r w:rsidRPr="00E121D3">
              <w:rPr>
                <w:rFonts w:ascii="Calibri" w:hAnsi="Calibri" w:cs="Calibri"/>
                <w:sz w:val="20"/>
                <w:szCs w:val="20"/>
              </w:rPr>
              <w:t>NELC Cabinet (Adult Social Care B</w:t>
            </w:r>
            <w:r w:rsidR="00E121D3" w:rsidRPr="00E121D3">
              <w:rPr>
                <w:rFonts w:ascii="Calibri" w:hAnsi="Calibri" w:cs="Calibri"/>
                <w:sz w:val="20"/>
                <w:szCs w:val="20"/>
              </w:rPr>
              <w:t>udget);</w:t>
            </w:r>
            <w:r w:rsidR="008513C4">
              <w:rPr>
                <w:rFonts w:ascii="Calibri" w:hAnsi="Calibri" w:cs="Calibri"/>
                <w:sz w:val="20"/>
                <w:szCs w:val="20"/>
              </w:rPr>
              <w:t xml:space="preserve"> the draft NEL</w:t>
            </w:r>
            <w:r w:rsidR="00E121D3" w:rsidRPr="00E121D3">
              <w:rPr>
                <w:rFonts w:ascii="Calibri" w:hAnsi="Calibri" w:cs="Calibri"/>
                <w:sz w:val="20"/>
                <w:szCs w:val="20"/>
              </w:rPr>
              <w:t>C budget (including Adult Social Care) was discussed at the cabinet meeting on the 12</w:t>
            </w:r>
            <w:r w:rsidR="00E121D3" w:rsidRPr="00E121D3">
              <w:rPr>
                <w:rFonts w:ascii="Calibri" w:hAnsi="Calibri" w:cs="Calibri"/>
                <w:sz w:val="20"/>
                <w:szCs w:val="20"/>
                <w:vertAlign w:val="superscript"/>
              </w:rPr>
              <w:t>th</w:t>
            </w:r>
            <w:r w:rsidR="00E121D3" w:rsidRPr="00E121D3">
              <w:rPr>
                <w:rFonts w:ascii="Calibri" w:hAnsi="Calibri" w:cs="Calibri"/>
                <w:sz w:val="20"/>
                <w:szCs w:val="20"/>
              </w:rPr>
              <w:t xml:space="preserve"> February</w:t>
            </w:r>
          </w:p>
          <w:p w:rsidR="00E121D3" w:rsidRPr="00E121D3" w:rsidRDefault="00E121D3" w:rsidP="000D1B0D">
            <w:pPr>
              <w:pStyle w:val="Default"/>
              <w:jc w:val="both"/>
              <w:rPr>
                <w:rFonts w:ascii="Calibri" w:hAnsi="Calibri" w:cs="Calibri"/>
                <w:sz w:val="20"/>
                <w:szCs w:val="20"/>
              </w:rPr>
            </w:pPr>
          </w:p>
          <w:p w:rsidR="008513C4" w:rsidRDefault="006871B6" w:rsidP="000D1B0D">
            <w:pPr>
              <w:pStyle w:val="Default"/>
              <w:jc w:val="both"/>
              <w:rPr>
                <w:rFonts w:ascii="Calibri" w:hAnsi="Calibri" w:cs="Calibri"/>
                <w:sz w:val="20"/>
                <w:szCs w:val="20"/>
              </w:rPr>
            </w:pPr>
            <w:r w:rsidRPr="00E121D3">
              <w:rPr>
                <w:rFonts w:ascii="Calibri" w:hAnsi="Calibri" w:cs="Calibri"/>
                <w:sz w:val="20"/>
                <w:szCs w:val="20"/>
              </w:rPr>
              <w:t xml:space="preserve">Northern Lincolnshire </w:t>
            </w:r>
            <w:r w:rsidR="00E121D3" w:rsidRPr="00E121D3">
              <w:rPr>
                <w:rFonts w:ascii="Calibri" w:hAnsi="Calibri" w:cs="Calibri"/>
                <w:sz w:val="20"/>
                <w:szCs w:val="20"/>
              </w:rPr>
              <w:t xml:space="preserve">System </w:t>
            </w:r>
            <w:r w:rsidRPr="00E121D3">
              <w:rPr>
                <w:rFonts w:ascii="Calibri" w:hAnsi="Calibri" w:cs="Calibri"/>
                <w:sz w:val="20"/>
                <w:szCs w:val="20"/>
              </w:rPr>
              <w:t>Planning</w:t>
            </w:r>
            <w:r w:rsidR="00E121D3" w:rsidRPr="00E121D3">
              <w:rPr>
                <w:rFonts w:ascii="Calibri" w:hAnsi="Calibri" w:cs="Calibri"/>
                <w:sz w:val="20"/>
                <w:szCs w:val="20"/>
              </w:rPr>
              <w:t xml:space="preserve"> Meeting</w:t>
            </w:r>
            <w:r w:rsidR="008513C4">
              <w:rPr>
                <w:rFonts w:ascii="Calibri" w:hAnsi="Calibri" w:cs="Calibri"/>
                <w:sz w:val="20"/>
                <w:szCs w:val="20"/>
              </w:rPr>
              <w:t>; NL System approach to activity modelling / assumptions re the impact of transformation schemes that impact on Northern Lincolnshire &amp; Goole Trust</w:t>
            </w:r>
          </w:p>
          <w:p w:rsidR="008513C4" w:rsidRDefault="008513C4" w:rsidP="000D1B0D">
            <w:pPr>
              <w:pStyle w:val="Default"/>
              <w:jc w:val="both"/>
              <w:rPr>
                <w:rFonts w:ascii="Calibri" w:hAnsi="Calibri" w:cs="Calibri"/>
                <w:sz w:val="20"/>
                <w:szCs w:val="20"/>
              </w:rPr>
            </w:pPr>
          </w:p>
          <w:p w:rsidR="00144ED4" w:rsidRDefault="008513C4" w:rsidP="000D1B0D">
            <w:pPr>
              <w:pStyle w:val="Default"/>
              <w:jc w:val="both"/>
              <w:rPr>
                <w:rFonts w:ascii="Calibri" w:hAnsi="Calibri" w:cs="Calibri"/>
                <w:sz w:val="20"/>
                <w:szCs w:val="20"/>
              </w:rPr>
            </w:pPr>
            <w:r>
              <w:rPr>
                <w:rFonts w:ascii="Calibri" w:hAnsi="Calibri" w:cs="Calibri"/>
                <w:sz w:val="20"/>
                <w:szCs w:val="20"/>
              </w:rPr>
              <w:t>T</w:t>
            </w:r>
            <w:r w:rsidRPr="00E121D3">
              <w:rPr>
                <w:rFonts w:ascii="Calibri" w:hAnsi="Calibri" w:cs="Calibri"/>
                <w:sz w:val="20"/>
                <w:szCs w:val="20"/>
              </w:rPr>
              <w:t>he Humber Coast &amp; Vale F</w:t>
            </w:r>
            <w:r>
              <w:rPr>
                <w:rFonts w:ascii="Calibri" w:hAnsi="Calibri" w:cs="Calibri"/>
                <w:sz w:val="20"/>
                <w:szCs w:val="20"/>
              </w:rPr>
              <w:t>inance</w:t>
            </w:r>
            <w:r w:rsidRPr="00E121D3">
              <w:rPr>
                <w:rFonts w:ascii="Calibri" w:hAnsi="Calibri" w:cs="Calibri"/>
                <w:sz w:val="20"/>
                <w:szCs w:val="20"/>
              </w:rPr>
              <w:t>, Plan</w:t>
            </w:r>
            <w:r>
              <w:rPr>
                <w:rFonts w:ascii="Calibri" w:hAnsi="Calibri" w:cs="Calibri"/>
                <w:sz w:val="20"/>
                <w:szCs w:val="20"/>
              </w:rPr>
              <w:t>ning &amp; Programme Leads meeting; Confirm and challenge of subsystem planning assumptions by peers within the STP.</w:t>
            </w:r>
          </w:p>
          <w:p w:rsidR="008513C4" w:rsidRPr="00E121D3" w:rsidRDefault="008513C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4729A8" w:rsidRDefault="004729A8" w:rsidP="004729A8">
            <w:pPr>
              <w:autoSpaceDE w:val="0"/>
              <w:autoSpaceDN w:val="0"/>
              <w:adjustRightInd w:val="0"/>
              <w:spacing w:after="-1"/>
              <w:jc w:val="both"/>
              <w:rPr>
                <w:rFonts w:asciiTheme="minorHAnsi" w:eastAsia="MS Mincho" w:hAnsiTheme="minorHAnsi" w:cstheme="minorHAnsi"/>
                <w:color w:val="000000"/>
                <w:sz w:val="20"/>
                <w:lang w:eastAsia="en-GB"/>
              </w:rPr>
            </w:pPr>
            <w:r w:rsidRPr="004729A8">
              <w:rPr>
                <w:rFonts w:asciiTheme="minorHAnsi" w:eastAsia="MS Mincho" w:hAnsiTheme="minorHAnsi" w:cstheme="minorHAnsi"/>
                <w:color w:val="000000"/>
                <w:sz w:val="20"/>
                <w:lang w:eastAsia="en-GB"/>
              </w:rPr>
              <w:t xml:space="preserve">CCG-BAF.3005 Instability in partnership finances or services/costs leads to unaffordable consequences for the CCG  within the current year </w:t>
            </w:r>
          </w:p>
          <w:p w:rsidR="00144ED4" w:rsidRDefault="004729A8" w:rsidP="001560ED">
            <w:pPr>
              <w:pStyle w:val="Default"/>
              <w:jc w:val="both"/>
              <w:rPr>
                <w:rFonts w:asciiTheme="minorHAnsi" w:eastAsia="Times New Roman" w:hAnsiTheme="minorHAnsi" w:cstheme="minorHAnsi"/>
                <w:color w:val="auto"/>
                <w:sz w:val="20"/>
                <w:szCs w:val="20"/>
                <w:lang w:eastAsia="en-US"/>
              </w:rPr>
            </w:pPr>
            <w:r w:rsidRPr="001560ED">
              <w:rPr>
                <w:rFonts w:asciiTheme="minorHAnsi" w:eastAsia="Times New Roman" w:hAnsiTheme="minorHAnsi" w:cstheme="minorHAnsi"/>
                <w:color w:val="auto"/>
                <w:sz w:val="20"/>
                <w:szCs w:val="20"/>
                <w:lang w:eastAsia="en-US"/>
              </w:rPr>
              <w:t>The risk associated with the deliverability of the system wide QIPP schemes is included on the CCGs risk register</w:t>
            </w:r>
            <w:r w:rsidR="001560ED" w:rsidRPr="001560ED">
              <w:rPr>
                <w:rFonts w:asciiTheme="minorHAnsi" w:eastAsia="Times New Roman" w:hAnsiTheme="minorHAnsi" w:cstheme="minorHAnsi"/>
                <w:color w:val="auto"/>
                <w:sz w:val="20"/>
                <w:szCs w:val="20"/>
                <w:lang w:eastAsia="en-US"/>
              </w:rPr>
              <w:t xml:space="preserve">. </w:t>
            </w:r>
          </w:p>
          <w:p w:rsidR="001560ED" w:rsidRPr="000D1B0D" w:rsidRDefault="001560ED" w:rsidP="001560E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054A0" w:rsidRPr="000D1B0D" w:rsidRDefault="0021179C" w:rsidP="000D1B0D">
            <w:pPr>
              <w:pStyle w:val="Default"/>
              <w:jc w:val="both"/>
              <w:rPr>
                <w:rFonts w:ascii="Calibri" w:hAnsi="Calibri" w:cs="Calibri"/>
                <w:sz w:val="20"/>
                <w:szCs w:val="20"/>
              </w:rPr>
            </w:pPr>
            <w:r>
              <w:rPr>
                <w:rFonts w:ascii="Calibri" w:hAnsi="Calibri" w:cs="Calibri"/>
                <w:sz w:val="20"/>
                <w:szCs w:val="20"/>
              </w:rPr>
              <w:t>None</w:t>
            </w: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lastRenderedPageBreak/>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 xml:space="preserve">Are you implementing a new system, data sharing arrangement, project, </w:t>
            </w:r>
            <w:proofErr w:type="gramStart"/>
            <w:r>
              <w:rPr>
                <w:rFonts w:ascii="Calibri" w:hAnsi="Calibri" w:cs="Calibri"/>
                <w:sz w:val="20"/>
                <w:szCs w:val="20"/>
              </w:rPr>
              <w:t>service</w:t>
            </w:r>
            <w:proofErr w:type="gramEnd"/>
            <w:r>
              <w:rPr>
                <w:rFonts w:ascii="Calibri" w:hAnsi="Calibri" w:cs="Calibri"/>
                <w:sz w:val="20"/>
                <w:szCs w:val="20"/>
              </w:rPr>
              <w:t xml:space="preserv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7A5EDB"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w:t>
            </w:r>
            <w:proofErr w:type="gramStart"/>
            <w:r w:rsidRPr="00DA7A50">
              <w:rPr>
                <w:rFonts w:ascii="Calibri" w:hAnsi="Calibri" w:cs="Calibri"/>
                <w:sz w:val="20"/>
                <w:szCs w:val="20"/>
              </w:rPr>
              <w:t xml:space="preserve">have the </w:t>
            </w:r>
            <w:r>
              <w:rPr>
                <w:rFonts w:ascii="Calibri" w:hAnsi="Calibri" w:cs="Calibri"/>
                <w:sz w:val="20"/>
                <w:szCs w:val="20"/>
              </w:rPr>
              <w:t xml:space="preserve">DPIA </w:t>
            </w:r>
            <w:r w:rsidRPr="00DA7A50">
              <w:rPr>
                <w:rFonts w:ascii="Calibri" w:hAnsi="Calibri" w:cs="Calibri"/>
                <w:sz w:val="20"/>
                <w:szCs w:val="20"/>
              </w:rPr>
              <w:t>screening questions been completed</w:t>
            </w:r>
            <w:proofErr w:type="gramEnd"/>
            <w:r w:rsidRPr="00DA7A50">
              <w:rPr>
                <w:rFonts w:ascii="Calibri" w:hAnsi="Calibri" w:cs="Calibri"/>
                <w:sz w:val="20"/>
                <w:szCs w:val="20"/>
              </w:rPr>
              <w:t>?</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21179C">
                  <w:rPr>
                    <w:rStyle w:val="PlaceholderText"/>
                    <w:color w:val="FFFFFF" w:themeColor="background1"/>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 xml:space="preserve">of personally identifiable or other </w:t>
            </w:r>
            <w:proofErr w:type="gramStart"/>
            <w:r w:rsidR="00E763D6">
              <w:rPr>
                <w:rFonts w:ascii="Calibri" w:hAnsi="Calibri" w:cs="Calibri"/>
                <w:sz w:val="20"/>
                <w:szCs w:val="20"/>
              </w:rPr>
              <w:t>high risk</w:t>
            </w:r>
            <w:proofErr w:type="gramEnd"/>
            <w:r w:rsidR="00E763D6">
              <w:rPr>
                <w:rFonts w:ascii="Calibri" w:hAnsi="Calibri" w:cs="Calibri"/>
                <w:sz w:val="20"/>
                <w:szCs w:val="20"/>
              </w:rPr>
              <w:t xml:space="preserve">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7A5EDB"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 xml:space="preserve">If yes to the </w:t>
            </w:r>
            <w:proofErr w:type="gramStart"/>
            <w:r w:rsidRPr="00E763D6">
              <w:rPr>
                <w:rFonts w:ascii="Calibri" w:hAnsi="Calibri" w:cs="Calibri"/>
                <w:sz w:val="20"/>
                <w:szCs w:val="20"/>
              </w:rPr>
              <w:t>above</w:t>
            </w:r>
            <w:proofErr w:type="gramEnd"/>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3B7B5D" w:rsidP="00AB4FF6">
                <w:pPr>
                  <w:pStyle w:val="Default"/>
                  <w:rPr>
                    <w:rFonts w:ascii="Calibri" w:hAnsi="Calibri" w:cs="Calibri"/>
                    <w:b/>
                    <w:sz w:val="20"/>
                    <w:szCs w:val="20"/>
                  </w:rPr>
                </w:pPr>
                <w:r w:rsidRPr="0021179C">
                  <w:rPr>
                    <w:rStyle w:val="PlaceholderText"/>
                    <w:color w:val="FFFFFF" w:themeColor="background1"/>
                  </w:rPr>
                  <w:t>Choose an 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E73B61" w:rsidRDefault="00E73B61" w:rsidP="00AB645B">
            <w:pPr>
              <w:pStyle w:val="Default"/>
              <w:jc w:val="right"/>
              <w:rPr>
                <w:rFonts w:ascii="Calibri" w:hAnsi="Calibri" w:cs="Calibri"/>
                <w:sz w:val="20"/>
                <w:szCs w:val="20"/>
              </w:rPr>
            </w:pPr>
          </w:p>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21179C">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Pr="00666855" w:rsidRDefault="00666855" w:rsidP="000D1B0D">
            <w:pPr>
              <w:pStyle w:val="Default"/>
              <w:jc w:val="both"/>
              <w:rPr>
                <w:rFonts w:ascii="Calibri" w:hAnsi="Calibri" w:cs="Calibri"/>
                <w:sz w:val="20"/>
                <w:szCs w:val="20"/>
                <w:u w:val="single"/>
              </w:rPr>
            </w:pPr>
            <w:r w:rsidRPr="00666855">
              <w:rPr>
                <w:rFonts w:ascii="Calibri" w:hAnsi="Calibri" w:cs="Calibri"/>
                <w:sz w:val="20"/>
                <w:szCs w:val="20"/>
                <w:u w:val="single"/>
              </w:rPr>
              <w:t>Health</w:t>
            </w:r>
          </w:p>
          <w:p w:rsidR="00666855" w:rsidRPr="008D5EB1" w:rsidRDefault="008D5EB1" w:rsidP="000D1B0D">
            <w:pPr>
              <w:pStyle w:val="Default"/>
              <w:jc w:val="both"/>
              <w:rPr>
                <w:rFonts w:ascii="Calibri" w:hAnsi="Calibri" w:cs="Calibri"/>
                <w:sz w:val="20"/>
                <w:szCs w:val="20"/>
              </w:rPr>
            </w:pPr>
            <w:r w:rsidRPr="008D5EB1">
              <w:rPr>
                <w:rFonts w:ascii="Calibri" w:hAnsi="Calibri" w:cs="Calibri"/>
                <w:sz w:val="20"/>
                <w:szCs w:val="20"/>
              </w:rPr>
              <w:t>The Operational Budgets for 2020/21 build on the work done as part of the 5 Year Plan (2019/20 – 2023/24) which was completed in Nov 19.</w:t>
            </w:r>
          </w:p>
          <w:p w:rsidR="008D5EB1" w:rsidRPr="008D5EB1" w:rsidRDefault="008D5EB1" w:rsidP="008D5EB1">
            <w:pPr>
              <w:pStyle w:val="Default"/>
              <w:jc w:val="both"/>
              <w:rPr>
                <w:rFonts w:ascii="Calibri" w:hAnsi="Calibri" w:cs="Calibri"/>
                <w:sz w:val="20"/>
                <w:szCs w:val="20"/>
              </w:rPr>
            </w:pPr>
            <w:r w:rsidRPr="008D5EB1">
              <w:rPr>
                <w:rFonts w:ascii="Calibri" w:hAnsi="Calibri" w:cs="Calibri"/>
                <w:sz w:val="20"/>
                <w:szCs w:val="20"/>
              </w:rPr>
              <w:t>Since completion of the 5 year plan there has been a deterioration in the 2019/20 in-year financial position caused in the main by:-</w:t>
            </w:r>
          </w:p>
          <w:p w:rsidR="008D5EB1" w:rsidRPr="008D5EB1" w:rsidRDefault="008D5EB1" w:rsidP="008D5EB1">
            <w:pPr>
              <w:pStyle w:val="Default"/>
              <w:numPr>
                <w:ilvl w:val="0"/>
                <w:numId w:val="11"/>
              </w:numPr>
              <w:jc w:val="both"/>
              <w:rPr>
                <w:rFonts w:ascii="Calibri" w:hAnsi="Calibri" w:cs="Calibri"/>
                <w:sz w:val="20"/>
                <w:szCs w:val="20"/>
              </w:rPr>
            </w:pPr>
            <w:r w:rsidRPr="008D5EB1">
              <w:rPr>
                <w:rFonts w:ascii="Calibri" w:hAnsi="Calibri" w:cs="Calibri"/>
                <w:sz w:val="20"/>
                <w:szCs w:val="20"/>
              </w:rPr>
              <w:t xml:space="preserve">higher than expected Acute expenditure </w:t>
            </w:r>
          </w:p>
          <w:p w:rsidR="008D5EB1" w:rsidRPr="008D5EB1" w:rsidRDefault="008D5EB1" w:rsidP="008D5EB1">
            <w:pPr>
              <w:pStyle w:val="Default"/>
              <w:numPr>
                <w:ilvl w:val="0"/>
                <w:numId w:val="11"/>
              </w:numPr>
              <w:jc w:val="both"/>
              <w:rPr>
                <w:rFonts w:ascii="Calibri" w:hAnsi="Calibri" w:cs="Calibri"/>
                <w:sz w:val="20"/>
                <w:szCs w:val="20"/>
              </w:rPr>
            </w:pPr>
            <w:r w:rsidRPr="008D5EB1">
              <w:rPr>
                <w:rFonts w:ascii="Calibri" w:hAnsi="Calibri" w:cs="Calibri"/>
                <w:sz w:val="20"/>
                <w:szCs w:val="20"/>
              </w:rPr>
              <w:t xml:space="preserve">no savings linked to the PCN demand management on prescribing </w:t>
            </w:r>
          </w:p>
          <w:p w:rsidR="008D5EB1" w:rsidRPr="008D5EB1" w:rsidRDefault="008D5EB1" w:rsidP="008D5EB1">
            <w:pPr>
              <w:pStyle w:val="Default"/>
              <w:jc w:val="both"/>
              <w:rPr>
                <w:rFonts w:ascii="Calibri" w:hAnsi="Calibri" w:cs="Calibri"/>
                <w:sz w:val="20"/>
                <w:szCs w:val="20"/>
              </w:rPr>
            </w:pPr>
            <w:r w:rsidRPr="008D5EB1">
              <w:rPr>
                <w:rFonts w:ascii="Calibri" w:hAnsi="Calibri" w:cs="Calibri"/>
                <w:sz w:val="20"/>
                <w:szCs w:val="20"/>
              </w:rPr>
              <w:t xml:space="preserve">Whilst mitigations have been put in place in 2019/20 these have mostly been non-recurrent, such </w:t>
            </w:r>
            <w:r>
              <w:rPr>
                <w:rFonts w:ascii="Calibri" w:hAnsi="Calibri" w:cs="Calibri"/>
                <w:sz w:val="20"/>
                <w:szCs w:val="20"/>
              </w:rPr>
              <w:t xml:space="preserve">as </w:t>
            </w:r>
            <w:r w:rsidRPr="008D5EB1">
              <w:rPr>
                <w:rFonts w:ascii="Calibri" w:hAnsi="Calibri" w:cs="Calibri"/>
                <w:sz w:val="20"/>
                <w:szCs w:val="20"/>
              </w:rPr>
              <w:t>one off funding, slippage on spend linked to PCN’s (delays in recruitment of staff)</w:t>
            </w:r>
          </w:p>
          <w:p w:rsidR="008D5EB1" w:rsidRPr="008D5EB1" w:rsidRDefault="008D5EB1" w:rsidP="008D5EB1">
            <w:pPr>
              <w:pStyle w:val="Default"/>
              <w:jc w:val="both"/>
              <w:rPr>
                <w:rFonts w:ascii="Calibri" w:hAnsi="Calibri" w:cs="Calibri"/>
                <w:sz w:val="20"/>
                <w:szCs w:val="20"/>
              </w:rPr>
            </w:pPr>
            <w:r w:rsidRPr="008D5EB1">
              <w:rPr>
                <w:rFonts w:ascii="Calibri" w:hAnsi="Calibri" w:cs="Calibri"/>
                <w:sz w:val="20"/>
                <w:szCs w:val="20"/>
              </w:rPr>
              <w:t>This has led to the level of unidentified savings increasing from £2.1m to £5.4m.</w:t>
            </w:r>
          </w:p>
          <w:p w:rsidR="008D5EB1" w:rsidRDefault="008D5EB1" w:rsidP="000D1B0D">
            <w:pPr>
              <w:pStyle w:val="Default"/>
              <w:jc w:val="both"/>
              <w:rPr>
                <w:rFonts w:ascii="Calibri" w:hAnsi="Calibri" w:cs="Calibri"/>
                <w:sz w:val="20"/>
                <w:szCs w:val="20"/>
              </w:rPr>
            </w:pPr>
            <w:r>
              <w:rPr>
                <w:rFonts w:ascii="Calibri" w:hAnsi="Calibri" w:cs="Calibri"/>
                <w:sz w:val="20"/>
                <w:szCs w:val="20"/>
              </w:rPr>
              <w:t>The main outstanding issues that need to be resolved before the budgets can be signed off are:-</w:t>
            </w:r>
          </w:p>
          <w:p w:rsidR="008D5EB1" w:rsidRPr="008D5EB1" w:rsidRDefault="008D5EB1" w:rsidP="008D5EB1">
            <w:pPr>
              <w:pStyle w:val="Default"/>
              <w:numPr>
                <w:ilvl w:val="0"/>
                <w:numId w:val="15"/>
              </w:numPr>
              <w:jc w:val="both"/>
              <w:rPr>
                <w:rFonts w:ascii="Calibri" w:hAnsi="Calibri" w:cs="Calibri"/>
                <w:sz w:val="20"/>
                <w:szCs w:val="20"/>
              </w:rPr>
            </w:pPr>
            <w:r w:rsidRPr="008D5EB1">
              <w:rPr>
                <w:rFonts w:ascii="Calibri" w:hAnsi="Calibri" w:cs="Calibri"/>
                <w:sz w:val="20"/>
                <w:szCs w:val="20"/>
              </w:rPr>
              <w:t>Agreement of the Northern Lincolnshire &amp; Goole Contract Value &amp; Contract Form</w:t>
            </w:r>
          </w:p>
          <w:p w:rsidR="008D5EB1" w:rsidRPr="008D5EB1" w:rsidRDefault="008D5EB1" w:rsidP="008D5EB1">
            <w:pPr>
              <w:pStyle w:val="Default"/>
              <w:numPr>
                <w:ilvl w:val="0"/>
                <w:numId w:val="15"/>
              </w:numPr>
              <w:jc w:val="both"/>
              <w:rPr>
                <w:rFonts w:ascii="Calibri" w:hAnsi="Calibri" w:cs="Calibri"/>
                <w:sz w:val="20"/>
                <w:szCs w:val="20"/>
              </w:rPr>
            </w:pPr>
            <w:r w:rsidRPr="008D5EB1">
              <w:rPr>
                <w:rFonts w:ascii="Calibri" w:hAnsi="Calibri" w:cs="Calibri"/>
                <w:sz w:val="20"/>
                <w:szCs w:val="20"/>
              </w:rPr>
              <w:t>VFM review on Community Contracts</w:t>
            </w:r>
          </w:p>
          <w:p w:rsidR="008D5EB1" w:rsidRPr="008D5EB1" w:rsidRDefault="008D5EB1" w:rsidP="008D5EB1">
            <w:pPr>
              <w:pStyle w:val="Default"/>
              <w:numPr>
                <w:ilvl w:val="0"/>
                <w:numId w:val="15"/>
              </w:numPr>
              <w:jc w:val="both"/>
              <w:rPr>
                <w:rFonts w:ascii="Calibri" w:hAnsi="Calibri" w:cs="Calibri"/>
                <w:sz w:val="20"/>
                <w:szCs w:val="20"/>
              </w:rPr>
            </w:pPr>
            <w:r>
              <w:rPr>
                <w:rFonts w:ascii="Calibri" w:hAnsi="Calibri" w:cs="Calibri"/>
                <w:sz w:val="20"/>
                <w:szCs w:val="20"/>
              </w:rPr>
              <w:t>Confirm</w:t>
            </w:r>
            <w:r w:rsidR="00700103">
              <w:rPr>
                <w:rFonts w:ascii="Calibri" w:hAnsi="Calibri" w:cs="Calibri"/>
                <w:sz w:val="20"/>
                <w:szCs w:val="20"/>
              </w:rPr>
              <w:t>ation of</w:t>
            </w:r>
            <w:r>
              <w:rPr>
                <w:rFonts w:ascii="Calibri" w:hAnsi="Calibri" w:cs="Calibri"/>
                <w:sz w:val="20"/>
                <w:szCs w:val="20"/>
              </w:rPr>
              <w:t xml:space="preserve"> plans to address the </w:t>
            </w:r>
            <w:r w:rsidRPr="008D5EB1">
              <w:rPr>
                <w:rFonts w:ascii="Calibri" w:hAnsi="Calibri" w:cs="Calibri"/>
                <w:sz w:val="20"/>
                <w:szCs w:val="20"/>
              </w:rPr>
              <w:t>Unidentified Savings (£5.4m)</w:t>
            </w:r>
          </w:p>
          <w:p w:rsidR="008D5EB1" w:rsidRDefault="008D5EB1" w:rsidP="000D1B0D">
            <w:pPr>
              <w:pStyle w:val="Default"/>
              <w:jc w:val="both"/>
              <w:rPr>
                <w:rFonts w:ascii="Calibri" w:hAnsi="Calibri" w:cs="Calibri"/>
                <w:sz w:val="20"/>
                <w:szCs w:val="20"/>
              </w:rPr>
            </w:pPr>
            <w:r w:rsidRPr="008D5EB1">
              <w:rPr>
                <w:rFonts w:ascii="Calibri" w:hAnsi="Calibri" w:cs="Calibri"/>
                <w:sz w:val="20"/>
                <w:szCs w:val="20"/>
              </w:rPr>
              <w:t xml:space="preserve">Further detail of the actions </w:t>
            </w:r>
            <w:proofErr w:type="gramStart"/>
            <w:r w:rsidRPr="008D5EB1">
              <w:rPr>
                <w:rFonts w:ascii="Calibri" w:hAnsi="Calibri" w:cs="Calibri"/>
                <w:sz w:val="20"/>
                <w:szCs w:val="20"/>
              </w:rPr>
              <w:t>being taken</w:t>
            </w:r>
            <w:proofErr w:type="gramEnd"/>
            <w:r w:rsidRPr="008D5EB1">
              <w:rPr>
                <w:rFonts w:ascii="Calibri" w:hAnsi="Calibri" w:cs="Calibri"/>
                <w:sz w:val="20"/>
                <w:szCs w:val="20"/>
              </w:rPr>
              <w:t xml:space="preserve"> to address these can be found in the Appendix to this paper.</w:t>
            </w:r>
          </w:p>
          <w:p w:rsidR="00A21687" w:rsidRPr="00A21687" w:rsidRDefault="00A21687" w:rsidP="000D1B0D">
            <w:pPr>
              <w:pStyle w:val="Default"/>
              <w:jc w:val="both"/>
              <w:rPr>
                <w:rFonts w:ascii="Calibri" w:hAnsi="Calibri" w:cs="Calibri"/>
                <w:sz w:val="20"/>
                <w:szCs w:val="20"/>
                <w:u w:val="single"/>
              </w:rPr>
            </w:pPr>
            <w:r w:rsidRPr="00A21687">
              <w:rPr>
                <w:rFonts w:ascii="Calibri" w:hAnsi="Calibri" w:cs="Calibri"/>
                <w:sz w:val="20"/>
                <w:szCs w:val="20"/>
                <w:u w:val="single"/>
              </w:rPr>
              <w:t>Adult Social Care</w:t>
            </w:r>
          </w:p>
          <w:p w:rsidR="00154229" w:rsidRPr="00A21687" w:rsidRDefault="00A21687" w:rsidP="008D5EB1">
            <w:pPr>
              <w:pStyle w:val="Default"/>
              <w:jc w:val="both"/>
              <w:rPr>
                <w:rFonts w:ascii="Calibri" w:hAnsi="Calibri" w:cs="Calibri"/>
                <w:sz w:val="20"/>
                <w:szCs w:val="20"/>
              </w:rPr>
            </w:pPr>
            <w:r w:rsidRPr="00A21687">
              <w:rPr>
                <w:rFonts w:asciiTheme="minorHAnsi" w:hAnsiTheme="minorHAnsi" w:cstheme="minorHAnsi"/>
                <w:sz w:val="20"/>
                <w:szCs w:val="20"/>
              </w:rPr>
              <w:t xml:space="preserve">The Operational Budgets for 2020/21 </w:t>
            </w:r>
            <w:proofErr w:type="gramStart"/>
            <w:r w:rsidRPr="00A21687">
              <w:rPr>
                <w:rFonts w:asciiTheme="minorHAnsi" w:hAnsiTheme="minorHAnsi" w:cstheme="minorHAnsi"/>
                <w:sz w:val="20"/>
                <w:szCs w:val="20"/>
              </w:rPr>
              <w:t>have been developed</w:t>
            </w:r>
            <w:proofErr w:type="gramEnd"/>
            <w:r w:rsidRPr="00A21687">
              <w:rPr>
                <w:rFonts w:asciiTheme="minorHAnsi" w:hAnsiTheme="minorHAnsi" w:cstheme="minorHAnsi"/>
                <w:sz w:val="20"/>
                <w:szCs w:val="20"/>
              </w:rPr>
              <w:t xml:space="preserve"> alongside the work done as part of the NELC Budget, Commissioning Plan and Outcomes Framework 2020/21 – 2022/23.</w:t>
            </w:r>
          </w:p>
          <w:p w:rsidR="00A21687" w:rsidRPr="00A21687" w:rsidRDefault="00A21687" w:rsidP="00A21687">
            <w:pPr>
              <w:pStyle w:val="Default"/>
              <w:jc w:val="both"/>
              <w:rPr>
                <w:rFonts w:asciiTheme="minorHAnsi" w:hAnsiTheme="minorHAnsi" w:cstheme="minorHAnsi"/>
                <w:sz w:val="20"/>
                <w:szCs w:val="20"/>
              </w:rPr>
            </w:pPr>
            <w:r w:rsidRPr="00A21687">
              <w:rPr>
                <w:rFonts w:ascii="Calibri" w:hAnsi="Calibri" w:cs="Calibri"/>
                <w:sz w:val="20"/>
                <w:szCs w:val="20"/>
              </w:rPr>
              <w:t xml:space="preserve">The key risk to delivery of financial balance is the delivery of £1.5m savings in year which are predicated on the </w:t>
            </w:r>
            <w:proofErr w:type="gramStart"/>
            <w:r w:rsidRPr="00A21687">
              <w:rPr>
                <w:rFonts w:ascii="Calibri" w:hAnsi="Calibri" w:cs="Calibri"/>
                <w:sz w:val="20"/>
                <w:szCs w:val="20"/>
              </w:rPr>
              <w:t>l</w:t>
            </w:r>
            <w:r w:rsidRPr="00A21687">
              <w:rPr>
                <w:rFonts w:asciiTheme="minorHAnsi" w:hAnsiTheme="minorHAnsi" w:cstheme="minorHAnsi"/>
                <w:sz w:val="20"/>
                <w:szCs w:val="20"/>
              </w:rPr>
              <w:t>ong term</w:t>
            </w:r>
            <w:proofErr w:type="gramEnd"/>
            <w:r w:rsidRPr="00A21687">
              <w:rPr>
                <w:rFonts w:asciiTheme="minorHAnsi" w:hAnsiTheme="minorHAnsi" w:cstheme="minorHAnsi"/>
                <w:sz w:val="20"/>
                <w:szCs w:val="20"/>
              </w:rPr>
              <w:t xml:space="preserve"> transformation of the health and care system which will help to deliver improved value for money and will help to avoid unsustainable future costs through joint working. Some of the planned actions will avoid costs. However, cashable savings are difficult to achieve at a time of increase demand and cost pressure for adult services. As the council/CCG “Union” arrangements mature, there will be an opportunity to consider how resources </w:t>
            </w:r>
            <w:proofErr w:type="gramStart"/>
            <w:r w:rsidRPr="00A21687">
              <w:rPr>
                <w:rFonts w:asciiTheme="minorHAnsi" w:hAnsiTheme="minorHAnsi" w:cstheme="minorHAnsi"/>
                <w:sz w:val="20"/>
                <w:szCs w:val="20"/>
              </w:rPr>
              <w:t>can be more efficiently deployed and re-allocated across the health</w:t>
            </w:r>
            <w:proofErr w:type="gramEnd"/>
            <w:r w:rsidRPr="00A21687">
              <w:rPr>
                <w:rFonts w:asciiTheme="minorHAnsi" w:hAnsiTheme="minorHAnsi" w:cstheme="minorHAnsi"/>
                <w:sz w:val="20"/>
                <w:szCs w:val="20"/>
              </w:rPr>
              <w:t xml:space="preserve"> and care system.</w:t>
            </w:r>
          </w:p>
          <w:p w:rsidR="00A21687" w:rsidRPr="000D1B0D" w:rsidRDefault="00A21687" w:rsidP="008D5EB1">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D2ECE" w:rsidP="009D4EDC">
            <w:pPr>
              <w:pStyle w:val="Default"/>
              <w:rPr>
                <w:rFonts w:ascii="Calibri" w:hAnsi="Calibri" w:cs="Calibri"/>
                <w:i/>
                <w:sz w:val="20"/>
                <w:szCs w:val="20"/>
              </w:rPr>
            </w:pPr>
            <w:r>
              <w:rPr>
                <w:rFonts w:ascii="Calibri" w:hAnsi="Calibri" w:cs="Calibri"/>
                <w:i/>
                <w:sz w:val="20"/>
                <w:szCs w:val="20"/>
              </w:rPr>
              <w:t xml:space="preserve"> </w:t>
            </w:r>
          </w:p>
        </w:tc>
        <w:tc>
          <w:tcPr>
            <w:tcW w:w="3817" w:type="pct"/>
            <w:gridSpan w:val="2"/>
            <w:shd w:val="clear" w:color="auto" w:fill="auto"/>
          </w:tcPr>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4D2ECE">
                  <w:rPr>
                    <w:rFonts w:ascii="MS Gothic" w:eastAsia="MS Gothic" w:hAnsi="MS Gothic" w:cs="Calibri" w:hint="eastAsia"/>
                    <w:sz w:val="20"/>
                    <w:szCs w:val="20"/>
                  </w:rPr>
                  <w:t>☒</w:t>
                </w:r>
              </w:sdtContent>
            </w:sdt>
          </w:p>
          <w:p w:rsidR="004D2ECE" w:rsidRDefault="004D2ECE" w:rsidP="00D42959">
            <w:pPr>
              <w:pStyle w:val="Default"/>
              <w:jc w:val="both"/>
              <w:rPr>
                <w:rFonts w:ascii="Calibri" w:hAnsi="Calibri" w:cs="Calibri"/>
                <w:sz w:val="20"/>
                <w:szCs w:val="20"/>
              </w:rPr>
            </w:pPr>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4D2ECE" w:rsidRDefault="004D2ECE" w:rsidP="00D42959">
            <w:pPr>
              <w:pStyle w:val="Default"/>
              <w:jc w:val="both"/>
              <w:rPr>
                <w:rFonts w:ascii="Calibri" w:hAnsi="Calibri" w:cs="Calibri"/>
                <w:sz w:val="20"/>
                <w:szCs w:val="20"/>
              </w:rPr>
            </w:pPr>
          </w:p>
          <w:p w:rsidR="004D2ECE" w:rsidRDefault="004D2ECE" w:rsidP="00D42959">
            <w:pPr>
              <w:pStyle w:val="Default"/>
              <w:jc w:val="both"/>
              <w:rPr>
                <w:rFonts w:ascii="Calibri" w:hAnsi="Calibri" w:cs="Calibri"/>
                <w:sz w:val="20"/>
                <w:szCs w:val="20"/>
              </w:rPr>
            </w:pPr>
            <w:r>
              <w:rPr>
                <w:rFonts w:ascii="Calibri" w:hAnsi="Calibri" w:cs="Calibri"/>
                <w:sz w:val="20"/>
                <w:szCs w:val="20"/>
              </w:rPr>
              <w:t xml:space="preserve">Investment decisions will be made </w:t>
            </w:r>
            <w:proofErr w:type="gramStart"/>
            <w:r>
              <w:rPr>
                <w:rFonts w:ascii="Calibri" w:hAnsi="Calibri" w:cs="Calibri"/>
                <w:sz w:val="20"/>
                <w:szCs w:val="20"/>
              </w:rPr>
              <w:t>so as to</w:t>
            </w:r>
            <w:proofErr w:type="gramEnd"/>
            <w:r>
              <w:rPr>
                <w:rFonts w:ascii="Calibri" w:hAnsi="Calibri" w:cs="Calibri"/>
                <w:sz w:val="20"/>
                <w:szCs w:val="20"/>
              </w:rPr>
              <w:t xml:space="preserve"> have a neutral impact on quality. </w:t>
            </w:r>
          </w:p>
          <w:p w:rsidR="00246EFA" w:rsidRPr="000D1B0D" w:rsidRDefault="00246EFA" w:rsidP="00D42959">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Default="009D4EDC" w:rsidP="0021179C">
            <w:pPr>
              <w:pStyle w:val="Default"/>
              <w:rPr>
                <w:rFonts w:ascii="Calibri" w:hAnsi="Calibri" w:cs="Calibri"/>
                <w:b/>
                <w:i/>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21179C" w:rsidRPr="000D1B0D" w:rsidRDefault="0021179C" w:rsidP="0021179C">
            <w:pPr>
              <w:pStyle w:val="Default"/>
              <w:rPr>
                <w:rFonts w:ascii="Calibri" w:hAnsi="Calibri" w:cs="Calibri"/>
                <w:b/>
                <w:sz w:val="20"/>
                <w:szCs w:val="20"/>
              </w:rPr>
            </w:pPr>
          </w:p>
        </w:tc>
        <w:tc>
          <w:tcPr>
            <w:tcW w:w="3817" w:type="pct"/>
            <w:gridSpan w:val="2"/>
            <w:shd w:val="clear" w:color="auto" w:fill="auto"/>
          </w:tcPr>
          <w:p w:rsidR="00246EFA" w:rsidRPr="00901CC0" w:rsidRDefault="0021179C" w:rsidP="00E61AF0">
            <w:pPr>
              <w:pStyle w:val="Default"/>
              <w:jc w:val="both"/>
              <w:rPr>
                <w:rFonts w:ascii="Calibri" w:hAnsi="Calibri" w:cs="Calibri"/>
                <w:sz w:val="20"/>
                <w:szCs w:val="20"/>
              </w:rPr>
            </w:pPr>
            <w:r>
              <w:rPr>
                <w:rFonts w:ascii="Calibri" w:hAnsi="Calibri" w:cs="Calibri"/>
                <w:sz w:val="20"/>
                <w:szCs w:val="20"/>
              </w:rPr>
              <w:t>None</w:t>
            </w:r>
          </w:p>
        </w:tc>
      </w:tr>
      <w:tr w:rsidR="00473CC5" w:rsidRPr="000D1B0D" w:rsidTr="00144ED4">
        <w:tc>
          <w:tcPr>
            <w:tcW w:w="1183" w:type="pct"/>
            <w:shd w:val="clear" w:color="auto" w:fill="auto"/>
          </w:tcPr>
          <w:p w:rsidR="00473CC5" w:rsidRPr="00F300A1" w:rsidRDefault="00473CC5" w:rsidP="0021179C">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21179C" w:rsidP="000D1B0D">
            <w:pPr>
              <w:pStyle w:val="Default"/>
              <w:jc w:val="both"/>
              <w:rPr>
                <w:rFonts w:ascii="Calibri" w:hAnsi="Calibri" w:cs="Calibri"/>
                <w:sz w:val="20"/>
                <w:szCs w:val="20"/>
              </w:rPr>
            </w:pPr>
            <w:r>
              <w:rPr>
                <w:rFonts w:ascii="Calibri" w:hAnsi="Calibri" w:cs="Calibri"/>
                <w:sz w:val="20"/>
                <w:szCs w:val="20"/>
              </w:rPr>
              <w:t>Discussion has taken place with the Council of Members to outline the CCGs challenging financial position for 2020/21 and the potential need for priorit</w:t>
            </w:r>
            <w:r w:rsidR="004D2ECE">
              <w:rPr>
                <w:rFonts w:ascii="Calibri" w:hAnsi="Calibri" w:cs="Calibri"/>
                <w:sz w:val="20"/>
                <w:szCs w:val="20"/>
              </w:rPr>
              <w:t xml:space="preserve">isation. </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006E07" w:rsidRDefault="00E61AF0" w:rsidP="000D1B0D">
            <w:pPr>
              <w:pStyle w:val="Default"/>
              <w:jc w:val="both"/>
              <w:rPr>
                <w:rFonts w:ascii="Calibri" w:hAnsi="Calibri" w:cs="Calibri"/>
                <w:b/>
                <w:sz w:val="20"/>
                <w:szCs w:val="20"/>
              </w:rPr>
            </w:pPr>
            <w:r w:rsidRPr="00E61AF0">
              <w:rPr>
                <w:rFonts w:ascii="Calibri" w:hAnsi="Calibri" w:cs="Calibri"/>
                <w:i/>
                <w:sz w:val="20"/>
                <w:szCs w:val="20"/>
              </w:rPr>
              <w:t xml:space="preserve">Have all conflicts and potential conflicts of interest been appropriately declared and entered in </w:t>
            </w:r>
            <w:proofErr w:type="gramStart"/>
            <w:r w:rsidRPr="00E61AF0">
              <w:rPr>
                <w:rFonts w:ascii="Calibri" w:hAnsi="Calibri" w:cs="Calibri"/>
                <w:i/>
                <w:sz w:val="20"/>
                <w:szCs w:val="20"/>
              </w:rPr>
              <w:t>registers which</w:t>
            </w:r>
            <w:proofErr w:type="gramEnd"/>
            <w:r w:rsidRPr="00E61AF0">
              <w:rPr>
                <w:rFonts w:ascii="Calibri" w:hAnsi="Calibri" w:cs="Calibri"/>
                <w:i/>
                <w:sz w:val="20"/>
                <w:szCs w:val="20"/>
              </w:rPr>
              <w:t xml:space="preserve">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AC7A1F"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4D2ECE">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AC7A1F"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4D2ECE">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AC7A1F"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4D2ECE">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AC7A1F"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AB3B7C" w:rsidRPr="001560ED" w:rsidRDefault="00AB3B7C" w:rsidP="000D1B0D">
            <w:pPr>
              <w:pStyle w:val="Default"/>
              <w:jc w:val="both"/>
              <w:rPr>
                <w:rFonts w:asciiTheme="minorHAnsi" w:hAnsiTheme="minorHAnsi" w:cstheme="minorHAnsi"/>
                <w:sz w:val="20"/>
                <w:szCs w:val="20"/>
              </w:rPr>
            </w:pPr>
            <w:r w:rsidRPr="001560ED">
              <w:rPr>
                <w:rFonts w:asciiTheme="minorHAnsi" w:hAnsiTheme="minorHAnsi" w:cstheme="minorHAnsi"/>
                <w:sz w:val="20"/>
                <w:szCs w:val="20"/>
              </w:rPr>
              <w:t>NEL CCG 5 Year Plan Submission</w:t>
            </w:r>
            <w:r w:rsidR="000F4ECB" w:rsidRPr="001560ED">
              <w:rPr>
                <w:rFonts w:asciiTheme="minorHAnsi" w:hAnsiTheme="minorHAnsi" w:cstheme="minorHAnsi"/>
                <w:sz w:val="20"/>
                <w:szCs w:val="20"/>
              </w:rPr>
              <w:t xml:space="preserve"> </w:t>
            </w:r>
          </w:p>
          <w:p w:rsidR="00AB3B7C" w:rsidRDefault="000F4ECB" w:rsidP="000D1B0D">
            <w:pPr>
              <w:pStyle w:val="Default"/>
              <w:jc w:val="both"/>
              <w:rPr>
                <w:sz w:val="22"/>
                <w:szCs w:val="22"/>
              </w:rPr>
            </w:pPr>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0" o:title=""/>
                </v:shape>
                <o:OLEObject Type="Embed" ProgID="Excel.Sheet.12" ShapeID="_x0000_i1025" DrawAspect="Icon" ObjectID="_1644132974" r:id="rId11"/>
              </w:object>
            </w:r>
            <w:r>
              <w:t xml:space="preserve"> </w:t>
            </w:r>
          </w:p>
          <w:p w:rsidR="00E402F3" w:rsidRPr="001560ED" w:rsidRDefault="004D2ECE" w:rsidP="000D1B0D">
            <w:pPr>
              <w:pStyle w:val="Default"/>
              <w:jc w:val="both"/>
              <w:rPr>
                <w:rFonts w:asciiTheme="minorHAnsi" w:hAnsiTheme="minorHAnsi" w:cstheme="minorHAnsi"/>
                <w:sz w:val="20"/>
                <w:szCs w:val="20"/>
              </w:rPr>
            </w:pPr>
            <w:r w:rsidRPr="001560ED">
              <w:rPr>
                <w:rFonts w:asciiTheme="minorHAnsi" w:hAnsiTheme="minorHAnsi" w:cstheme="minorHAnsi"/>
                <w:sz w:val="20"/>
                <w:szCs w:val="20"/>
              </w:rPr>
              <w:t>NELC Draft Budget report. (Appendix 1 Adult Services - for the scale of the challenges we continue to face and the areas of focus)</w:t>
            </w:r>
          </w:p>
          <w:p w:rsidR="004D2ECE" w:rsidRPr="004D2ECE" w:rsidRDefault="004D2ECE" w:rsidP="000D1B0D">
            <w:pPr>
              <w:pStyle w:val="Default"/>
              <w:jc w:val="both"/>
              <w:rPr>
                <w:rFonts w:ascii="Calibri" w:hAnsi="Calibri" w:cs="Calibri"/>
                <w:sz w:val="22"/>
                <w:szCs w:val="22"/>
              </w:rPr>
            </w:pPr>
          </w:p>
          <w:p w:rsidR="004D2ECE" w:rsidRDefault="00AC7A1F" w:rsidP="004D2ECE">
            <w:pPr>
              <w:rPr>
                <w:rFonts w:ascii="Arial" w:hAnsi="Arial" w:cs="Arial"/>
                <w:szCs w:val="24"/>
              </w:rPr>
            </w:pPr>
            <w:hyperlink r:id="rId12" w:history="1">
              <w:r w:rsidR="004D2ECE" w:rsidRPr="004D2ECE">
                <w:rPr>
                  <w:rStyle w:val="Hyperlink"/>
                  <w:rFonts w:ascii="Arial" w:hAnsi="Arial" w:cs="Arial"/>
                  <w:sz w:val="22"/>
                  <w:szCs w:val="22"/>
                </w:rPr>
                <w:t>https://www.nelincs.gov.uk/wp-content/uploads/2019/05/4-Budget-Commissioning-Plan-Report-Full.pdf</w:t>
              </w:r>
            </w:hyperlink>
          </w:p>
          <w:p w:rsidR="004D2ECE" w:rsidRPr="000D1B0D" w:rsidRDefault="004D2ECE" w:rsidP="000D1B0D">
            <w:pPr>
              <w:pStyle w:val="Default"/>
              <w:jc w:val="both"/>
              <w:rPr>
                <w:rFonts w:ascii="Calibri" w:hAnsi="Calibri" w:cs="Calibri"/>
                <w:sz w:val="20"/>
                <w:szCs w:val="20"/>
              </w:rPr>
            </w:pPr>
          </w:p>
        </w:tc>
      </w:tr>
    </w:tbl>
    <w:p w:rsidR="005666F6" w:rsidRDefault="005666F6" w:rsidP="00D3211A">
      <w:pPr>
        <w:pStyle w:val="Default"/>
        <w:jc w:val="both"/>
        <w:rPr>
          <w:rFonts w:ascii="Calibri" w:hAnsi="Calibri" w:cs="Calibri"/>
          <w:sz w:val="20"/>
          <w:szCs w:val="20"/>
        </w:rPr>
      </w:pPr>
    </w:p>
    <w:p w:rsidR="001560ED" w:rsidRDefault="001560ED">
      <w:pPr>
        <w:rPr>
          <w:rFonts w:ascii="Calibri" w:eastAsia="MS Mincho" w:hAnsi="Calibri" w:cs="Calibri"/>
          <w:color w:val="000000"/>
          <w:sz w:val="22"/>
          <w:szCs w:val="22"/>
          <w:lang w:eastAsia="en-GB"/>
        </w:rPr>
      </w:pPr>
      <w:r>
        <w:rPr>
          <w:rFonts w:ascii="Calibri" w:hAnsi="Calibri" w:cs="Calibri"/>
          <w:sz w:val="22"/>
          <w:szCs w:val="22"/>
        </w:rPr>
        <w:br w:type="page"/>
      </w:r>
    </w:p>
    <w:p w:rsidR="005666F6" w:rsidRPr="001560ED" w:rsidRDefault="00AB2CFD" w:rsidP="00D3211A">
      <w:pPr>
        <w:pStyle w:val="Default"/>
        <w:jc w:val="both"/>
        <w:rPr>
          <w:rFonts w:ascii="Calibri" w:hAnsi="Calibri" w:cs="Calibri"/>
          <w:b/>
          <w:sz w:val="22"/>
          <w:szCs w:val="22"/>
        </w:rPr>
      </w:pPr>
      <w:r w:rsidRPr="001560ED">
        <w:rPr>
          <w:rFonts w:ascii="Calibri" w:hAnsi="Calibri" w:cs="Calibri"/>
          <w:b/>
          <w:sz w:val="22"/>
          <w:szCs w:val="22"/>
        </w:rPr>
        <w:lastRenderedPageBreak/>
        <w:t xml:space="preserve">CCG </w:t>
      </w:r>
      <w:r w:rsidR="005666F6" w:rsidRPr="001560ED">
        <w:rPr>
          <w:rFonts w:ascii="Calibri" w:hAnsi="Calibri" w:cs="Calibri"/>
          <w:b/>
          <w:sz w:val="22"/>
          <w:szCs w:val="22"/>
        </w:rPr>
        <w:t>2020/21 BUDGETS</w:t>
      </w:r>
    </w:p>
    <w:p w:rsidR="005666F6" w:rsidRPr="006E6AF6" w:rsidRDefault="005666F6" w:rsidP="00D3211A">
      <w:pPr>
        <w:pStyle w:val="Default"/>
        <w:jc w:val="both"/>
        <w:rPr>
          <w:rFonts w:ascii="Calibri" w:hAnsi="Calibri" w:cs="Calibri"/>
          <w:sz w:val="22"/>
          <w:szCs w:val="22"/>
        </w:rPr>
      </w:pPr>
    </w:p>
    <w:p w:rsidR="00AB2CFD" w:rsidRPr="006E6AF6" w:rsidRDefault="00AB2CFD" w:rsidP="00D3211A">
      <w:pPr>
        <w:pStyle w:val="Default"/>
        <w:jc w:val="both"/>
        <w:rPr>
          <w:rFonts w:ascii="Calibri" w:hAnsi="Calibri" w:cs="Calibri"/>
          <w:sz w:val="22"/>
          <w:szCs w:val="22"/>
        </w:rPr>
      </w:pPr>
      <w:r w:rsidRPr="001560ED">
        <w:rPr>
          <w:rFonts w:ascii="Calibri" w:hAnsi="Calibri" w:cs="Calibri"/>
          <w:sz w:val="22"/>
          <w:szCs w:val="22"/>
        </w:rPr>
        <w:t xml:space="preserve">The attached report provides a position statement with regard to the setting of the 2020/21 budgets for both Health &amp; Adult Social Care </w:t>
      </w:r>
      <w:r w:rsidR="005666F6" w:rsidRPr="001560ED">
        <w:rPr>
          <w:rFonts w:ascii="Calibri" w:hAnsi="Calibri" w:cs="Calibri"/>
          <w:sz w:val="22"/>
          <w:szCs w:val="22"/>
        </w:rPr>
        <w:t>Health</w:t>
      </w:r>
      <w:r w:rsidRPr="001560ED">
        <w:rPr>
          <w:rFonts w:ascii="Calibri" w:hAnsi="Calibri" w:cs="Calibri"/>
          <w:sz w:val="22"/>
          <w:szCs w:val="22"/>
        </w:rPr>
        <w:t xml:space="preserve">. </w:t>
      </w:r>
      <w:r w:rsidR="001560ED" w:rsidRPr="001560ED">
        <w:rPr>
          <w:rFonts w:ascii="Calibri" w:hAnsi="Calibri" w:cs="Calibri"/>
          <w:sz w:val="22"/>
          <w:szCs w:val="22"/>
        </w:rPr>
        <w:t xml:space="preserve">It also provides details of the steps being taken over the next month to </w:t>
      </w:r>
      <w:r w:rsidRPr="001560ED">
        <w:rPr>
          <w:rFonts w:ascii="Calibri" w:hAnsi="Calibri" w:cs="Calibri"/>
          <w:sz w:val="22"/>
          <w:szCs w:val="22"/>
        </w:rPr>
        <w:t>ensure</w:t>
      </w:r>
      <w:r w:rsidR="001560ED" w:rsidRPr="001560ED">
        <w:rPr>
          <w:rFonts w:ascii="Calibri" w:hAnsi="Calibri" w:cs="Calibri"/>
          <w:sz w:val="22"/>
          <w:szCs w:val="22"/>
        </w:rPr>
        <w:t xml:space="preserve"> that the</w:t>
      </w:r>
      <w:r w:rsidRPr="001560ED">
        <w:rPr>
          <w:rFonts w:ascii="Calibri" w:hAnsi="Calibri" w:cs="Calibri"/>
          <w:sz w:val="22"/>
          <w:szCs w:val="22"/>
        </w:rPr>
        <w:t xml:space="preserve"> budgets are agreed &amp; signed off prior to the 31</w:t>
      </w:r>
      <w:r w:rsidRPr="001560ED">
        <w:rPr>
          <w:rFonts w:ascii="Calibri" w:hAnsi="Calibri" w:cs="Calibri"/>
          <w:sz w:val="22"/>
          <w:szCs w:val="22"/>
          <w:vertAlign w:val="superscript"/>
        </w:rPr>
        <w:t>st</w:t>
      </w:r>
      <w:r w:rsidRPr="001560ED">
        <w:rPr>
          <w:rFonts w:ascii="Calibri" w:hAnsi="Calibri" w:cs="Calibri"/>
          <w:sz w:val="22"/>
          <w:szCs w:val="22"/>
        </w:rPr>
        <w:t xml:space="preserve"> March 2020</w:t>
      </w:r>
    </w:p>
    <w:p w:rsidR="00AB2CFD" w:rsidRPr="006E6AF6" w:rsidRDefault="00AB2CFD" w:rsidP="00D3211A">
      <w:pPr>
        <w:pStyle w:val="Default"/>
        <w:jc w:val="both"/>
        <w:rPr>
          <w:rFonts w:ascii="Calibri" w:hAnsi="Calibri" w:cs="Calibri"/>
          <w:sz w:val="22"/>
          <w:szCs w:val="22"/>
        </w:rPr>
      </w:pPr>
    </w:p>
    <w:p w:rsidR="00AB2CFD" w:rsidRPr="001560ED" w:rsidRDefault="006E6AF6" w:rsidP="00D3211A">
      <w:pPr>
        <w:pStyle w:val="Default"/>
        <w:jc w:val="both"/>
        <w:rPr>
          <w:rFonts w:ascii="Calibri" w:hAnsi="Calibri" w:cs="Calibri"/>
          <w:b/>
          <w:sz w:val="22"/>
          <w:szCs w:val="22"/>
        </w:rPr>
      </w:pPr>
      <w:r w:rsidRPr="001560ED">
        <w:rPr>
          <w:rFonts w:ascii="Calibri" w:hAnsi="Calibri" w:cs="Calibri"/>
          <w:b/>
          <w:sz w:val="22"/>
          <w:szCs w:val="22"/>
        </w:rPr>
        <w:t>HEALTH</w:t>
      </w:r>
    </w:p>
    <w:p w:rsidR="00AB2CFD" w:rsidRPr="006E6AF6" w:rsidRDefault="00AB2CFD" w:rsidP="00D3211A">
      <w:pPr>
        <w:pStyle w:val="Default"/>
        <w:jc w:val="both"/>
        <w:rPr>
          <w:rFonts w:ascii="Calibri" w:hAnsi="Calibri" w:cs="Calibri"/>
          <w:sz w:val="22"/>
          <w:szCs w:val="22"/>
        </w:rPr>
      </w:pPr>
    </w:p>
    <w:p w:rsidR="005666F6" w:rsidRPr="006E6AF6" w:rsidRDefault="005666F6" w:rsidP="00D3211A">
      <w:pPr>
        <w:pStyle w:val="Default"/>
        <w:jc w:val="both"/>
        <w:rPr>
          <w:rFonts w:ascii="Calibri" w:hAnsi="Calibri" w:cs="Calibri"/>
          <w:sz w:val="22"/>
          <w:szCs w:val="22"/>
        </w:rPr>
      </w:pPr>
      <w:r w:rsidRPr="006E6AF6">
        <w:rPr>
          <w:rFonts w:ascii="Calibri" w:hAnsi="Calibri" w:cs="Calibri"/>
          <w:sz w:val="22"/>
          <w:szCs w:val="22"/>
        </w:rPr>
        <w:t xml:space="preserve">The </w:t>
      </w:r>
      <w:r w:rsidR="00AB2CFD" w:rsidRPr="006E6AF6">
        <w:rPr>
          <w:rFonts w:ascii="Calibri" w:hAnsi="Calibri" w:cs="Calibri"/>
          <w:sz w:val="22"/>
          <w:szCs w:val="22"/>
        </w:rPr>
        <w:t xml:space="preserve">Operational </w:t>
      </w:r>
      <w:r w:rsidRPr="006E6AF6">
        <w:rPr>
          <w:rFonts w:ascii="Calibri" w:hAnsi="Calibri" w:cs="Calibri"/>
          <w:sz w:val="22"/>
          <w:szCs w:val="22"/>
        </w:rPr>
        <w:t xml:space="preserve">Budgets for 2020/21 build on the work done as part of the </w:t>
      </w:r>
      <w:r w:rsidR="006E6AF6">
        <w:rPr>
          <w:rFonts w:ascii="Calibri" w:hAnsi="Calibri" w:cs="Calibri"/>
          <w:sz w:val="22"/>
          <w:szCs w:val="22"/>
        </w:rPr>
        <w:t xml:space="preserve">5 Year Plan </w:t>
      </w:r>
      <w:r w:rsidR="00AB2CFD" w:rsidRPr="006E6AF6">
        <w:rPr>
          <w:rFonts w:ascii="Calibri" w:hAnsi="Calibri" w:cs="Calibri"/>
          <w:sz w:val="22"/>
          <w:szCs w:val="22"/>
        </w:rPr>
        <w:t>(2019/20 – 2023/24) which was completed in Nov 19.</w:t>
      </w:r>
      <w:r w:rsidR="00BE592E">
        <w:rPr>
          <w:rFonts w:ascii="Calibri" w:hAnsi="Calibri" w:cs="Calibri"/>
          <w:sz w:val="22"/>
          <w:szCs w:val="22"/>
        </w:rPr>
        <w:t xml:space="preserve"> </w:t>
      </w:r>
    </w:p>
    <w:p w:rsidR="00AB2CFD" w:rsidRDefault="00AB2CFD" w:rsidP="00D3211A">
      <w:pPr>
        <w:pStyle w:val="Default"/>
        <w:jc w:val="both"/>
        <w:rPr>
          <w:rFonts w:ascii="Calibri" w:hAnsi="Calibri" w:cs="Calibri"/>
          <w:sz w:val="22"/>
          <w:szCs w:val="22"/>
        </w:rPr>
      </w:pPr>
    </w:p>
    <w:p w:rsidR="006E6AF6" w:rsidRDefault="006E6AF6" w:rsidP="00D3211A">
      <w:pPr>
        <w:pStyle w:val="Default"/>
        <w:jc w:val="both"/>
        <w:rPr>
          <w:rFonts w:ascii="Calibri" w:hAnsi="Calibri" w:cs="Calibri"/>
          <w:sz w:val="22"/>
          <w:szCs w:val="22"/>
        </w:rPr>
      </w:pPr>
      <w:r>
        <w:rPr>
          <w:rFonts w:ascii="Calibri" w:hAnsi="Calibri" w:cs="Calibri"/>
          <w:sz w:val="22"/>
          <w:szCs w:val="22"/>
        </w:rPr>
        <w:t>Approach to budget setting</w:t>
      </w:r>
    </w:p>
    <w:p w:rsidR="006E6AF6" w:rsidRDefault="006E6AF6" w:rsidP="00D3211A">
      <w:pPr>
        <w:pStyle w:val="Default"/>
        <w:jc w:val="both"/>
        <w:rPr>
          <w:rFonts w:ascii="Calibri" w:hAnsi="Calibri" w:cs="Calibri"/>
          <w:sz w:val="22"/>
          <w:szCs w:val="22"/>
        </w:rPr>
      </w:pPr>
    </w:p>
    <w:p w:rsidR="006E6AF6" w:rsidRPr="006E6AF6" w:rsidRDefault="006E6AF6" w:rsidP="006E6AF6">
      <w:pPr>
        <w:pStyle w:val="ListParagraph"/>
        <w:numPr>
          <w:ilvl w:val="0"/>
          <w:numId w:val="9"/>
        </w:numPr>
        <w:spacing w:line="216" w:lineRule="auto"/>
        <w:rPr>
          <w:lang w:eastAsia="en-GB"/>
        </w:rPr>
      </w:pPr>
      <w:r w:rsidRPr="006E6AF6">
        <w:rPr>
          <w:rFonts w:asciiTheme="minorHAnsi" w:eastAsiaTheme="minorEastAsia" w:cstheme="minorBidi"/>
          <w:color w:val="000000" w:themeColor="text1"/>
          <w:kern w:val="24"/>
          <w:lang w:eastAsia="en-GB"/>
        </w:rPr>
        <w:t>F</w:t>
      </w:r>
      <w:r>
        <w:rPr>
          <w:rFonts w:asciiTheme="minorHAnsi" w:eastAsiaTheme="minorEastAsia" w:cstheme="minorBidi"/>
          <w:color w:val="000000" w:themeColor="text1"/>
          <w:kern w:val="24"/>
          <w:lang w:eastAsia="en-GB"/>
        </w:rPr>
        <w:t xml:space="preserve">orecast </w:t>
      </w:r>
      <w:r w:rsidRPr="006E6AF6">
        <w:rPr>
          <w:rFonts w:asciiTheme="minorHAnsi" w:eastAsiaTheme="minorEastAsia" w:cstheme="minorBidi"/>
          <w:color w:val="000000" w:themeColor="text1"/>
          <w:kern w:val="24"/>
          <w:lang w:eastAsia="en-GB"/>
        </w:rPr>
        <w:t>O</w:t>
      </w:r>
      <w:r>
        <w:rPr>
          <w:rFonts w:asciiTheme="minorHAnsi" w:eastAsiaTheme="minorEastAsia" w:cstheme="minorBidi"/>
          <w:color w:val="000000" w:themeColor="text1"/>
          <w:kern w:val="24"/>
          <w:lang w:eastAsia="en-GB"/>
        </w:rPr>
        <w:t>utturn</w:t>
      </w:r>
      <w:r w:rsidRPr="006E6AF6">
        <w:rPr>
          <w:rFonts w:asciiTheme="minorHAnsi" w:eastAsiaTheme="minorEastAsia" w:cstheme="minorBidi"/>
          <w:color w:val="000000" w:themeColor="text1"/>
          <w:kern w:val="24"/>
          <w:lang w:eastAsia="en-GB"/>
        </w:rPr>
        <w:t xml:space="preserve"> (adjusted for one off items of spend </w:t>
      </w:r>
      <w:r w:rsidR="007462B4" w:rsidRPr="006E6AF6">
        <w:rPr>
          <w:rFonts w:asciiTheme="minorHAnsi" w:eastAsiaTheme="minorEastAsia" w:cstheme="minorBidi"/>
          <w:color w:val="000000" w:themeColor="text1"/>
          <w:kern w:val="24"/>
          <w:lang w:eastAsia="en-GB"/>
        </w:rPr>
        <w:t>e.g.</w:t>
      </w:r>
      <w:r w:rsidRPr="006E6AF6">
        <w:rPr>
          <w:rFonts w:asciiTheme="minorHAnsi" w:eastAsiaTheme="minorEastAsia" w:cstheme="minorBidi"/>
          <w:color w:val="000000" w:themeColor="text1"/>
          <w:kern w:val="24"/>
          <w:lang w:eastAsia="en-GB"/>
        </w:rPr>
        <w:t xml:space="preserve"> additional activity to clear backlog)</w:t>
      </w:r>
    </w:p>
    <w:p w:rsidR="006E6AF6" w:rsidRPr="006E6AF6" w:rsidRDefault="006E6AF6" w:rsidP="006E6AF6">
      <w:pPr>
        <w:pStyle w:val="ListParagraph"/>
        <w:numPr>
          <w:ilvl w:val="0"/>
          <w:numId w:val="9"/>
        </w:numPr>
        <w:spacing w:line="216" w:lineRule="auto"/>
        <w:rPr>
          <w:lang w:eastAsia="en-GB"/>
        </w:rPr>
      </w:pPr>
      <w:r w:rsidRPr="006E6AF6">
        <w:rPr>
          <w:rFonts w:asciiTheme="minorHAnsi" w:eastAsiaTheme="minorEastAsia" w:cstheme="minorBidi"/>
          <w:color w:val="000000" w:themeColor="text1"/>
          <w:kern w:val="24"/>
          <w:lang w:eastAsia="en-GB"/>
        </w:rPr>
        <w:t>Pressures (tariff, demographic growth)</w:t>
      </w:r>
    </w:p>
    <w:p w:rsidR="006E6AF6" w:rsidRPr="006E6AF6" w:rsidRDefault="006E6AF6" w:rsidP="006E6AF6">
      <w:pPr>
        <w:pStyle w:val="ListParagraph"/>
        <w:numPr>
          <w:ilvl w:val="0"/>
          <w:numId w:val="9"/>
        </w:numPr>
        <w:spacing w:line="216" w:lineRule="auto"/>
        <w:rPr>
          <w:lang w:eastAsia="en-GB"/>
        </w:rPr>
      </w:pPr>
      <w:r w:rsidRPr="006E6AF6">
        <w:rPr>
          <w:rFonts w:asciiTheme="minorHAnsi" w:eastAsiaTheme="minorEastAsia" w:cstheme="minorBidi"/>
          <w:color w:val="000000" w:themeColor="text1"/>
          <w:kern w:val="24"/>
          <w:lang w:eastAsia="en-GB"/>
        </w:rPr>
        <w:t>Benefits (impact of agreed transformation schemes)</w:t>
      </w:r>
    </w:p>
    <w:p w:rsidR="006E6AF6" w:rsidRPr="006E6AF6" w:rsidRDefault="006E6AF6" w:rsidP="006E6AF6">
      <w:pPr>
        <w:pStyle w:val="ListParagraph"/>
        <w:numPr>
          <w:ilvl w:val="0"/>
          <w:numId w:val="9"/>
        </w:numPr>
        <w:spacing w:line="216" w:lineRule="auto"/>
        <w:rPr>
          <w:lang w:eastAsia="en-GB"/>
        </w:rPr>
      </w:pPr>
      <w:r w:rsidRPr="006E6AF6">
        <w:rPr>
          <w:rFonts w:asciiTheme="minorHAnsi" w:eastAsiaTheme="minorEastAsia" w:cstheme="minorBidi"/>
          <w:color w:val="000000" w:themeColor="text1"/>
          <w:kern w:val="24"/>
          <w:lang w:eastAsia="en-GB"/>
        </w:rPr>
        <w:t>Investment required to meet nationally mandated investment standards (Mental Health Investment Standard, Community/Primary Care/CHC) &amp; required level of contingency funding</w:t>
      </w:r>
    </w:p>
    <w:p w:rsidR="006E6AF6" w:rsidRPr="00BE592E" w:rsidRDefault="006E6AF6" w:rsidP="006E6AF6">
      <w:pPr>
        <w:pStyle w:val="ListParagraph"/>
        <w:numPr>
          <w:ilvl w:val="0"/>
          <w:numId w:val="9"/>
        </w:numPr>
        <w:spacing w:line="216" w:lineRule="auto"/>
        <w:rPr>
          <w:lang w:eastAsia="en-GB"/>
        </w:rPr>
      </w:pPr>
      <w:r w:rsidRPr="006E6AF6">
        <w:rPr>
          <w:rFonts w:asciiTheme="minorHAnsi" w:eastAsiaTheme="minorEastAsia" w:cstheme="minorBidi"/>
          <w:color w:val="000000" w:themeColor="text1"/>
          <w:kern w:val="24"/>
          <w:lang w:eastAsia="en-GB"/>
        </w:rPr>
        <w:t>No funding earmarked in addition to the above.</w:t>
      </w:r>
    </w:p>
    <w:tbl>
      <w:tblPr>
        <w:tblW w:w="9618" w:type="dxa"/>
        <w:tblLook w:val="04A0" w:firstRow="1" w:lastRow="0" w:firstColumn="1" w:lastColumn="0" w:noHBand="0" w:noVBand="1"/>
      </w:tblPr>
      <w:tblGrid>
        <w:gridCol w:w="5834"/>
        <w:gridCol w:w="1678"/>
        <w:gridCol w:w="331"/>
        <w:gridCol w:w="1775"/>
      </w:tblGrid>
      <w:tr w:rsidR="006E6AF6" w:rsidRPr="006E6AF6" w:rsidTr="00BE592E">
        <w:trPr>
          <w:trHeight w:val="552"/>
        </w:trPr>
        <w:tc>
          <w:tcPr>
            <w:tcW w:w="5834" w:type="dxa"/>
            <w:tcBorders>
              <w:top w:val="nil"/>
              <w:left w:val="nil"/>
              <w:bottom w:val="nil"/>
              <w:right w:val="nil"/>
            </w:tcBorders>
            <w:shd w:val="clear" w:color="auto" w:fill="auto"/>
            <w:noWrap/>
            <w:vAlign w:val="bottom"/>
            <w:hideMark/>
          </w:tcPr>
          <w:p w:rsidR="006E6AF6" w:rsidRPr="006E6AF6" w:rsidRDefault="00BE592E" w:rsidP="006E6AF6">
            <w:pPr>
              <w:rPr>
                <w:b/>
                <w:szCs w:val="24"/>
                <w:lang w:eastAsia="en-GB"/>
              </w:rPr>
            </w:pPr>
            <w:r w:rsidRPr="00BE592E">
              <w:rPr>
                <w:b/>
                <w:szCs w:val="24"/>
                <w:lang w:eastAsia="en-GB"/>
              </w:rPr>
              <w:t>Summary</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center"/>
              <w:rPr>
                <w:rFonts w:ascii="Calibri" w:hAnsi="Calibri" w:cs="Calibri"/>
                <w:b/>
                <w:bCs/>
                <w:color w:val="000000"/>
                <w:sz w:val="22"/>
                <w:szCs w:val="22"/>
                <w:lang w:eastAsia="en-GB"/>
              </w:rPr>
            </w:pPr>
            <w:r w:rsidRPr="006E6AF6">
              <w:rPr>
                <w:rFonts w:ascii="Calibri" w:hAnsi="Calibri" w:cs="Calibri"/>
                <w:b/>
                <w:bCs/>
                <w:color w:val="000000"/>
                <w:sz w:val="22"/>
                <w:szCs w:val="22"/>
                <w:lang w:eastAsia="en-GB"/>
              </w:rPr>
              <w:t>5 Yr Plan</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center"/>
              <w:rPr>
                <w:rFonts w:ascii="Calibri" w:hAnsi="Calibri" w:cs="Calibri"/>
                <w:b/>
                <w:bCs/>
                <w:color w:val="000000"/>
                <w:sz w:val="22"/>
                <w:szCs w:val="22"/>
                <w:lang w:eastAsia="en-GB"/>
              </w:rPr>
            </w:pPr>
          </w:p>
        </w:tc>
        <w:tc>
          <w:tcPr>
            <w:tcW w:w="1775" w:type="dxa"/>
            <w:tcBorders>
              <w:top w:val="nil"/>
              <w:left w:val="nil"/>
              <w:bottom w:val="nil"/>
              <w:right w:val="nil"/>
            </w:tcBorders>
            <w:shd w:val="clear" w:color="auto" w:fill="auto"/>
            <w:vAlign w:val="bottom"/>
            <w:hideMark/>
          </w:tcPr>
          <w:p w:rsidR="006E6AF6" w:rsidRPr="006E6AF6" w:rsidRDefault="006E6AF6" w:rsidP="006E6AF6">
            <w:pPr>
              <w:jc w:val="center"/>
              <w:rPr>
                <w:rFonts w:ascii="Calibri" w:hAnsi="Calibri" w:cs="Calibri"/>
                <w:b/>
                <w:bCs/>
                <w:color w:val="000000"/>
                <w:sz w:val="22"/>
                <w:szCs w:val="22"/>
                <w:lang w:eastAsia="en-GB"/>
              </w:rPr>
            </w:pPr>
            <w:r w:rsidRPr="006E6AF6">
              <w:rPr>
                <w:rFonts w:ascii="Calibri" w:hAnsi="Calibri" w:cs="Calibri"/>
                <w:b/>
                <w:bCs/>
                <w:color w:val="000000"/>
                <w:sz w:val="22"/>
                <w:szCs w:val="22"/>
                <w:lang w:eastAsia="en-GB"/>
              </w:rPr>
              <w:t>Budget 2020/21</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jc w:val="center"/>
              <w:rPr>
                <w:rFonts w:ascii="Calibri" w:hAnsi="Calibri" w:cs="Calibri"/>
                <w:b/>
                <w:bCs/>
                <w:color w:val="000000"/>
                <w:sz w:val="22"/>
                <w:szCs w:val="22"/>
                <w:lang w:eastAsia="en-GB"/>
              </w:rPr>
            </w:pPr>
          </w:p>
        </w:tc>
        <w:tc>
          <w:tcPr>
            <w:tcW w:w="1678" w:type="dxa"/>
            <w:tcBorders>
              <w:top w:val="nil"/>
              <w:left w:val="nil"/>
              <w:bottom w:val="nil"/>
              <w:right w:val="nil"/>
            </w:tcBorders>
            <w:shd w:val="clear" w:color="auto" w:fill="auto"/>
            <w:vAlign w:val="bottom"/>
            <w:hideMark/>
          </w:tcPr>
          <w:p w:rsidR="006E6AF6" w:rsidRPr="006E6AF6" w:rsidRDefault="006E6AF6" w:rsidP="006E6AF6">
            <w:pPr>
              <w:jc w:val="center"/>
              <w:rPr>
                <w:rFonts w:ascii="Calibri" w:hAnsi="Calibri" w:cs="Calibri"/>
                <w:b/>
                <w:bCs/>
                <w:color w:val="000000"/>
                <w:sz w:val="22"/>
                <w:szCs w:val="22"/>
                <w:lang w:eastAsia="en-GB"/>
              </w:rPr>
            </w:pPr>
            <w:r w:rsidRPr="006E6AF6">
              <w:rPr>
                <w:rFonts w:ascii="Calibri" w:hAnsi="Calibri" w:cs="Calibri"/>
                <w:b/>
                <w:bCs/>
                <w:color w:val="000000"/>
                <w:sz w:val="22"/>
                <w:szCs w:val="22"/>
                <w:lang w:eastAsia="en-GB"/>
              </w:rPr>
              <w:t>£'000</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center"/>
              <w:rPr>
                <w:rFonts w:ascii="Calibri" w:hAnsi="Calibri" w:cs="Calibri"/>
                <w:b/>
                <w:bCs/>
                <w:color w:val="000000"/>
                <w:sz w:val="22"/>
                <w:szCs w:val="22"/>
                <w:lang w:eastAsia="en-GB"/>
              </w:rPr>
            </w:pPr>
          </w:p>
        </w:tc>
        <w:tc>
          <w:tcPr>
            <w:tcW w:w="1775" w:type="dxa"/>
            <w:tcBorders>
              <w:top w:val="nil"/>
              <w:left w:val="nil"/>
              <w:bottom w:val="nil"/>
              <w:right w:val="nil"/>
            </w:tcBorders>
            <w:shd w:val="clear" w:color="auto" w:fill="auto"/>
            <w:vAlign w:val="bottom"/>
            <w:hideMark/>
          </w:tcPr>
          <w:p w:rsidR="006E6AF6" w:rsidRPr="006E6AF6" w:rsidRDefault="006E6AF6" w:rsidP="006E6AF6">
            <w:pPr>
              <w:jc w:val="center"/>
              <w:rPr>
                <w:rFonts w:ascii="Calibri" w:hAnsi="Calibri" w:cs="Calibri"/>
                <w:b/>
                <w:bCs/>
                <w:color w:val="000000"/>
                <w:sz w:val="22"/>
                <w:szCs w:val="22"/>
                <w:lang w:eastAsia="en-GB"/>
              </w:rPr>
            </w:pPr>
            <w:r w:rsidRPr="006E6AF6">
              <w:rPr>
                <w:rFonts w:ascii="Calibri" w:hAnsi="Calibri" w:cs="Calibri"/>
                <w:b/>
                <w:bCs/>
                <w:color w:val="000000"/>
                <w:sz w:val="22"/>
                <w:szCs w:val="22"/>
                <w:lang w:eastAsia="en-GB"/>
              </w:rPr>
              <w:t>£'000</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F6046F" w:rsidRDefault="00F6046F" w:rsidP="006E6AF6">
            <w:pPr>
              <w:rPr>
                <w:rFonts w:ascii="Calibri" w:hAnsi="Calibri" w:cs="Calibri"/>
                <w:b/>
                <w:color w:val="000000"/>
                <w:sz w:val="22"/>
                <w:szCs w:val="22"/>
                <w:lang w:eastAsia="en-GB"/>
              </w:rPr>
            </w:pPr>
            <w:r w:rsidRPr="00F6046F">
              <w:rPr>
                <w:rFonts w:ascii="Calibri" w:hAnsi="Calibri" w:cs="Calibri"/>
                <w:b/>
                <w:color w:val="000000"/>
                <w:sz w:val="22"/>
                <w:szCs w:val="22"/>
                <w:lang w:eastAsia="en-GB"/>
              </w:rPr>
              <w:t>Expenditure</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p>
        </w:tc>
        <w:tc>
          <w:tcPr>
            <w:tcW w:w="331"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ACUTE</w:t>
            </w:r>
            <w:r w:rsidR="001560ED">
              <w:rPr>
                <w:rFonts w:ascii="Calibri" w:hAnsi="Calibri" w:cs="Calibri"/>
                <w:color w:val="000000"/>
                <w:sz w:val="22"/>
                <w:szCs w:val="22"/>
                <w:lang w:eastAsia="en-GB"/>
              </w:rPr>
              <w:t xml:space="preserve"> </w:t>
            </w:r>
            <w:r w:rsidR="001560ED" w:rsidRPr="001560ED">
              <w:rPr>
                <w:rFonts w:ascii="Calibri" w:hAnsi="Calibri" w:cs="Calibri"/>
                <w:i/>
                <w:color w:val="000000"/>
                <w:sz w:val="22"/>
                <w:szCs w:val="22"/>
                <w:lang w:eastAsia="en-GB"/>
              </w:rPr>
              <w:t>(ANALYSIS BELOW)</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151,964</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153,180</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UNIDENTIFIED SAVINGS</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(2,139)</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(5,412)</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CO COMMISSIONING</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29,312</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29,321</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COMMUNITY HEALTH SERVICES</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20,233</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19,900</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CONTINUING CARE</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9,148</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9,777</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MENTAL HEALTH</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31,175</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31,175</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OTHER</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9,369</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11,346</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PRIMARY CARE</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7,045</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6,836</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PRIMARY CARE - Prescribing</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26,842</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27,342</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CONTINGENCY</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1,401</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1,401</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RUNNING COSTS</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3,173</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3,173</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b/>
                <w:bCs/>
                <w:color w:val="000000"/>
                <w:sz w:val="22"/>
                <w:szCs w:val="22"/>
                <w:lang w:eastAsia="en-GB"/>
              </w:rPr>
            </w:pPr>
            <w:r w:rsidRPr="006E6AF6">
              <w:rPr>
                <w:rFonts w:ascii="Calibri" w:hAnsi="Calibri" w:cs="Calibri"/>
                <w:b/>
                <w:bCs/>
                <w:color w:val="000000"/>
                <w:sz w:val="22"/>
                <w:szCs w:val="22"/>
                <w:lang w:eastAsia="en-GB"/>
              </w:rPr>
              <w:t>TOTAL</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b/>
                <w:bCs/>
                <w:color w:val="000000"/>
                <w:sz w:val="22"/>
                <w:szCs w:val="22"/>
                <w:lang w:eastAsia="en-GB"/>
              </w:rPr>
            </w:pPr>
            <w:r w:rsidRPr="006E6AF6">
              <w:rPr>
                <w:rFonts w:ascii="Calibri" w:hAnsi="Calibri" w:cs="Calibri"/>
                <w:b/>
                <w:bCs/>
                <w:color w:val="000000"/>
                <w:sz w:val="22"/>
                <w:szCs w:val="22"/>
                <w:lang w:eastAsia="en-GB"/>
              </w:rPr>
              <w:t>287,523</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b/>
                <w:bCs/>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b/>
                <w:bCs/>
                <w:color w:val="000000"/>
                <w:sz w:val="22"/>
                <w:szCs w:val="22"/>
                <w:lang w:eastAsia="en-GB"/>
              </w:rPr>
            </w:pPr>
            <w:r w:rsidRPr="006E6AF6">
              <w:rPr>
                <w:rFonts w:ascii="Calibri" w:hAnsi="Calibri" w:cs="Calibri"/>
                <w:b/>
                <w:bCs/>
                <w:color w:val="000000"/>
                <w:sz w:val="22"/>
                <w:szCs w:val="22"/>
                <w:lang w:eastAsia="en-GB"/>
              </w:rPr>
              <w:t>288,039</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b/>
                <w:bCs/>
                <w:color w:val="000000"/>
                <w:sz w:val="22"/>
                <w:szCs w:val="22"/>
                <w:lang w:eastAsia="en-GB"/>
              </w:rPr>
            </w:pPr>
          </w:p>
        </w:tc>
        <w:tc>
          <w:tcPr>
            <w:tcW w:w="1678"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c>
          <w:tcPr>
            <w:tcW w:w="331"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b/>
                <w:bCs/>
                <w:color w:val="000000"/>
                <w:sz w:val="22"/>
                <w:szCs w:val="22"/>
                <w:lang w:eastAsia="en-GB"/>
              </w:rPr>
            </w:pPr>
            <w:r w:rsidRPr="006E6AF6">
              <w:rPr>
                <w:rFonts w:ascii="Calibri" w:hAnsi="Calibri" w:cs="Calibri"/>
                <w:b/>
                <w:bCs/>
                <w:color w:val="000000"/>
                <w:sz w:val="22"/>
                <w:szCs w:val="22"/>
                <w:lang w:eastAsia="en-GB"/>
              </w:rPr>
              <w:t>Allocations</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b/>
                <w:bCs/>
                <w:color w:val="000000"/>
                <w:sz w:val="22"/>
                <w:szCs w:val="22"/>
                <w:lang w:eastAsia="en-GB"/>
              </w:rPr>
            </w:pPr>
          </w:p>
        </w:tc>
        <w:tc>
          <w:tcPr>
            <w:tcW w:w="331"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PROGRAMME</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250,382</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250,889</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PRIMARY CARE CO-COMMISSIONING</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29,461</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29,470</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RUNNING COSTS</w:t>
            </w:r>
          </w:p>
        </w:tc>
        <w:tc>
          <w:tcPr>
            <w:tcW w:w="1678" w:type="dxa"/>
            <w:tcBorders>
              <w:top w:val="nil"/>
              <w:left w:val="nil"/>
              <w:bottom w:val="nil"/>
              <w:right w:val="nil"/>
            </w:tcBorders>
            <w:shd w:val="clear" w:color="auto" w:fill="auto"/>
            <w:noWrap/>
            <w:vAlign w:val="bottom"/>
            <w:hideMark/>
          </w:tcPr>
          <w:p w:rsidR="006E6AF6" w:rsidRPr="006E6AF6" w:rsidRDefault="001560ED"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3,173</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3,173</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NON RECURRENT</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1,057</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1,057</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color w:val="000000"/>
                <w:sz w:val="22"/>
                <w:szCs w:val="22"/>
                <w:lang w:eastAsia="en-GB"/>
              </w:rPr>
            </w:pPr>
            <w:r w:rsidRPr="006E6AF6">
              <w:rPr>
                <w:rFonts w:ascii="Calibri" w:hAnsi="Calibri" w:cs="Calibri"/>
                <w:color w:val="000000"/>
                <w:sz w:val="22"/>
                <w:szCs w:val="22"/>
                <w:lang w:eastAsia="en-GB"/>
              </w:rPr>
              <w:t xml:space="preserve">DRAW DOWN </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3,450</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color w:val="000000"/>
                <w:sz w:val="22"/>
                <w:szCs w:val="22"/>
                <w:lang w:eastAsia="en-GB"/>
              </w:rPr>
            </w:pPr>
            <w:r w:rsidRPr="006E6AF6">
              <w:rPr>
                <w:rFonts w:ascii="Calibri" w:hAnsi="Calibri" w:cs="Calibri"/>
                <w:color w:val="000000"/>
                <w:sz w:val="22"/>
                <w:szCs w:val="22"/>
                <w:lang w:eastAsia="en-GB"/>
              </w:rPr>
              <w:t>3,450</w:t>
            </w:r>
          </w:p>
        </w:tc>
      </w:tr>
      <w:tr w:rsidR="006E6AF6" w:rsidRPr="006E6AF6" w:rsidTr="00BE592E">
        <w:trPr>
          <w:trHeight w:val="304"/>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b/>
                <w:bCs/>
                <w:color w:val="000000"/>
                <w:sz w:val="22"/>
                <w:szCs w:val="22"/>
                <w:lang w:eastAsia="en-GB"/>
              </w:rPr>
            </w:pPr>
            <w:r w:rsidRPr="006E6AF6">
              <w:rPr>
                <w:rFonts w:ascii="Calibri" w:hAnsi="Calibri" w:cs="Calibri"/>
                <w:b/>
                <w:bCs/>
                <w:color w:val="000000"/>
                <w:sz w:val="22"/>
                <w:szCs w:val="22"/>
                <w:lang w:eastAsia="en-GB"/>
              </w:rPr>
              <w:t>TOTAL</w:t>
            </w:r>
          </w:p>
        </w:tc>
        <w:tc>
          <w:tcPr>
            <w:tcW w:w="1678" w:type="dxa"/>
            <w:tcBorders>
              <w:top w:val="single" w:sz="4" w:space="0" w:color="auto"/>
              <w:left w:val="nil"/>
              <w:bottom w:val="double" w:sz="6" w:space="0" w:color="auto"/>
              <w:right w:val="nil"/>
            </w:tcBorders>
            <w:shd w:val="clear" w:color="auto" w:fill="auto"/>
            <w:noWrap/>
            <w:vAlign w:val="bottom"/>
            <w:hideMark/>
          </w:tcPr>
          <w:p w:rsidR="006E6AF6" w:rsidRPr="006E6AF6" w:rsidRDefault="006E6AF6" w:rsidP="006E6AF6">
            <w:pPr>
              <w:jc w:val="right"/>
              <w:rPr>
                <w:rFonts w:ascii="Calibri" w:hAnsi="Calibri" w:cs="Calibri"/>
                <w:b/>
                <w:bCs/>
                <w:color w:val="000000"/>
                <w:sz w:val="22"/>
                <w:szCs w:val="22"/>
                <w:lang w:eastAsia="en-GB"/>
              </w:rPr>
            </w:pPr>
            <w:r w:rsidRPr="006E6AF6">
              <w:rPr>
                <w:rFonts w:ascii="Calibri" w:hAnsi="Calibri" w:cs="Calibri"/>
                <w:b/>
                <w:bCs/>
                <w:color w:val="000000"/>
                <w:sz w:val="22"/>
                <w:szCs w:val="22"/>
                <w:lang w:eastAsia="en-GB"/>
              </w:rPr>
              <w:t>287,523</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b/>
                <w:bCs/>
                <w:color w:val="000000"/>
                <w:sz w:val="22"/>
                <w:szCs w:val="22"/>
                <w:lang w:eastAsia="en-GB"/>
              </w:rPr>
            </w:pPr>
          </w:p>
        </w:tc>
        <w:tc>
          <w:tcPr>
            <w:tcW w:w="1775" w:type="dxa"/>
            <w:tcBorders>
              <w:top w:val="single" w:sz="4" w:space="0" w:color="auto"/>
              <w:left w:val="nil"/>
              <w:bottom w:val="double" w:sz="6" w:space="0" w:color="auto"/>
              <w:right w:val="nil"/>
            </w:tcBorders>
            <w:shd w:val="clear" w:color="auto" w:fill="auto"/>
            <w:noWrap/>
            <w:vAlign w:val="bottom"/>
            <w:hideMark/>
          </w:tcPr>
          <w:p w:rsidR="006E6AF6" w:rsidRPr="006E6AF6" w:rsidRDefault="006E6AF6" w:rsidP="006E6AF6">
            <w:pPr>
              <w:jc w:val="right"/>
              <w:rPr>
                <w:rFonts w:ascii="Calibri" w:hAnsi="Calibri" w:cs="Calibri"/>
                <w:b/>
                <w:bCs/>
                <w:color w:val="000000"/>
                <w:sz w:val="22"/>
                <w:szCs w:val="22"/>
                <w:lang w:eastAsia="en-GB"/>
              </w:rPr>
            </w:pPr>
            <w:r w:rsidRPr="006E6AF6">
              <w:rPr>
                <w:rFonts w:ascii="Calibri" w:hAnsi="Calibri" w:cs="Calibri"/>
                <w:b/>
                <w:bCs/>
                <w:color w:val="000000"/>
                <w:sz w:val="22"/>
                <w:szCs w:val="22"/>
                <w:lang w:eastAsia="en-GB"/>
              </w:rPr>
              <w:t>288,039</w:t>
            </w:r>
          </w:p>
        </w:tc>
      </w:tr>
      <w:tr w:rsidR="006E6AF6" w:rsidRPr="006E6AF6" w:rsidTr="00BE592E">
        <w:trPr>
          <w:trHeight w:val="304"/>
        </w:trPr>
        <w:tc>
          <w:tcPr>
            <w:tcW w:w="5834"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b/>
                <w:bCs/>
                <w:color w:val="000000"/>
                <w:sz w:val="22"/>
                <w:szCs w:val="22"/>
                <w:lang w:eastAsia="en-GB"/>
              </w:rPr>
            </w:pPr>
          </w:p>
        </w:tc>
        <w:tc>
          <w:tcPr>
            <w:tcW w:w="1678"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c>
          <w:tcPr>
            <w:tcW w:w="331"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 xml:space="preserve">ACUTE </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i/>
                <w:iCs/>
                <w:color w:val="000000"/>
                <w:sz w:val="22"/>
                <w:szCs w:val="22"/>
                <w:lang w:eastAsia="en-GB"/>
              </w:rPr>
            </w:pPr>
          </w:p>
        </w:tc>
        <w:tc>
          <w:tcPr>
            <w:tcW w:w="331"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Northern Lincolnshire And Goole NHS Foundation Trust</w:t>
            </w:r>
            <w:r w:rsidR="00652BA2">
              <w:rPr>
                <w:rFonts w:ascii="Calibri" w:hAnsi="Calibri" w:cs="Calibri"/>
                <w:i/>
                <w:iCs/>
                <w:color w:val="000000"/>
                <w:sz w:val="22"/>
                <w:szCs w:val="22"/>
                <w:lang w:eastAsia="en-GB"/>
              </w:rPr>
              <w:t xml:space="preserve"> **</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120,167</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120,167</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Hull and East Yorkshire Hospitals NHS Trust</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9,239</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9,239</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Acute - Other</w:t>
            </w:r>
          </w:p>
        </w:tc>
        <w:tc>
          <w:tcPr>
            <w:tcW w:w="1678"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22,558</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23,774</w:t>
            </w:r>
          </w:p>
        </w:tc>
      </w:tr>
      <w:tr w:rsidR="006E6AF6" w:rsidRPr="006E6AF6" w:rsidTr="00BE592E">
        <w:trPr>
          <w:trHeight w:val="304"/>
        </w:trPr>
        <w:tc>
          <w:tcPr>
            <w:tcW w:w="5834"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p>
        </w:tc>
        <w:tc>
          <w:tcPr>
            <w:tcW w:w="1678" w:type="dxa"/>
            <w:tcBorders>
              <w:top w:val="single" w:sz="4" w:space="0" w:color="auto"/>
              <w:left w:val="nil"/>
              <w:bottom w:val="single" w:sz="8" w:space="0" w:color="auto"/>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151,964</w:t>
            </w:r>
          </w:p>
        </w:tc>
        <w:tc>
          <w:tcPr>
            <w:tcW w:w="331"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p>
        </w:tc>
        <w:tc>
          <w:tcPr>
            <w:tcW w:w="1775" w:type="dxa"/>
            <w:tcBorders>
              <w:top w:val="single" w:sz="4" w:space="0" w:color="auto"/>
              <w:left w:val="nil"/>
              <w:bottom w:val="single" w:sz="8" w:space="0" w:color="auto"/>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r w:rsidRPr="006E6AF6">
              <w:rPr>
                <w:rFonts w:ascii="Calibri" w:hAnsi="Calibri" w:cs="Calibri"/>
                <w:i/>
                <w:iCs/>
                <w:color w:val="000000"/>
                <w:sz w:val="22"/>
                <w:szCs w:val="22"/>
                <w:lang w:eastAsia="en-GB"/>
              </w:rPr>
              <w:t>153,180</w:t>
            </w:r>
          </w:p>
        </w:tc>
      </w:tr>
      <w:tr w:rsidR="006E6AF6" w:rsidRPr="006E6AF6" w:rsidTr="00BE592E">
        <w:trPr>
          <w:trHeight w:val="290"/>
        </w:trPr>
        <w:tc>
          <w:tcPr>
            <w:tcW w:w="5834" w:type="dxa"/>
            <w:tcBorders>
              <w:top w:val="nil"/>
              <w:left w:val="nil"/>
              <w:bottom w:val="nil"/>
              <w:right w:val="nil"/>
            </w:tcBorders>
            <w:shd w:val="clear" w:color="auto" w:fill="auto"/>
            <w:noWrap/>
            <w:vAlign w:val="bottom"/>
            <w:hideMark/>
          </w:tcPr>
          <w:p w:rsidR="006E6AF6" w:rsidRPr="006E6AF6" w:rsidRDefault="006E6AF6" w:rsidP="006E6AF6">
            <w:pPr>
              <w:jc w:val="right"/>
              <w:rPr>
                <w:rFonts w:ascii="Calibri" w:hAnsi="Calibri" w:cs="Calibri"/>
                <w:i/>
                <w:iCs/>
                <w:color w:val="000000"/>
                <w:sz w:val="22"/>
                <w:szCs w:val="22"/>
                <w:lang w:eastAsia="en-GB"/>
              </w:rPr>
            </w:pPr>
          </w:p>
        </w:tc>
        <w:tc>
          <w:tcPr>
            <w:tcW w:w="1678"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c>
          <w:tcPr>
            <w:tcW w:w="331"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c>
          <w:tcPr>
            <w:tcW w:w="1775" w:type="dxa"/>
            <w:tcBorders>
              <w:top w:val="nil"/>
              <w:left w:val="nil"/>
              <w:bottom w:val="nil"/>
              <w:right w:val="nil"/>
            </w:tcBorders>
            <w:shd w:val="clear" w:color="auto" w:fill="auto"/>
            <w:noWrap/>
            <w:vAlign w:val="bottom"/>
            <w:hideMark/>
          </w:tcPr>
          <w:p w:rsidR="006E6AF6" w:rsidRPr="006E6AF6" w:rsidRDefault="006E6AF6" w:rsidP="006E6AF6">
            <w:pPr>
              <w:rPr>
                <w:sz w:val="20"/>
                <w:lang w:eastAsia="en-GB"/>
              </w:rPr>
            </w:pPr>
          </w:p>
        </w:tc>
      </w:tr>
      <w:tr w:rsidR="001560ED" w:rsidRPr="006E6AF6" w:rsidTr="00BE592E">
        <w:trPr>
          <w:trHeight w:val="290"/>
        </w:trPr>
        <w:tc>
          <w:tcPr>
            <w:tcW w:w="5834" w:type="dxa"/>
            <w:tcBorders>
              <w:top w:val="nil"/>
              <w:left w:val="nil"/>
              <w:bottom w:val="nil"/>
              <w:right w:val="nil"/>
            </w:tcBorders>
            <w:shd w:val="clear" w:color="auto" w:fill="auto"/>
            <w:noWrap/>
            <w:vAlign w:val="bottom"/>
          </w:tcPr>
          <w:p w:rsidR="001560ED" w:rsidRPr="006E6AF6" w:rsidRDefault="001560ED" w:rsidP="006E6AF6">
            <w:pPr>
              <w:jc w:val="right"/>
              <w:rPr>
                <w:rFonts w:ascii="Calibri" w:hAnsi="Calibri" w:cs="Calibri"/>
                <w:i/>
                <w:iCs/>
                <w:color w:val="000000"/>
                <w:sz w:val="22"/>
                <w:szCs w:val="22"/>
                <w:lang w:eastAsia="en-GB"/>
              </w:rPr>
            </w:pPr>
          </w:p>
        </w:tc>
        <w:tc>
          <w:tcPr>
            <w:tcW w:w="1678" w:type="dxa"/>
            <w:tcBorders>
              <w:top w:val="nil"/>
              <w:left w:val="nil"/>
              <w:bottom w:val="nil"/>
              <w:right w:val="nil"/>
            </w:tcBorders>
            <w:shd w:val="clear" w:color="auto" w:fill="auto"/>
            <w:noWrap/>
            <w:vAlign w:val="bottom"/>
          </w:tcPr>
          <w:p w:rsidR="001560ED" w:rsidRPr="006E6AF6" w:rsidRDefault="001560ED" w:rsidP="006E6AF6">
            <w:pPr>
              <w:rPr>
                <w:sz w:val="20"/>
                <w:lang w:eastAsia="en-GB"/>
              </w:rPr>
            </w:pPr>
          </w:p>
        </w:tc>
        <w:tc>
          <w:tcPr>
            <w:tcW w:w="331" w:type="dxa"/>
            <w:tcBorders>
              <w:top w:val="nil"/>
              <w:left w:val="nil"/>
              <w:bottom w:val="nil"/>
              <w:right w:val="nil"/>
            </w:tcBorders>
            <w:shd w:val="clear" w:color="auto" w:fill="auto"/>
            <w:noWrap/>
            <w:vAlign w:val="bottom"/>
          </w:tcPr>
          <w:p w:rsidR="001560ED" w:rsidRPr="006E6AF6" w:rsidRDefault="001560ED" w:rsidP="006E6AF6">
            <w:pPr>
              <w:rPr>
                <w:sz w:val="20"/>
                <w:lang w:eastAsia="en-GB"/>
              </w:rPr>
            </w:pPr>
          </w:p>
        </w:tc>
        <w:tc>
          <w:tcPr>
            <w:tcW w:w="1775" w:type="dxa"/>
            <w:tcBorders>
              <w:top w:val="nil"/>
              <w:left w:val="nil"/>
              <w:bottom w:val="nil"/>
              <w:right w:val="nil"/>
            </w:tcBorders>
            <w:shd w:val="clear" w:color="auto" w:fill="auto"/>
            <w:noWrap/>
            <w:vAlign w:val="bottom"/>
          </w:tcPr>
          <w:p w:rsidR="001560ED" w:rsidRPr="006E6AF6" w:rsidRDefault="001560ED" w:rsidP="006E6AF6">
            <w:pPr>
              <w:rPr>
                <w:sz w:val="20"/>
                <w:lang w:eastAsia="en-GB"/>
              </w:rPr>
            </w:pPr>
          </w:p>
        </w:tc>
      </w:tr>
    </w:tbl>
    <w:p w:rsidR="006E6AF6" w:rsidRDefault="00652BA2" w:rsidP="00D3211A">
      <w:pPr>
        <w:pStyle w:val="Default"/>
        <w:jc w:val="both"/>
        <w:rPr>
          <w:rFonts w:ascii="Calibri" w:hAnsi="Calibri" w:cs="Calibri"/>
          <w:sz w:val="22"/>
          <w:szCs w:val="22"/>
        </w:rPr>
      </w:pPr>
      <w:r>
        <w:rPr>
          <w:rFonts w:ascii="Calibri" w:hAnsi="Calibri" w:cs="Calibri"/>
          <w:sz w:val="22"/>
          <w:szCs w:val="22"/>
        </w:rPr>
        <w:lastRenderedPageBreak/>
        <w:t>**includes request to draw down £2m from the CCGs historic cumulative surplus (not linked to activity levels) &amp; £1.5m transfer of activity back into NLAG that previously would have gone to other Acute Providers.</w:t>
      </w:r>
    </w:p>
    <w:p w:rsidR="00652BA2" w:rsidRDefault="00652BA2" w:rsidP="00D3211A">
      <w:pPr>
        <w:pStyle w:val="Default"/>
        <w:jc w:val="both"/>
        <w:rPr>
          <w:rFonts w:ascii="Calibri" w:hAnsi="Calibri" w:cs="Calibri"/>
          <w:sz w:val="22"/>
          <w:szCs w:val="22"/>
        </w:rPr>
      </w:pPr>
    </w:p>
    <w:p w:rsidR="00BE592E" w:rsidRDefault="000F4ECB" w:rsidP="00BE592E">
      <w:pPr>
        <w:pStyle w:val="Default"/>
        <w:jc w:val="both"/>
        <w:rPr>
          <w:rFonts w:ascii="Calibri" w:hAnsi="Calibri" w:cs="Calibri"/>
          <w:sz w:val="22"/>
          <w:szCs w:val="22"/>
        </w:rPr>
      </w:pPr>
      <w:r>
        <w:rPr>
          <w:rFonts w:ascii="Calibri" w:hAnsi="Calibri" w:cs="Calibri"/>
          <w:sz w:val="22"/>
          <w:szCs w:val="22"/>
        </w:rPr>
        <w:t xml:space="preserve">The </w:t>
      </w:r>
      <w:r w:rsidR="00934A53">
        <w:rPr>
          <w:rFonts w:ascii="Calibri" w:hAnsi="Calibri" w:cs="Calibri"/>
          <w:sz w:val="22"/>
          <w:szCs w:val="22"/>
        </w:rPr>
        <w:t>key</w:t>
      </w:r>
      <w:r>
        <w:rPr>
          <w:rFonts w:ascii="Calibri" w:hAnsi="Calibri" w:cs="Calibri"/>
          <w:sz w:val="22"/>
          <w:szCs w:val="22"/>
        </w:rPr>
        <w:t xml:space="preserve"> changes to note since the 5 year plan submission are:-</w:t>
      </w:r>
    </w:p>
    <w:p w:rsidR="000F4ECB" w:rsidRDefault="000F4ECB" w:rsidP="00BE592E">
      <w:pPr>
        <w:pStyle w:val="Default"/>
        <w:jc w:val="both"/>
        <w:rPr>
          <w:rFonts w:ascii="Calibri" w:hAnsi="Calibri" w:cs="Calibri"/>
          <w:sz w:val="22"/>
          <w:szCs w:val="22"/>
        </w:rPr>
      </w:pPr>
    </w:p>
    <w:p w:rsidR="00934A53" w:rsidRDefault="00934A53" w:rsidP="00DD46A4">
      <w:pPr>
        <w:pStyle w:val="Default"/>
        <w:numPr>
          <w:ilvl w:val="0"/>
          <w:numId w:val="10"/>
        </w:numPr>
        <w:jc w:val="both"/>
        <w:rPr>
          <w:rFonts w:ascii="Calibri" w:hAnsi="Calibri" w:cs="Calibri"/>
          <w:sz w:val="22"/>
          <w:szCs w:val="22"/>
        </w:rPr>
      </w:pPr>
      <w:r w:rsidRPr="00934A53">
        <w:rPr>
          <w:rFonts w:ascii="Calibri" w:hAnsi="Calibri" w:cs="Calibri"/>
          <w:sz w:val="22"/>
          <w:szCs w:val="22"/>
        </w:rPr>
        <w:t xml:space="preserve">A deterioration in the 2019/20 in-year financial position caused </w:t>
      </w:r>
      <w:r>
        <w:rPr>
          <w:rFonts w:ascii="Calibri" w:hAnsi="Calibri" w:cs="Calibri"/>
          <w:sz w:val="22"/>
          <w:szCs w:val="22"/>
        </w:rPr>
        <w:t xml:space="preserve">in the main </w:t>
      </w:r>
      <w:r w:rsidRPr="00934A53">
        <w:rPr>
          <w:rFonts w:ascii="Calibri" w:hAnsi="Calibri" w:cs="Calibri"/>
          <w:sz w:val="22"/>
          <w:szCs w:val="22"/>
        </w:rPr>
        <w:t>by</w:t>
      </w:r>
      <w:r>
        <w:rPr>
          <w:rFonts w:ascii="Calibri" w:hAnsi="Calibri" w:cs="Calibri"/>
          <w:sz w:val="22"/>
          <w:szCs w:val="22"/>
        </w:rPr>
        <w:t>:-</w:t>
      </w:r>
    </w:p>
    <w:p w:rsidR="00BE592E" w:rsidRDefault="00934A53" w:rsidP="00934A53">
      <w:pPr>
        <w:pStyle w:val="Default"/>
        <w:numPr>
          <w:ilvl w:val="0"/>
          <w:numId w:val="11"/>
        </w:numPr>
        <w:jc w:val="both"/>
        <w:rPr>
          <w:rFonts w:ascii="Calibri" w:hAnsi="Calibri" w:cs="Calibri"/>
          <w:sz w:val="22"/>
          <w:szCs w:val="22"/>
        </w:rPr>
      </w:pPr>
      <w:r w:rsidRPr="00934A53">
        <w:rPr>
          <w:rFonts w:ascii="Calibri" w:hAnsi="Calibri" w:cs="Calibri"/>
          <w:sz w:val="22"/>
          <w:szCs w:val="22"/>
        </w:rPr>
        <w:t xml:space="preserve">higher than expected Acute expenditure </w:t>
      </w:r>
    </w:p>
    <w:p w:rsidR="00BE592E" w:rsidRDefault="00934A53" w:rsidP="00DD46A4">
      <w:pPr>
        <w:pStyle w:val="Default"/>
        <w:numPr>
          <w:ilvl w:val="0"/>
          <w:numId w:val="11"/>
        </w:numPr>
        <w:jc w:val="both"/>
        <w:rPr>
          <w:rFonts w:ascii="Calibri" w:hAnsi="Calibri" w:cs="Calibri"/>
          <w:sz w:val="22"/>
          <w:szCs w:val="22"/>
        </w:rPr>
      </w:pPr>
      <w:r w:rsidRPr="00934A53">
        <w:rPr>
          <w:rFonts w:ascii="Calibri" w:hAnsi="Calibri" w:cs="Calibri"/>
          <w:sz w:val="22"/>
          <w:szCs w:val="22"/>
        </w:rPr>
        <w:t xml:space="preserve">no savings linked to the PCN demand management on prescribing </w:t>
      </w:r>
    </w:p>
    <w:p w:rsidR="00652BA2" w:rsidRDefault="00652BA2" w:rsidP="00652BA2">
      <w:pPr>
        <w:pStyle w:val="Default"/>
        <w:ind w:left="1440"/>
        <w:jc w:val="both"/>
        <w:rPr>
          <w:rFonts w:ascii="Calibri" w:hAnsi="Calibri" w:cs="Calibri"/>
          <w:sz w:val="22"/>
          <w:szCs w:val="22"/>
        </w:rPr>
      </w:pPr>
    </w:p>
    <w:p w:rsidR="00934A53" w:rsidRDefault="00934A53" w:rsidP="00934A53">
      <w:pPr>
        <w:pStyle w:val="Default"/>
        <w:numPr>
          <w:ilvl w:val="0"/>
          <w:numId w:val="10"/>
        </w:numPr>
        <w:jc w:val="both"/>
        <w:rPr>
          <w:rFonts w:ascii="Calibri" w:hAnsi="Calibri" w:cs="Calibri"/>
          <w:sz w:val="22"/>
          <w:szCs w:val="22"/>
        </w:rPr>
      </w:pPr>
      <w:r>
        <w:rPr>
          <w:rFonts w:ascii="Calibri" w:hAnsi="Calibri" w:cs="Calibri"/>
          <w:sz w:val="22"/>
          <w:szCs w:val="22"/>
        </w:rPr>
        <w:t xml:space="preserve">Whilst mitigations have been put in place in 2019/20 these have mostly been non-recurrent, such </w:t>
      </w:r>
      <w:r w:rsidR="008D5EB1">
        <w:rPr>
          <w:rFonts w:ascii="Calibri" w:hAnsi="Calibri" w:cs="Calibri"/>
          <w:sz w:val="22"/>
          <w:szCs w:val="22"/>
        </w:rPr>
        <w:t xml:space="preserve">as </w:t>
      </w:r>
      <w:r>
        <w:rPr>
          <w:rFonts w:ascii="Calibri" w:hAnsi="Calibri" w:cs="Calibri"/>
          <w:sz w:val="22"/>
          <w:szCs w:val="22"/>
        </w:rPr>
        <w:t>one off funding, slippage on spend linked to PCN’s (</w:t>
      </w:r>
      <w:r w:rsidR="00652BA2">
        <w:rPr>
          <w:rFonts w:ascii="Calibri" w:hAnsi="Calibri" w:cs="Calibri"/>
          <w:sz w:val="22"/>
          <w:szCs w:val="22"/>
        </w:rPr>
        <w:t>delays in</w:t>
      </w:r>
      <w:r>
        <w:rPr>
          <w:rFonts w:ascii="Calibri" w:hAnsi="Calibri" w:cs="Calibri"/>
          <w:sz w:val="22"/>
          <w:szCs w:val="22"/>
        </w:rPr>
        <w:t xml:space="preserve"> </w:t>
      </w:r>
      <w:r w:rsidR="00652BA2">
        <w:rPr>
          <w:rFonts w:ascii="Calibri" w:hAnsi="Calibri" w:cs="Calibri"/>
          <w:sz w:val="22"/>
          <w:szCs w:val="22"/>
        </w:rPr>
        <w:t>recruitment of</w:t>
      </w:r>
      <w:r>
        <w:rPr>
          <w:rFonts w:ascii="Calibri" w:hAnsi="Calibri" w:cs="Calibri"/>
          <w:sz w:val="22"/>
          <w:szCs w:val="22"/>
        </w:rPr>
        <w:t xml:space="preserve"> staff)</w:t>
      </w:r>
    </w:p>
    <w:p w:rsidR="00652BA2" w:rsidRDefault="00652BA2" w:rsidP="00652BA2">
      <w:pPr>
        <w:pStyle w:val="Default"/>
        <w:jc w:val="both"/>
        <w:rPr>
          <w:rFonts w:ascii="Calibri" w:hAnsi="Calibri" w:cs="Calibri"/>
          <w:sz w:val="22"/>
          <w:szCs w:val="22"/>
        </w:rPr>
      </w:pPr>
    </w:p>
    <w:p w:rsidR="00652BA2" w:rsidRDefault="00652BA2" w:rsidP="00652BA2">
      <w:pPr>
        <w:pStyle w:val="Default"/>
        <w:jc w:val="both"/>
        <w:rPr>
          <w:rFonts w:ascii="Calibri" w:hAnsi="Calibri" w:cs="Calibri"/>
          <w:sz w:val="22"/>
          <w:szCs w:val="22"/>
        </w:rPr>
      </w:pPr>
      <w:r>
        <w:rPr>
          <w:rFonts w:ascii="Calibri" w:hAnsi="Calibri" w:cs="Calibri"/>
          <w:sz w:val="22"/>
          <w:szCs w:val="22"/>
        </w:rPr>
        <w:t>This has led to the level of unidentified savings increasing from £2.1m to £5.4m.</w:t>
      </w:r>
    </w:p>
    <w:p w:rsidR="00B3443A" w:rsidRDefault="00B3443A" w:rsidP="00652BA2">
      <w:pPr>
        <w:pStyle w:val="Default"/>
        <w:jc w:val="both"/>
        <w:rPr>
          <w:rFonts w:ascii="Calibri" w:hAnsi="Calibri" w:cs="Calibri"/>
          <w:sz w:val="22"/>
          <w:szCs w:val="22"/>
        </w:rPr>
      </w:pPr>
    </w:p>
    <w:p w:rsidR="00B3443A" w:rsidRDefault="00B3443A" w:rsidP="00652BA2">
      <w:pPr>
        <w:pStyle w:val="Default"/>
        <w:jc w:val="both"/>
        <w:rPr>
          <w:rFonts w:ascii="Calibri" w:hAnsi="Calibri" w:cs="Calibri"/>
          <w:sz w:val="22"/>
          <w:szCs w:val="22"/>
        </w:rPr>
      </w:pPr>
      <w:r>
        <w:rPr>
          <w:rFonts w:ascii="Calibri" w:hAnsi="Calibri" w:cs="Calibri"/>
          <w:sz w:val="22"/>
          <w:szCs w:val="22"/>
        </w:rPr>
        <w:t>The table below highlights the main outstanding issues &amp; the steps being taken to address them:-</w:t>
      </w:r>
    </w:p>
    <w:p w:rsidR="00B3443A" w:rsidRDefault="00B3443A" w:rsidP="00652BA2">
      <w:pPr>
        <w:pStyle w:val="Default"/>
        <w:jc w:val="both"/>
        <w:rPr>
          <w:rFonts w:ascii="Calibri" w:hAnsi="Calibri" w:cs="Calibri"/>
          <w:sz w:val="22"/>
          <w:szCs w:val="22"/>
        </w:rPr>
      </w:pPr>
    </w:p>
    <w:tbl>
      <w:tblPr>
        <w:tblStyle w:val="TableGrid"/>
        <w:tblW w:w="0" w:type="auto"/>
        <w:tblLook w:val="04A0" w:firstRow="1" w:lastRow="0" w:firstColumn="1" w:lastColumn="0" w:noHBand="0" w:noVBand="1"/>
      </w:tblPr>
      <w:tblGrid>
        <w:gridCol w:w="5378"/>
        <w:gridCol w:w="5378"/>
      </w:tblGrid>
      <w:tr w:rsidR="00B3443A" w:rsidTr="00B3443A">
        <w:tc>
          <w:tcPr>
            <w:tcW w:w="5378" w:type="dxa"/>
          </w:tcPr>
          <w:p w:rsidR="00B3443A" w:rsidRDefault="00B3443A" w:rsidP="00652BA2">
            <w:pPr>
              <w:pStyle w:val="Default"/>
              <w:jc w:val="both"/>
              <w:rPr>
                <w:rFonts w:ascii="Calibri" w:hAnsi="Calibri" w:cs="Calibri"/>
                <w:sz w:val="22"/>
                <w:szCs w:val="22"/>
              </w:rPr>
            </w:pPr>
            <w:r>
              <w:rPr>
                <w:rFonts w:ascii="Calibri" w:hAnsi="Calibri" w:cs="Calibri"/>
                <w:sz w:val="22"/>
                <w:szCs w:val="22"/>
              </w:rPr>
              <w:t>Outstanding Issues</w:t>
            </w:r>
          </w:p>
        </w:tc>
        <w:tc>
          <w:tcPr>
            <w:tcW w:w="5378" w:type="dxa"/>
          </w:tcPr>
          <w:p w:rsidR="00B3443A" w:rsidRDefault="00B3443A" w:rsidP="00652BA2">
            <w:pPr>
              <w:pStyle w:val="Default"/>
              <w:jc w:val="both"/>
              <w:rPr>
                <w:rFonts w:ascii="Calibri" w:hAnsi="Calibri" w:cs="Calibri"/>
                <w:sz w:val="22"/>
                <w:szCs w:val="22"/>
              </w:rPr>
            </w:pPr>
            <w:r>
              <w:rPr>
                <w:rFonts w:ascii="Calibri" w:hAnsi="Calibri" w:cs="Calibri"/>
                <w:sz w:val="22"/>
                <w:szCs w:val="22"/>
              </w:rPr>
              <w:t>Action being taken  to resolve</w:t>
            </w:r>
          </w:p>
        </w:tc>
      </w:tr>
      <w:tr w:rsidR="00B3443A" w:rsidTr="00B3443A">
        <w:tc>
          <w:tcPr>
            <w:tcW w:w="5378" w:type="dxa"/>
          </w:tcPr>
          <w:p w:rsidR="00B3443A" w:rsidRDefault="00B3443A" w:rsidP="00B3443A">
            <w:pPr>
              <w:pStyle w:val="Default"/>
              <w:numPr>
                <w:ilvl w:val="0"/>
                <w:numId w:val="10"/>
              </w:numPr>
              <w:ind w:left="306" w:hanging="284"/>
              <w:jc w:val="both"/>
              <w:rPr>
                <w:rFonts w:ascii="Calibri" w:hAnsi="Calibri" w:cs="Calibri"/>
                <w:sz w:val="22"/>
                <w:szCs w:val="22"/>
              </w:rPr>
            </w:pPr>
            <w:r>
              <w:rPr>
                <w:rFonts w:ascii="Calibri" w:hAnsi="Calibri" w:cs="Calibri"/>
                <w:sz w:val="22"/>
                <w:szCs w:val="22"/>
              </w:rPr>
              <w:t>Agreement of the Northern Lincolnshire &amp; Goole Contract Value &amp; Contract Form</w:t>
            </w:r>
          </w:p>
        </w:tc>
        <w:tc>
          <w:tcPr>
            <w:tcW w:w="5378" w:type="dxa"/>
          </w:tcPr>
          <w:p w:rsidR="00B3443A" w:rsidRDefault="00B3443A" w:rsidP="00A66DC8">
            <w:pPr>
              <w:pStyle w:val="Default"/>
              <w:jc w:val="both"/>
              <w:rPr>
                <w:rFonts w:ascii="Calibri" w:hAnsi="Calibri" w:cs="Calibri"/>
                <w:sz w:val="22"/>
                <w:szCs w:val="22"/>
              </w:rPr>
            </w:pPr>
            <w:r>
              <w:rPr>
                <w:rFonts w:ascii="Calibri" w:hAnsi="Calibri" w:cs="Calibri"/>
                <w:sz w:val="22"/>
                <w:szCs w:val="22"/>
              </w:rPr>
              <w:t>Weekly meetings taking place between the 3 NL Subsystem Finance Directors. Refinement of the current performance trajectory</w:t>
            </w:r>
            <w:r w:rsidR="00A66DC8">
              <w:rPr>
                <w:rFonts w:ascii="Calibri" w:hAnsi="Calibri" w:cs="Calibri"/>
                <w:sz w:val="22"/>
                <w:szCs w:val="22"/>
              </w:rPr>
              <w:t xml:space="preserve">, </w:t>
            </w:r>
            <w:r>
              <w:rPr>
                <w:rFonts w:ascii="Calibri" w:hAnsi="Calibri" w:cs="Calibri"/>
                <w:sz w:val="22"/>
                <w:szCs w:val="22"/>
              </w:rPr>
              <w:t>as this is unaffordable to the system. A</w:t>
            </w:r>
            <w:r w:rsidR="00A66DC8">
              <w:rPr>
                <w:rFonts w:ascii="Calibri" w:hAnsi="Calibri" w:cs="Calibri"/>
                <w:sz w:val="22"/>
                <w:szCs w:val="22"/>
              </w:rPr>
              <w:t>ny a</w:t>
            </w:r>
            <w:r>
              <w:rPr>
                <w:rFonts w:ascii="Calibri" w:hAnsi="Calibri" w:cs="Calibri"/>
                <w:sz w:val="22"/>
                <w:szCs w:val="22"/>
              </w:rPr>
              <w:t>mendments to be agreed at the weekly Planning meeting attended by Directors of Finance, CCO’s &amp; Quality Lead.</w:t>
            </w:r>
          </w:p>
        </w:tc>
      </w:tr>
      <w:tr w:rsidR="00B3443A" w:rsidTr="00B3443A">
        <w:tc>
          <w:tcPr>
            <w:tcW w:w="5378" w:type="dxa"/>
          </w:tcPr>
          <w:p w:rsidR="00B3443A" w:rsidRDefault="001E66C7" w:rsidP="00A66DC8">
            <w:pPr>
              <w:pStyle w:val="Default"/>
              <w:numPr>
                <w:ilvl w:val="0"/>
                <w:numId w:val="10"/>
              </w:numPr>
              <w:ind w:left="306" w:hanging="284"/>
              <w:jc w:val="both"/>
              <w:rPr>
                <w:rFonts w:ascii="Calibri" w:hAnsi="Calibri" w:cs="Calibri"/>
                <w:sz w:val="22"/>
                <w:szCs w:val="22"/>
              </w:rPr>
            </w:pPr>
            <w:r>
              <w:rPr>
                <w:rFonts w:ascii="Calibri" w:hAnsi="Calibri" w:cs="Calibri"/>
                <w:sz w:val="22"/>
                <w:szCs w:val="22"/>
              </w:rPr>
              <w:t>VFM review on Community Contracts</w:t>
            </w:r>
          </w:p>
        </w:tc>
        <w:tc>
          <w:tcPr>
            <w:tcW w:w="5378" w:type="dxa"/>
          </w:tcPr>
          <w:p w:rsidR="00B3443A" w:rsidRDefault="001E66C7" w:rsidP="00652BA2">
            <w:pPr>
              <w:pStyle w:val="Default"/>
              <w:jc w:val="both"/>
              <w:rPr>
                <w:rFonts w:ascii="Calibri" w:hAnsi="Calibri" w:cs="Calibri"/>
                <w:sz w:val="22"/>
                <w:szCs w:val="22"/>
              </w:rPr>
            </w:pPr>
            <w:r>
              <w:rPr>
                <w:rFonts w:ascii="Calibri" w:hAnsi="Calibri" w:cs="Calibri"/>
                <w:sz w:val="22"/>
                <w:szCs w:val="22"/>
              </w:rPr>
              <w:t>Where VFM cannot be demonstrated then the level of investment will be reduced accordingly</w:t>
            </w:r>
          </w:p>
        </w:tc>
      </w:tr>
      <w:tr w:rsidR="00B3443A" w:rsidTr="00B3443A">
        <w:tc>
          <w:tcPr>
            <w:tcW w:w="5378" w:type="dxa"/>
          </w:tcPr>
          <w:p w:rsidR="00B3443A" w:rsidRDefault="001E66C7" w:rsidP="001E66C7">
            <w:pPr>
              <w:pStyle w:val="Default"/>
              <w:numPr>
                <w:ilvl w:val="0"/>
                <w:numId w:val="10"/>
              </w:numPr>
              <w:ind w:left="306" w:hanging="284"/>
              <w:jc w:val="both"/>
              <w:rPr>
                <w:rFonts w:ascii="Calibri" w:hAnsi="Calibri" w:cs="Calibri"/>
                <w:sz w:val="22"/>
                <w:szCs w:val="22"/>
              </w:rPr>
            </w:pPr>
            <w:r>
              <w:rPr>
                <w:rFonts w:ascii="Calibri" w:hAnsi="Calibri" w:cs="Calibri"/>
                <w:sz w:val="22"/>
                <w:szCs w:val="22"/>
              </w:rPr>
              <w:t>Unidentified Savings (£5.4m)</w:t>
            </w:r>
          </w:p>
        </w:tc>
        <w:tc>
          <w:tcPr>
            <w:tcW w:w="5378" w:type="dxa"/>
          </w:tcPr>
          <w:p w:rsidR="00B3443A" w:rsidRDefault="001E66C7" w:rsidP="00652BA2">
            <w:pPr>
              <w:pStyle w:val="Default"/>
              <w:jc w:val="both"/>
              <w:rPr>
                <w:rFonts w:ascii="Calibri" w:hAnsi="Calibri" w:cs="Calibri"/>
                <w:sz w:val="22"/>
                <w:szCs w:val="22"/>
              </w:rPr>
            </w:pPr>
            <w:r>
              <w:rPr>
                <w:rFonts w:ascii="Calibri" w:hAnsi="Calibri" w:cs="Calibri"/>
                <w:sz w:val="22"/>
                <w:szCs w:val="22"/>
              </w:rPr>
              <w:t>The 2 issues detailed above when resolved should reduce the level on unidentified savings. With any residual gap being addressed by:-</w:t>
            </w:r>
          </w:p>
          <w:p w:rsidR="001E66C7" w:rsidRDefault="001E66C7" w:rsidP="001E66C7">
            <w:pPr>
              <w:pStyle w:val="Default"/>
              <w:numPr>
                <w:ilvl w:val="0"/>
                <w:numId w:val="12"/>
              </w:numPr>
              <w:jc w:val="both"/>
              <w:rPr>
                <w:rFonts w:ascii="Calibri" w:hAnsi="Calibri" w:cs="Calibri"/>
                <w:sz w:val="22"/>
                <w:szCs w:val="22"/>
              </w:rPr>
            </w:pPr>
            <w:r>
              <w:rPr>
                <w:rFonts w:ascii="Calibri" w:hAnsi="Calibri" w:cs="Calibri"/>
                <w:sz w:val="22"/>
                <w:szCs w:val="22"/>
              </w:rPr>
              <w:t>Going further faster on current schemes</w:t>
            </w:r>
          </w:p>
          <w:p w:rsidR="001E66C7" w:rsidRDefault="001E66C7" w:rsidP="001E66C7">
            <w:pPr>
              <w:pStyle w:val="Default"/>
              <w:numPr>
                <w:ilvl w:val="0"/>
                <w:numId w:val="12"/>
              </w:numPr>
              <w:jc w:val="both"/>
              <w:rPr>
                <w:rFonts w:ascii="Calibri" w:hAnsi="Calibri" w:cs="Calibri"/>
                <w:sz w:val="22"/>
                <w:szCs w:val="22"/>
              </w:rPr>
            </w:pPr>
            <w:r>
              <w:rPr>
                <w:rFonts w:ascii="Calibri" w:hAnsi="Calibri" w:cs="Calibri"/>
                <w:sz w:val="22"/>
                <w:szCs w:val="22"/>
              </w:rPr>
              <w:t>Risk management on a system basis to enable the contingency funds to be “earmarked” for release.</w:t>
            </w:r>
          </w:p>
        </w:tc>
      </w:tr>
    </w:tbl>
    <w:p w:rsidR="00B3443A" w:rsidRDefault="00B3443A" w:rsidP="00652BA2">
      <w:pPr>
        <w:pStyle w:val="Default"/>
        <w:jc w:val="both"/>
        <w:rPr>
          <w:rFonts w:ascii="Calibri" w:hAnsi="Calibri" w:cs="Calibri"/>
          <w:sz w:val="22"/>
          <w:szCs w:val="22"/>
        </w:rPr>
      </w:pPr>
    </w:p>
    <w:p w:rsidR="000566A6" w:rsidRDefault="000566A6" w:rsidP="000566A6">
      <w:pPr>
        <w:pStyle w:val="Default"/>
        <w:jc w:val="both"/>
        <w:rPr>
          <w:rFonts w:ascii="Calibri" w:hAnsi="Calibri" w:cs="Calibri"/>
          <w:sz w:val="22"/>
          <w:szCs w:val="22"/>
        </w:rPr>
      </w:pPr>
    </w:p>
    <w:p w:rsidR="000566A6" w:rsidRDefault="000566A6" w:rsidP="000566A6">
      <w:pPr>
        <w:pStyle w:val="Default"/>
        <w:jc w:val="both"/>
        <w:rPr>
          <w:rFonts w:ascii="Calibri" w:hAnsi="Calibri" w:cs="Calibri"/>
          <w:sz w:val="22"/>
          <w:szCs w:val="22"/>
        </w:rPr>
      </w:pPr>
    </w:p>
    <w:p w:rsidR="000566A6" w:rsidRPr="001E66C7" w:rsidRDefault="000566A6" w:rsidP="000566A6">
      <w:pPr>
        <w:pStyle w:val="Default"/>
        <w:jc w:val="both"/>
        <w:rPr>
          <w:rFonts w:ascii="Calibri" w:hAnsi="Calibri" w:cs="Calibri"/>
          <w:b/>
          <w:sz w:val="22"/>
          <w:szCs w:val="22"/>
        </w:rPr>
      </w:pPr>
      <w:r w:rsidRPr="001E66C7">
        <w:rPr>
          <w:rFonts w:ascii="Calibri" w:hAnsi="Calibri" w:cs="Calibri"/>
          <w:b/>
          <w:sz w:val="22"/>
          <w:szCs w:val="22"/>
        </w:rPr>
        <w:t>ADULT SOCIAL CARE</w:t>
      </w:r>
    </w:p>
    <w:p w:rsidR="001E66C7" w:rsidRPr="006E6AF6" w:rsidRDefault="001E66C7" w:rsidP="001E66C7">
      <w:pPr>
        <w:pStyle w:val="Default"/>
        <w:jc w:val="both"/>
        <w:rPr>
          <w:rFonts w:ascii="Calibri" w:hAnsi="Calibri" w:cs="Calibri"/>
          <w:sz w:val="22"/>
          <w:szCs w:val="22"/>
        </w:rPr>
      </w:pPr>
    </w:p>
    <w:p w:rsidR="00322B1D" w:rsidRPr="00322B1D" w:rsidRDefault="001E66C7" w:rsidP="00322B1D">
      <w:pPr>
        <w:autoSpaceDE w:val="0"/>
        <w:autoSpaceDN w:val="0"/>
        <w:adjustRightInd w:val="0"/>
        <w:rPr>
          <w:rFonts w:asciiTheme="minorHAnsi" w:eastAsia="MS Mincho" w:hAnsiTheme="minorHAnsi" w:cstheme="minorHAnsi"/>
          <w:sz w:val="22"/>
          <w:szCs w:val="22"/>
          <w:lang w:eastAsia="en-GB"/>
        </w:rPr>
      </w:pPr>
      <w:r w:rsidRPr="00322B1D">
        <w:rPr>
          <w:rFonts w:asciiTheme="minorHAnsi" w:hAnsiTheme="minorHAnsi" w:cstheme="minorHAnsi"/>
          <w:sz w:val="22"/>
          <w:szCs w:val="22"/>
        </w:rPr>
        <w:t xml:space="preserve">The Operational Budgets for 2020/21 </w:t>
      </w:r>
      <w:r w:rsidR="00322B1D" w:rsidRPr="00322B1D">
        <w:rPr>
          <w:rFonts w:asciiTheme="minorHAnsi" w:hAnsiTheme="minorHAnsi" w:cstheme="minorHAnsi"/>
          <w:sz w:val="22"/>
          <w:szCs w:val="22"/>
        </w:rPr>
        <w:t xml:space="preserve">have been developed alongside the work done as part of the NELC </w:t>
      </w:r>
      <w:r w:rsidR="00322B1D" w:rsidRPr="00322B1D">
        <w:rPr>
          <w:rFonts w:asciiTheme="minorHAnsi" w:eastAsia="MS Mincho" w:hAnsiTheme="minorHAnsi" w:cstheme="minorHAnsi"/>
          <w:sz w:val="22"/>
          <w:szCs w:val="22"/>
          <w:lang w:eastAsia="en-GB"/>
        </w:rPr>
        <w:t>Budget, Commissioning Plan and Outcomes Framework 2020/21 – 2022/23.</w:t>
      </w:r>
    </w:p>
    <w:p w:rsidR="00322B1D" w:rsidRDefault="00322B1D" w:rsidP="00322B1D">
      <w:pPr>
        <w:autoSpaceDE w:val="0"/>
        <w:autoSpaceDN w:val="0"/>
        <w:adjustRightInd w:val="0"/>
        <w:rPr>
          <w:rFonts w:ascii="Arial" w:eastAsia="MS Mincho" w:hAnsi="Arial" w:cs="Arial"/>
          <w:szCs w:val="24"/>
          <w:lang w:eastAsia="en-GB"/>
        </w:rPr>
      </w:pPr>
    </w:p>
    <w:p w:rsidR="00322B1D" w:rsidRDefault="00322B1D" w:rsidP="00322B1D">
      <w:pPr>
        <w:pStyle w:val="Default"/>
        <w:jc w:val="both"/>
        <w:rPr>
          <w:rFonts w:ascii="Calibri" w:hAnsi="Calibri" w:cs="Calibri"/>
          <w:sz w:val="22"/>
          <w:szCs w:val="22"/>
        </w:rPr>
      </w:pPr>
      <w:r>
        <w:rPr>
          <w:rFonts w:ascii="Calibri" w:hAnsi="Calibri" w:cs="Calibri"/>
          <w:sz w:val="22"/>
          <w:szCs w:val="22"/>
        </w:rPr>
        <w:t>Approach to budget setting</w:t>
      </w:r>
    </w:p>
    <w:p w:rsidR="00322B1D" w:rsidRDefault="00322B1D" w:rsidP="00322B1D">
      <w:pPr>
        <w:pStyle w:val="Default"/>
        <w:jc w:val="both"/>
        <w:rPr>
          <w:rFonts w:ascii="Calibri" w:hAnsi="Calibri" w:cs="Calibri"/>
          <w:sz w:val="22"/>
          <w:szCs w:val="22"/>
        </w:rPr>
      </w:pPr>
    </w:p>
    <w:p w:rsidR="00322B1D" w:rsidRPr="00C45FE9" w:rsidRDefault="00322B1D" w:rsidP="00C45FE9">
      <w:pPr>
        <w:pStyle w:val="ListParagraph"/>
        <w:numPr>
          <w:ilvl w:val="0"/>
          <w:numId w:val="14"/>
        </w:numPr>
        <w:spacing w:line="216" w:lineRule="auto"/>
        <w:ind w:left="709"/>
        <w:rPr>
          <w:lang w:eastAsia="en-GB"/>
        </w:rPr>
      </w:pPr>
      <w:r w:rsidRPr="006E6AF6">
        <w:rPr>
          <w:rFonts w:asciiTheme="minorHAnsi" w:eastAsiaTheme="minorEastAsia" w:cstheme="minorBidi"/>
          <w:color w:val="000000" w:themeColor="text1"/>
          <w:kern w:val="24"/>
          <w:lang w:eastAsia="en-GB"/>
        </w:rPr>
        <w:t>F</w:t>
      </w:r>
      <w:r>
        <w:rPr>
          <w:rFonts w:asciiTheme="minorHAnsi" w:eastAsiaTheme="minorEastAsia" w:cstheme="minorBidi"/>
          <w:color w:val="000000" w:themeColor="text1"/>
          <w:kern w:val="24"/>
          <w:lang w:eastAsia="en-GB"/>
        </w:rPr>
        <w:t xml:space="preserve">orecast </w:t>
      </w:r>
      <w:r w:rsidRPr="006E6AF6">
        <w:rPr>
          <w:rFonts w:asciiTheme="minorHAnsi" w:eastAsiaTheme="minorEastAsia" w:cstheme="minorBidi"/>
          <w:color w:val="000000" w:themeColor="text1"/>
          <w:kern w:val="24"/>
          <w:lang w:eastAsia="en-GB"/>
        </w:rPr>
        <w:t>O</w:t>
      </w:r>
      <w:r>
        <w:rPr>
          <w:rFonts w:asciiTheme="minorHAnsi" w:eastAsiaTheme="minorEastAsia" w:cstheme="minorBidi"/>
          <w:color w:val="000000" w:themeColor="text1"/>
          <w:kern w:val="24"/>
          <w:lang w:eastAsia="en-GB"/>
        </w:rPr>
        <w:t>utturn</w:t>
      </w:r>
      <w:r w:rsidRPr="006E6AF6">
        <w:rPr>
          <w:rFonts w:asciiTheme="minorHAnsi" w:eastAsiaTheme="minorEastAsia" w:cstheme="minorBidi"/>
          <w:color w:val="000000" w:themeColor="text1"/>
          <w:kern w:val="24"/>
          <w:lang w:eastAsia="en-GB"/>
        </w:rPr>
        <w:t xml:space="preserve"> </w:t>
      </w:r>
    </w:p>
    <w:p w:rsidR="00C45FE9" w:rsidRPr="006E6AF6" w:rsidRDefault="00C45FE9" w:rsidP="00C45FE9">
      <w:pPr>
        <w:pStyle w:val="ListParagraph"/>
        <w:spacing w:line="216" w:lineRule="auto"/>
        <w:ind w:left="709"/>
        <w:rPr>
          <w:lang w:eastAsia="en-GB"/>
        </w:rPr>
      </w:pPr>
    </w:p>
    <w:p w:rsidR="00322B1D" w:rsidRPr="00C45FE9" w:rsidRDefault="00322B1D" w:rsidP="00C45FE9">
      <w:pPr>
        <w:pStyle w:val="ListParagraph"/>
        <w:numPr>
          <w:ilvl w:val="0"/>
          <w:numId w:val="14"/>
        </w:numPr>
        <w:spacing w:line="216" w:lineRule="auto"/>
        <w:ind w:left="709"/>
        <w:rPr>
          <w:lang w:eastAsia="en-GB"/>
        </w:rPr>
      </w:pPr>
      <w:r w:rsidRPr="006E6AF6">
        <w:rPr>
          <w:rFonts w:asciiTheme="minorHAnsi" w:eastAsiaTheme="minorEastAsia" w:cstheme="minorBidi"/>
          <w:color w:val="000000" w:themeColor="text1"/>
          <w:kern w:val="24"/>
          <w:lang w:eastAsia="en-GB"/>
        </w:rPr>
        <w:t>Pressures (</w:t>
      </w:r>
      <w:r>
        <w:rPr>
          <w:rFonts w:asciiTheme="minorHAnsi" w:eastAsiaTheme="minorEastAsia" w:cstheme="minorBidi"/>
          <w:color w:val="000000" w:themeColor="text1"/>
          <w:kern w:val="24"/>
          <w:lang w:eastAsia="en-GB"/>
        </w:rPr>
        <w:t>underlying activity pressure</w:t>
      </w:r>
      <w:r w:rsidRPr="006E6AF6">
        <w:rPr>
          <w:rFonts w:asciiTheme="minorHAnsi" w:eastAsiaTheme="minorEastAsia" w:cstheme="minorBidi"/>
          <w:color w:val="000000" w:themeColor="text1"/>
          <w:kern w:val="24"/>
          <w:lang w:eastAsia="en-GB"/>
        </w:rPr>
        <w:t>, demograph</w:t>
      </w:r>
      <w:r>
        <w:rPr>
          <w:rFonts w:asciiTheme="minorHAnsi" w:eastAsiaTheme="minorEastAsia" w:cstheme="minorBidi"/>
          <w:color w:val="000000" w:themeColor="text1"/>
          <w:kern w:val="24"/>
          <w:lang w:eastAsia="en-GB"/>
        </w:rPr>
        <w:t>y,</w:t>
      </w:r>
      <w:r w:rsidR="00C45FE9">
        <w:rPr>
          <w:rFonts w:asciiTheme="minorHAnsi" w:eastAsiaTheme="minorEastAsia" w:cstheme="minorBidi"/>
          <w:color w:val="000000" w:themeColor="text1"/>
          <w:kern w:val="24"/>
          <w:lang w:eastAsia="en-GB"/>
        </w:rPr>
        <w:t xml:space="preserve"> </w:t>
      </w:r>
      <w:r>
        <w:rPr>
          <w:rFonts w:asciiTheme="minorHAnsi" w:eastAsiaTheme="minorEastAsia" w:cstheme="minorBidi"/>
          <w:color w:val="000000" w:themeColor="text1"/>
          <w:kern w:val="24"/>
          <w:lang w:eastAsia="en-GB"/>
        </w:rPr>
        <w:t>complexity, transitions</w:t>
      </w:r>
      <w:r w:rsidR="00C45FE9">
        <w:rPr>
          <w:rFonts w:asciiTheme="minorHAnsi" w:eastAsiaTheme="minorEastAsia" w:cstheme="minorBidi"/>
          <w:color w:val="000000" w:themeColor="text1"/>
          <w:kern w:val="24"/>
          <w:lang w:eastAsia="en-GB"/>
        </w:rPr>
        <w:t>, provider fee uplift</w:t>
      </w:r>
      <w:r>
        <w:rPr>
          <w:rFonts w:asciiTheme="minorHAnsi" w:eastAsiaTheme="minorEastAsia" w:cstheme="minorBidi"/>
          <w:color w:val="000000" w:themeColor="text1"/>
          <w:kern w:val="24"/>
          <w:lang w:eastAsia="en-GB"/>
        </w:rPr>
        <w:t xml:space="preserve"> </w:t>
      </w:r>
      <w:r w:rsidRPr="006E6AF6">
        <w:rPr>
          <w:rFonts w:asciiTheme="minorHAnsi" w:eastAsiaTheme="minorEastAsia" w:cstheme="minorBidi"/>
          <w:color w:val="000000" w:themeColor="text1"/>
          <w:kern w:val="24"/>
          <w:lang w:eastAsia="en-GB"/>
        </w:rPr>
        <w:t>)</w:t>
      </w:r>
    </w:p>
    <w:p w:rsidR="00C45FE9" w:rsidRDefault="00C45FE9" w:rsidP="00C45FE9">
      <w:pPr>
        <w:pStyle w:val="ListParagraph"/>
        <w:spacing w:line="216" w:lineRule="auto"/>
        <w:ind w:left="709"/>
        <w:jc w:val="both"/>
        <w:rPr>
          <w:rFonts w:asciiTheme="minorHAnsi" w:hAnsiTheme="minorHAnsi" w:cstheme="minorHAnsi"/>
          <w:szCs w:val="24"/>
        </w:rPr>
      </w:pPr>
      <w:r w:rsidRPr="00C45FE9">
        <w:rPr>
          <w:rFonts w:asciiTheme="minorHAnsi" w:hAnsiTheme="minorHAnsi" w:cstheme="minorHAnsi"/>
          <w:szCs w:val="24"/>
        </w:rPr>
        <w:t xml:space="preserve">There are a number of key budget pressures in adults relating to a backlog of Deprivation of Liberty (DoLs) cases, fee uplifts to meet the cost of care and national minimum wage, demographic factors and increasing complexity of needs. Increasingly, there are higher costs arising from the complex young people reaching adulthood and requiring support throughout their adult lives. There is also a pressure from the </w:t>
      </w:r>
      <w:r>
        <w:rPr>
          <w:rFonts w:asciiTheme="minorHAnsi" w:hAnsiTheme="minorHAnsi" w:cstheme="minorHAnsi"/>
          <w:szCs w:val="24"/>
        </w:rPr>
        <w:t xml:space="preserve">2019/20 underlying </w:t>
      </w:r>
      <w:r w:rsidRPr="00C45FE9">
        <w:rPr>
          <w:rFonts w:asciiTheme="minorHAnsi" w:hAnsiTheme="minorHAnsi" w:cstheme="minorHAnsi"/>
          <w:szCs w:val="24"/>
        </w:rPr>
        <w:t>which will carry forward into the new financial year.</w:t>
      </w:r>
    </w:p>
    <w:p w:rsidR="00C45FE9" w:rsidRPr="00C45FE9" w:rsidRDefault="00C45FE9" w:rsidP="00C45FE9">
      <w:pPr>
        <w:pStyle w:val="ListParagraph"/>
        <w:spacing w:line="216" w:lineRule="auto"/>
        <w:ind w:left="709"/>
        <w:jc w:val="both"/>
        <w:rPr>
          <w:rFonts w:asciiTheme="minorHAnsi" w:hAnsiTheme="minorHAnsi" w:cstheme="minorHAnsi"/>
          <w:lang w:eastAsia="en-GB"/>
        </w:rPr>
      </w:pPr>
    </w:p>
    <w:p w:rsidR="00C45FE9" w:rsidRPr="00C45FE9" w:rsidRDefault="00322B1D" w:rsidP="00861692">
      <w:pPr>
        <w:pStyle w:val="ListParagraph"/>
        <w:numPr>
          <w:ilvl w:val="0"/>
          <w:numId w:val="14"/>
        </w:numPr>
        <w:spacing w:line="216" w:lineRule="auto"/>
        <w:ind w:left="709"/>
        <w:rPr>
          <w:rFonts w:asciiTheme="minorHAnsi" w:hAnsiTheme="minorHAnsi" w:cstheme="minorHAnsi"/>
        </w:rPr>
      </w:pPr>
      <w:r w:rsidRPr="00C45FE9">
        <w:rPr>
          <w:rFonts w:asciiTheme="minorHAnsi" w:eastAsiaTheme="minorEastAsia" w:cstheme="minorBidi"/>
          <w:color w:val="000000" w:themeColor="text1"/>
          <w:kern w:val="24"/>
          <w:lang w:eastAsia="en-GB"/>
        </w:rPr>
        <w:t>Benefits (</w:t>
      </w:r>
      <w:r w:rsidR="00C45FE9" w:rsidRPr="00C45FE9">
        <w:rPr>
          <w:rFonts w:asciiTheme="minorHAnsi" w:eastAsiaTheme="minorEastAsia" w:cstheme="minorBidi"/>
          <w:color w:val="000000" w:themeColor="text1"/>
          <w:kern w:val="24"/>
          <w:lang w:eastAsia="en-GB"/>
        </w:rPr>
        <w:t xml:space="preserve">Savings plans &amp; Risk mitigation </w:t>
      </w:r>
      <w:r w:rsidR="007462B4" w:rsidRPr="00C45FE9">
        <w:rPr>
          <w:rFonts w:asciiTheme="minorHAnsi" w:eastAsiaTheme="minorEastAsia" w:cstheme="minorBidi"/>
          <w:color w:val="000000" w:themeColor="text1"/>
          <w:kern w:val="24"/>
          <w:lang w:eastAsia="en-GB"/>
        </w:rPr>
        <w:t>e.g.</w:t>
      </w:r>
      <w:r w:rsidR="00C45FE9" w:rsidRPr="00C45FE9">
        <w:rPr>
          <w:rFonts w:asciiTheme="minorHAnsi" w:eastAsiaTheme="minorEastAsia" w:cstheme="minorBidi"/>
          <w:color w:val="000000" w:themeColor="text1"/>
          <w:kern w:val="24"/>
          <w:lang w:eastAsia="en-GB"/>
        </w:rPr>
        <w:t xml:space="preserve"> DoLs, complexity &amp; demography – in part,</w:t>
      </w:r>
      <w:r w:rsidRPr="00C45FE9">
        <w:rPr>
          <w:rFonts w:asciiTheme="minorHAnsi" w:eastAsiaTheme="minorEastAsia" w:cstheme="minorBidi"/>
          <w:color w:val="000000" w:themeColor="text1"/>
          <w:kern w:val="24"/>
          <w:lang w:eastAsia="en-GB"/>
        </w:rPr>
        <w:t>)</w:t>
      </w:r>
      <w:r w:rsidR="00C45FE9" w:rsidRPr="00C45FE9">
        <w:rPr>
          <w:rFonts w:asciiTheme="minorHAnsi" w:eastAsiaTheme="minorEastAsia" w:cstheme="minorBidi"/>
          <w:color w:val="000000" w:themeColor="text1"/>
          <w:kern w:val="24"/>
          <w:lang w:eastAsia="en-GB"/>
        </w:rPr>
        <w:t xml:space="preserve"> </w:t>
      </w:r>
    </w:p>
    <w:p w:rsidR="00C45FE9" w:rsidRDefault="00C45FE9" w:rsidP="00C45FE9">
      <w:pPr>
        <w:rPr>
          <w:rFonts w:asciiTheme="minorHAnsi" w:hAnsiTheme="minorHAnsi" w:cstheme="minorHAnsi"/>
          <w:sz w:val="22"/>
          <w:szCs w:val="22"/>
        </w:rPr>
      </w:pPr>
    </w:p>
    <w:p w:rsidR="00C45FE9" w:rsidRDefault="00C45FE9" w:rsidP="00C45FE9">
      <w:pPr>
        <w:rPr>
          <w:rFonts w:asciiTheme="minorHAnsi" w:hAnsiTheme="minorHAnsi" w:cstheme="minorHAnsi"/>
          <w:sz w:val="22"/>
          <w:szCs w:val="22"/>
        </w:rPr>
      </w:pPr>
    </w:p>
    <w:p w:rsidR="00C45FE9" w:rsidRDefault="00C45FE9" w:rsidP="00C45FE9">
      <w:pPr>
        <w:rPr>
          <w:rFonts w:asciiTheme="minorHAnsi" w:hAnsiTheme="minorHAnsi" w:cstheme="minorHAnsi"/>
          <w:sz w:val="22"/>
          <w:szCs w:val="22"/>
        </w:rPr>
      </w:pPr>
    </w:p>
    <w:p w:rsidR="00C45FE9" w:rsidRPr="00C45FE9" w:rsidRDefault="00C45FE9" w:rsidP="00C45FE9">
      <w:pPr>
        <w:rPr>
          <w:rFonts w:asciiTheme="minorHAnsi" w:hAnsiTheme="minorHAnsi" w:cstheme="minorHAnsi"/>
          <w:b/>
          <w:sz w:val="22"/>
          <w:szCs w:val="22"/>
        </w:rPr>
      </w:pPr>
      <w:r w:rsidRPr="00C45FE9">
        <w:rPr>
          <w:rFonts w:asciiTheme="minorHAnsi" w:hAnsiTheme="minorHAnsi" w:cstheme="minorHAnsi"/>
          <w:b/>
          <w:sz w:val="22"/>
          <w:szCs w:val="22"/>
        </w:rPr>
        <w:lastRenderedPageBreak/>
        <w:t>Summary</w:t>
      </w:r>
    </w:p>
    <w:p w:rsidR="00C45FE9" w:rsidRDefault="00C45FE9" w:rsidP="00C45FE9">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237"/>
        <w:gridCol w:w="1418"/>
      </w:tblGrid>
      <w:tr w:rsidR="00F6046F" w:rsidTr="00F6046F">
        <w:tc>
          <w:tcPr>
            <w:tcW w:w="1271" w:type="dxa"/>
          </w:tcPr>
          <w:p w:rsidR="00F6046F" w:rsidRPr="00F6046F" w:rsidRDefault="00F6046F" w:rsidP="00F6046F">
            <w:pPr>
              <w:jc w:val="center"/>
              <w:rPr>
                <w:rFonts w:asciiTheme="minorHAnsi" w:hAnsiTheme="minorHAnsi" w:cstheme="minorHAnsi"/>
                <w:b/>
                <w:sz w:val="22"/>
                <w:szCs w:val="22"/>
              </w:rPr>
            </w:pPr>
            <w:r w:rsidRPr="00F6046F">
              <w:rPr>
                <w:rFonts w:asciiTheme="minorHAnsi" w:hAnsiTheme="minorHAnsi" w:cstheme="minorHAnsi"/>
                <w:b/>
                <w:sz w:val="22"/>
                <w:szCs w:val="22"/>
              </w:rPr>
              <w:t>2019/20</w:t>
            </w:r>
          </w:p>
        </w:tc>
        <w:tc>
          <w:tcPr>
            <w:tcW w:w="6237" w:type="dxa"/>
          </w:tcPr>
          <w:p w:rsidR="00F6046F" w:rsidRPr="00F6046F" w:rsidRDefault="00F6046F" w:rsidP="00F6046F">
            <w:pPr>
              <w:jc w:val="center"/>
              <w:rPr>
                <w:rFonts w:asciiTheme="minorHAnsi" w:hAnsiTheme="minorHAnsi" w:cstheme="minorHAnsi"/>
                <w:b/>
                <w:sz w:val="22"/>
                <w:szCs w:val="22"/>
              </w:rPr>
            </w:pPr>
          </w:p>
        </w:tc>
        <w:tc>
          <w:tcPr>
            <w:tcW w:w="1418" w:type="dxa"/>
          </w:tcPr>
          <w:p w:rsidR="00F6046F" w:rsidRPr="00F6046F" w:rsidRDefault="00F6046F" w:rsidP="00F6046F">
            <w:pPr>
              <w:jc w:val="center"/>
              <w:rPr>
                <w:rFonts w:asciiTheme="minorHAnsi" w:hAnsiTheme="minorHAnsi" w:cstheme="minorHAnsi"/>
                <w:b/>
                <w:sz w:val="22"/>
                <w:szCs w:val="22"/>
              </w:rPr>
            </w:pPr>
            <w:r w:rsidRPr="00F6046F">
              <w:rPr>
                <w:rFonts w:asciiTheme="minorHAnsi" w:hAnsiTheme="minorHAnsi" w:cstheme="minorHAnsi"/>
                <w:b/>
                <w:sz w:val="22"/>
                <w:szCs w:val="22"/>
              </w:rPr>
              <w:t>2020/21</w:t>
            </w:r>
          </w:p>
        </w:tc>
      </w:tr>
      <w:tr w:rsidR="00F6046F" w:rsidTr="00F6046F">
        <w:tc>
          <w:tcPr>
            <w:tcW w:w="1271" w:type="dxa"/>
          </w:tcPr>
          <w:p w:rsidR="00F6046F" w:rsidRPr="00F6046F" w:rsidRDefault="00F6046F" w:rsidP="00F6046F">
            <w:pPr>
              <w:jc w:val="center"/>
              <w:rPr>
                <w:rFonts w:asciiTheme="minorHAnsi" w:hAnsiTheme="minorHAnsi" w:cstheme="minorHAnsi"/>
                <w:b/>
                <w:sz w:val="22"/>
                <w:szCs w:val="22"/>
              </w:rPr>
            </w:pPr>
            <w:r w:rsidRPr="00F6046F">
              <w:rPr>
                <w:rFonts w:asciiTheme="minorHAnsi" w:hAnsiTheme="minorHAnsi" w:cstheme="minorHAnsi"/>
                <w:b/>
                <w:sz w:val="22"/>
                <w:szCs w:val="22"/>
              </w:rPr>
              <w:t>£’000</w:t>
            </w:r>
          </w:p>
        </w:tc>
        <w:tc>
          <w:tcPr>
            <w:tcW w:w="6237" w:type="dxa"/>
          </w:tcPr>
          <w:p w:rsidR="00F6046F" w:rsidRPr="00F6046F" w:rsidRDefault="00F6046F" w:rsidP="00C45FE9">
            <w:pPr>
              <w:rPr>
                <w:rFonts w:asciiTheme="minorHAnsi" w:hAnsiTheme="minorHAnsi" w:cstheme="minorHAnsi"/>
                <w:b/>
                <w:sz w:val="22"/>
                <w:szCs w:val="22"/>
              </w:rPr>
            </w:pPr>
          </w:p>
        </w:tc>
        <w:tc>
          <w:tcPr>
            <w:tcW w:w="1418" w:type="dxa"/>
          </w:tcPr>
          <w:p w:rsidR="00F6046F" w:rsidRPr="00F6046F" w:rsidRDefault="00F6046F" w:rsidP="00F6046F">
            <w:pPr>
              <w:jc w:val="center"/>
              <w:rPr>
                <w:rFonts w:asciiTheme="minorHAnsi" w:hAnsiTheme="minorHAnsi" w:cstheme="minorHAnsi"/>
                <w:b/>
                <w:sz w:val="22"/>
                <w:szCs w:val="22"/>
              </w:rPr>
            </w:pPr>
            <w:r w:rsidRPr="00F6046F">
              <w:rPr>
                <w:rFonts w:asciiTheme="minorHAnsi" w:hAnsiTheme="minorHAnsi" w:cstheme="minorHAnsi"/>
                <w:b/>
                <w:sz w:val="22"/>
                <w:szCs w:val="22"/>
              </w:rPr>
              <w:t>£’000</w:t>
            </w:r>
          </w:p>
        </w:tc>
      </w:tr>
      <w:tr w:rsidR="00F6046F" w:rsidTr="00F6046F">
        <w:tc>
          <w:tcPr>
            <w:tcW w:w="1271" w:type="dxa"/>
          </w:tcPr>
          <w:p w:rsidR="00F6046F" w:rsidRDefault="00F6046F" w:rsidP="00F6046F">
            <w:pPr>
              <w:jc w:val="center"/>
              <w:rPr>
                <w:rFonts w:asciiTheme="minorHAnsi" w:hAnsiTheme="minorHAnsi" w:cstheme="minorHAnsi"/>
                <w:sz w:val="22"/>
                <w:szCs w:val="22"/>
              </w:rPr>
            </w:pPr>
          </w:p>
        </w:tc>
        <w:tc>
          <w:tcPr>
            <w:tcW w:w="6237" w:type="dxa"/>
          </w:tcPr>
          <w:p w:rsidR="00F6046F" w:rsidRDefault="00F6046F" w:rsidP="00C45FE9">
            <w:pPr>
              <w:rPr>
                <w:rFonts w:asciiTheme="minorHAnsi" w:hAnsiTheme="minorHAnsi" w:cstheme="minorHAnsi"/>
                <w:sz w:val="22"/>
                <w:szCs w:val="22"/>
              </w:rPr>
            </w:pPr>
          </w:p>
        </w:tc>
        <w:tc>
          <w:tcPr>
            <w:tcW w:w="1418" w:type="dxa"/>
          </w:tcPr>
          <w:p w:rsidR="00F6046F" w:rsidRDefault="00F6046F" w:rsidP="00F6046F">
            <w:pPr>
              <w:jc w:val="center"/>
              <w:rPr>
                <w:rFonts w:asciiTheme="minorHAnsi" w:hAnsiTheme="minorHAnsi" w:cstheme="minorHAnsi"/>
                <w:sz w:val="22"/>
                <w:szCs w:val="22"/>
              </w:rPr>
            </w:pPr>
          </w:p>
        </w:tc>
      </w:tr>
      <w:tr w:rsidR="00F6046F" w:rsidTr="00F6046F">
        <w:tc>
          <w:tcPr>
            <w:tcW w:w="1271" w:type="dxa"/>
          </w:tcPr>
          <w:p w:rsidR="00F6046F" w:rsidRDefault="00666855" w:rsidP="00F6046F">
            <w:pPr>
              <w:jc w:val="center"/>
              <w:rPr>
                <w:rFonts w:asciiTheme="minorHAnsi" w:hAnsiTheme="minorHAnsi" w:cstheme="minorHAnsi"/>
                <w:sz w:val="22"/>
                <w:szCs w:val="22"/>
              </w:rPr>
            </w:pPr>
            <w:r>
              <w:rPr>
                <w:rFonts w:asciiTheme="minorHAnsi" w:hAnsiTheme="minorHAnsi" w:cstheme="minorHAnsi"/>
                <w:sz w:val="22"/>
                <w:szCs w:val="22"/>
              </w:rPr>
              <w:t>46,221</w:t>
            </w:r>
          </w:p>
        </w:tc>
        <w:tc>
          <w:tcPr>
            <w:tcW w:w="6237" w:type="dxa"/>
          </w:tcPr>
          <w:p w:rsidR="00F6046F" w:rsidRDefault="00F6046F" w:rsidP="00C45FE9">
            <w:pPr>
              <w:rPr>
                <w:rFonts w:asciiTheme="minorHAnsi" w:hAnsiTheme="minorHAnsi" w:cstheme="minorHAnsi"/>
                <w:sz w:val="22"/>
                <w:szCs w:val="22"/>
              </w:rPr>
            </w:pPr>
            <w:r>
              <w:rPr>
                <w:rFonts w:asciiTheme="minorHAnsi" w:hAnsiTheme="minorHAnsi" w:cstheme="minorHAnsi"/>
                <w:sz w:val="22"/>
                <w:szCs w:val="22"/>
              </w:rPr>
              <w:t>Expenditure</w:t>
            </w:r>
          </w:p>
        </w:tc>
        <w:tc>
          <w:tcPr>
            <w:tcW w:w="1418" w:type="dxa"/>
          </w:tcPr>
          <w:p w:rsidR="00F6046F" w:rsidRDefault="00F6046F" w:rsidP="00F6046F">
            <w:pPr>
              <w:jc w:val="center"/>
              <w:rPr>
                <w:rFonts w:asciiTheme="minorHAnsi" w:hAnsiTheme="minorHAnsi" w:cstheme="minorHAnsi"/>
                <w:sz w:val="22"/>
                <w:szCs w:val="22"/>
              </w:rPr>
            </w:pPr>
            <w:r>
              <w:rPr>
                <w:rFonts w:asciiTheme="minorHAnsi" w:hAnsiTheme="minorHAnsi" w:cstheme="minorHAnsi"/>
                <w:sz w:val="22"/>
                <w:szCs w:val="22"/>
              </w:rPr>
              <w:t>46,738</w:t>
            </w:r>
          </w:p>
        </w:tc>
      </w:tr>
      <w:tr w:rsidR="00F6046F" w:rsidTr="00F6046F">
        <w:tc>
          <w:tcPr>
            <w:tcW w:w="1271" w:type="dxa"/>
          </w:tcPr>
          <w:p w:rsidR="00F6046F" w:rsidRDefault="00F6046F" w:rsidP="00F6046F">
            <w:pPr>
              <w:jc w:val="center"/>
              <w:rPr>
                <w:rFonts w:asciiTheme="minorHAnsi" w:hAnsiTheme="minorHAnsi" w:cstheme="minorHAnsi"/>
                <w:sz w:val="22"/>
                <w:szCs w:val="22"/>
              </w:rPr>
            </w:pPr>
          </w:p>
        </w:tc>
        <w:tc>
          <w:tcPr>
            <w:tcW w:w="6237" w:type="dxa"/>
          </w:tcPr>
          <w:p w:rsidR="00F6046F" w:rsidRDefault="00F6046F" w:rsidP="00C45FE9">
            <w:pPr>
              <w:rPr>
                <w:rFonts w:asciiTheme="minorHAnsi" w:hAnsiTheme="minorHAnsi" w:cstheme="minorHAnsi"/>
                <w:sz w:val="22"/>
                <w:szCs w:val="22"/>
              </w:rPr>
            </w:pPr>
            <w:r>
              <w:rPr>
                <w:rFonts w:asciiTheme="minorHAnsi" w:hAnsiTheme="minorHAnsi" w:cstheme="minorHAnsi"/>
                <w:sz w:val="22"/>
                <w:szCs w:val="22"/>
              </w:rPr>
              <w:t>Savings (to be confirmed) **</w:t>
            </w:r>
          </w:p>
        </w:tc>
        <w:tc>
          <w:tcPr>
            <w:tcW w:w="1418" w:type="dxa"/>
          </w:tcPr>
          <w:p w:rsidR="00F6046F" w:rsidRDefault="00F6046F" w:rsidP="00F6046F">
            <w:pPr>
              <w:jc w:val="center"/>
              <w:rPr>
                <w:rFonts w:asciiTheme="minorHAnsi" w:hAnsiTheme="minorHAnsi" w:cstheme="minorHAnsi"/>
                <w:sz w:val="22"/>
                <w:szCs w:val="22"/>
              </w:rPr>
            </w:pPr>
            <w:r>
              <w:rPr>
                <w:rFonts w:asciiTheme="minorHAnsi" w:hAnsiTheme="minorHAnsi" w:cstheme="minorHAnsi"/>
                <w:sz w:val="22"/>
                <w:szCs w:val="22"/>
              </w:rPr>
              <w:t>(1,538)</w:t>
            </w:r>
          </w:p>
        </w:tc>
      </w:tr>
      <w:tr w:rsidR="00F6046F" w:rsidTr="00F6046F">
        <w:tc>
          <w:tcPr>
            <w:tcW w:w="1271" w:type="dxa"/>
          </w:tcPr>
          <w:p w:rsidR="00F6046F" w:rsidRPr="00F6046F" w:rsidRDefault="00666855" w:rsidP="00F6046F">
            <w:pPr>
              <w:jc w:val="center"/>
              <w:rPr>
                <w:rFonts w:asciiTheme="minorHAnsi" w:hAnsiTheme="minorHAnsi" w:cstheme="minorHAnsi"/>
                <w:b/>
                <w:sz w:val="22"/>
                <w:szCs w:val="22"/>
              </w:rPr>
            </w:pPr>
            <w:r>
              <w:rPr>
                <w:rFonts w:asciiTheme="minorHAnsi" w:hAnsiTheme="minorHAnsi" w:cstheme="minorHAnsi"/>
                <w:b/>
                <w:sz w:val="22"/>
                <w:szCs w:val="22"/>
              </w:rPr>
              <w:t>46,221</w:t>
            </w:r>
          </w:p>
        </w:tc>
        <w:tc>
          <w:tcPr>
            <w:tcW w:w="6237" w:type="dxa"/>
          </w:tcPr>
          <w:p w:rsidR="00F6046F" w:rsidRPr="00F6046F" w:rsidRDefault="00F6046F" w:rsidP="00C45FE9">
            <w:pPr>
              <w:rPr>
                <w:rFonts w:asciiTheme="minorHAnsi" w:hAnsiTheme="minorHAnsi" w:cstheme="minorHAnsi"/>
                <w:b/>
                <w:sz w:val="22"/>
                <w:szCs w:val="22"/>
              </w:rPr>
            </w:pPr>
            <w:r w:rsidRPr="00F6046F">
              <w:rPr>
                <w:rFonts w:asciiTheme="minorHAnsi" w:hAnsiTheme="minorHAnsi" w:cstheme="minorHAnsi"/>
                <w:b/>
                <w:sz w:val="22"/>
                <w:szCs w:val="22"/>
              </w:rPr>
              <w:t>Total</w:t>
            </w:r>
            <w:r>
              <w:rPr>
                <w:rFonts w:asciiTheme="minorHAnsi" w:hAnsiTheme="minorHAnsi" w:cstheme="minorHAnsi"/>
                <w:b/>
                <w:sz w:val="22"/>
                <w:szCs w:val="22"/>
              </w:rPr>
              <w:t xml:space="preserve"> Expenditure</w:t>
            </w:r>
          </w:p>
        </w:tc>
        <w:tc>
          <w:tcPr>
            <w:tcW w:w="1418" w:type="dxa"/>
          </w:tcPr>
          <w:p w:rsidR="00F6046F" w:rsidRPr="00F6046F" w:rsidRDefault="00F6046F" w:rsidP="00F6046F">
            <w:pPr>
              <w:jc w:val="center"/>
              <w:rPr>
                <w:rFonts w:asciiTheme="minorHAnsi" w:hAnsiTheme="minorHAnsi" w:cstheme="minorHAnsi"/>
                <w:b/>
                <w:sz w:val="22"/>
                <w:szCs w:val="22"/>
              </w:rPr>
            </w:pPr>
            <w:r w:rsidRPr="00F6046F">
              <w:rPr>
                <w:rFonts w:asciiTheme="minorHAnsi" w:hAnsiTheme="minorHAnsi" w:cstheme="minorHAnsi"/>
                <w:b/>
                <w:sz w:val="22"/>
                <w:szCs w:val="22"/>
              </w:rPr>
              <w:t>45,200</w:t>
            </w:r>
          </w:p>
        </w:tc>
      </w:tr>
      <w:tr w:rsidR="00F6046F" w:rsidTr="00F6046F">
        <w:tc>
          <w:tcPr>
            <w:tcW w:w="1271" w:type="dxa"/>
          </w:tcPr>
          <w:p w:rsidR="00F6046F" w:rsidRDefault="00F6046F" w:rsidP="00F6046F">
            <w:pPr>
              <w:jc w:val="center"/>
              <w:rPr>
                <w:rFonts w:asciiTheme="minorHAnsi" w:hAnsiTheme="minorHAnsi" w:cstheme="minorHAnsi"/>
                <w:sz w:val="22"/>
                <w:szCs w:val="22"/>
              </w:rPr>
            </w:pPr>
          </w:p>
        </w:tc>
        <w:tc>
          <w:tcPr>
            <w:tcW w:w="6237" w:type="dxa"/>
          </w:tcPr>
          <w:p w:rsidR="00F6046F" w:rsidRDefault="00F6046F" w:rsidP="00C45FE9">
            <w:pPr>
              <w:rPr>
                <w:rFonts w:asciiTheme="minorHAnsi" w:hAnsiTheme="minorHAnsi" w:cstheme="minorHAnsi"/>
                <w:sz w:val="22"/>
                <w:szCs w:val="22"/>
              </w:rPr>
            </w:pPr>
          </w:p>
        </w:tc>
        <w:tc>
          <w:tcPr>
            <w:tcW w:w="1418" w:type="dxa"/>
          </w:tcPr>
          <w:p w:rsidR="00F6046F" w:rsidRDefault="00F6046F" w:rsidP="00F6046F">
            <w:pPr>
              <w:jc w:val="center"/>
              <w:rPr>
                <w:rFonts w:asciiTheme="minorHAnsi" w:hAnsiTheme="minorHAnsi" w:cstheme="minorHAnsi"/>
                <w:sz w:val="22"/>
                <w:szCs w:val="22"/>
              </w:rPr>
            </w:pPr>
          </w:p>
        </w:tc>
      </w:tr>
      <w:tr w:rsidR="00F6046F" w:rsidTr="00F6046F">
        <w:tc>
          <w:tcPr>
            <w:tcW w:w="1271" w:type="dxa"/>
          </w:tcPr>
          <w:p w:rsidR="00F6046F" w:rsidRPr="00666855" w:rsidRDefault="00666855" w:rsidP="00F6046F">
            <w:pPr>
              <w:jc w:val="center"/>
              <w:rPr>
                <w:rFonts w:asciiTheme="minorHAnsi" w:hAnsiTheme="minorHAnsi" w:cstheme="minorHAnsi"/>
                <w:b/>
                <w:sz w:val="22"/>
                <w:szCs w:val="22"/>
              </w:rPr>
            </w:pPr>
            <w:r w:rsidRPr="00666855">
              <w:rPr>
                <w:rFonts w:asciiTheme="minorHAnsi" w:hAnsiTheme="minorHAnsi" w:cstheme="minorHAnsi"/>
                <w:b/>
                <w:sz w:val="22"/>
                <w:szCs w:val="22"/>
              </w:rPr>
              <w:t>46,221</w:t>
            </w:r>
          </w:p>
        </w:tc>
        <w:tc>
          <w:tcPr>
            <w:tcW w:w="6237" w:type="dxa"/>
          </w:tcPr>
          <w:p w:rsidR="00F6046F" w:rsidRPr="00F6046F" w:rsidRDefault="00F6046F" w:rsidP="00C45FE9">
            <w:pPr>
              <w:rPr>
                <w:rFonts w:asciiTheme="minorHAnsi" w:hAnsiTheme="minorHAnsi" w:cstheme="minorHAnsi"/>
                <w:b/>
                <w:sz w:val="22"/>
                <w:szCs w:val="22"/>
              </w:rPr>
            </w:pPr>
            <w:r w:rsidRPr="00F6046F">
              <w:rPr>
                <w:rFonts w:asciiTheme="minorHAnsi" w:hAnsiTheme="minorHAnsi" w:cstheme="minorHAnsi"/>
                <w:b/>
                <w:sz w:val="22"/>
                <w:szCs w:val="22"/>
              </w:rPr>
              <w:t>Partnership Agreement</w:t>
            </w:r>
            <w:r w:rsidR="007462B4">
              <w:rPr>
                <w:rFonts w:asciiTheme="minorHAnsi" w:hAnsiTheme="minorHAnsi" w:cstheme="minorHAnsi"/>
                <w:b/>
                <w:sz w:val="22"/>
                <w:szCs w:val="22"/>
              </w:rPr>
              <w:t xml:space="preserve"> *</w:t>
            </w:r>
          </w:p>
        </w:tc>
        <w:tc>
          <w:tcPr>
            <w:tcW w:w="1418" w:type="dxa"/>
          </w:tcPr>
          <w:p w:rsidR="00F6046F" w:rsidRPr="00F6046F" w:rsidRDefault="00F6046F" w:rsidP="00F6046F">
            <w:pPr>
              <w:jc w:val="center"/>
              <w:rPr>
                <w:rFonts w:asciiTheme="minorHAnsi" w:hAnsiTheme="minorHAnsi" w:cstheme="minorHAnsi"/>
                <w:b/>
                <w:sz w:val="22"/>
                <w:szCs w:val="22"/>
              </w:rPr>
            </w:pPr>
            <w:r w:rsidRPr="00F6046F">
              <w:rPr>
                <w:rFonts w:asciiTheme="minorHAnsi" w:hAnsiTheme="minorHAnsi" w:cstheme="minorHAnsi"/>
                <w:b/>
                <w:sz w:val="22"/>
                <w:szCs w:val="22"/>
              </w:rPr>
              <w:t>45,200</w:t>
            </w:r>
          </w:p>
        </w:tc>
      </w:tr>
      <w:tr w:rsidR="00F6046F" w:rsidTr="00F6046F">
        <w:tc>
          <w:tcPr>
            <w:tcW w:w="1271" w:type="dxa"/>
          </w:tcPr>
          <w:p w:rsidR="00F6046F" w:rsidRDefault="00F6046F" w:rsidP="00F6046F">
            <w:pPr>
              <w:jc w:val="center"/>
              <w:rPr>
                <w:rFonts w:asciiTheme="minorHAnsi" w:hAnsiTheme="minorHAnsi" w:cstheme="minorHAnsi"/>
                <w:sz w:val="22"/>
                <w:szCs w:val="22"/>
              </w:rPr>
            </w:pPr>
          </w:p>
        </w:tc>
        <w:tc>
          <w:tcPr>
            <w:tcW w:w="6237" w:type="dxa"/>
          </w:tcPr>
          <w:p w:rsidR="00F6046F" w:rsidRDefault="00F6046F" w:rsidP="00C45FE9">
            <w:pPr>
              <w:rPr>
                <w:rFonts w:asciiTheme="minorHAnsi" w:hAnsiTheme="minorHAnsi" w:cstheme="minorHAnsi"/>
                <w:sz w:val="22"/>
                <w:szCs w:val="22"/>
              </w:rPr>
            </w:pPr>
          </w:p>
        </w:tc>
        <w:tc>
          <w:tcPr>
            <w:tcW w:w="1418" w:type="dxa"/>
          </w:tcPr>
          <w:p w:rsidR="00F6046F" w:rsidRDefault="00F6046F" w:rsidP="00F6046F">
            <w:pPr>
              <w:jc w:val="center"/>
              <w:rPr>
                <w:rFonts w:asciiTheme="minorHAnsi" w:hAnsiTheme="minorHAnsi" w:cstheme="minorHAnsi"/>
                <w:sz w:val="22"/>
                <w:szCs w:val="22"/>
              </w:rPr>
            </w:pPr>
          </w:p>
        </w:tc>
      </w:tr>
    </w:tbl>
    <w:p w:rsidR="00C45FE9" w:rsidRDefault="00C45FE9" w:rsidP="00C45FE9">
      <w:pPr>
        <w:rPr>
          <w:rFonts w:asciiTheme="minorHAnsi" w:hAnsiTheme="minorHAnsi" w:cstheme="minorHAnsi"/>
          <w:sz w:val="22"/>
          <w:szCs w:val="22"/>
        </w:rPr>
      </w:pPr>
    </w:p>
    <w:p w:rsidR="00C45FE9" w:rsidRDefault="00C45FE9" w:rsidP="00C45FE9">
      <w:pPr>
        <w:rPr>
          <w:rFonts w:asciiTheme="minorHAnsi" w:hAnsiTheme="minorHAnsi" w:cstheme="minorHAnsi"/>
          <w:sz w:val="22"/>
          <w:szCs w:val="22"/>
        </w:rPr>
      </w:pPr>
    </w:p>
    <w:p w:rsidR="007462B4" w:rsidRPr="007462B4" w:rsidRDefault="007462B4" w:rsidP="007462B4">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7462B4">
        <w:rPr>
          <w:rFonts w:asciiTheme="minorHAnsi" w:hAnsiTheme="minorHAnsi" w:cstheme="minorHAnsi"/>
          <w:sz w:val="22"/>
          <w:szCs w:val="22"/>
        </w:rPr>
        <w:t xml:space="preserve">The 2019/20 Partnership Agreement figure of </w:t>
      </w:r>
      <w:r>
        <w:rPr>
          <w:rFonts w:asciiTheme="minorHAnsi" w:hAnsiTheme="minorHAnsi" w:cstheme="minorHAnsi"/>
          <w:sz w:val="22"/>
          <w:szCs w:val="22"/>
        </w:rPr>
        <w:t>£46,221</w:t>
      </w:r>
      <w:r w:rsidRPr="007462B4">
        <w:rPr>
          <w:rFonts w:asciiTheme="minorHAnsi" w:hAnsiTheme="minorHAnsi" w:cstheme="minorHAnsi"/>
          <w:sz w:val="22"/>
          <w:szCs w:val="22"/>
        </w:rPr>
        <w:t> includes £1.5m of ASC drawdown and the £930k  of health drawdown</w:t>
      </w:r>
    </w:p>
    <w:p w:rsidR="00C45FE9" w:rsidRPr="00C45FE9" w:rsidRDefault="00F6046F" w:rsidP="00F6046F">
      <w:pPr>
        <w:ind w:left="284" w:hanging="284"/>
        <w:jc w:val="both"/>
        <w:rPr>
          <w:rFonts w:asciiTheme="minorHAnsi" w:hAnsiTheme="minorHAnsi" w:cstheme="minorHAnsi"/>
          <w:color w:val="000000"/>
          <w:sz w:val="22"/>
          <w:szCs w:val="22"/>
        </w:rPr>
      </w:pPr>
      <w:r>
        <w:rPr>
          <w:rFonts w:asciiTheme="minorHAnsi" w:hAnsiTheme="minorHAnsi" w:cstheme="minorHAnsi"/>
          <w:sz w:val="22"/>
          <w:szCs w:val="22"/>
        </w:rPr>
        <w:t xml:space="preserve">** </w:t>
      </w:r>
      <w:r w:rsidR="00C45FE9" w:rsidRPr="00C45FE9">
        <w:rPr>
          <w:rFonts w:asciiTheme="minorHAnsi" w:hAnsiTheme="minorHAnsi" w:cstheme="minorHAnsi"/>
          <w:sz w:val="22"/>
          <w:szCs w:val="22"/>
        </w:rPr>
        <w:t>Long term transformation of the health and care system will help to deliver improved value for money and will help to avoid unsustainable future costs through joint working. Some of the planned actions will avoid costs. However, cashable savings are difficult to achieve at a time of increase demand and cost pressure for adult services. As the council/CCG “Union” arrangements mature, there will be an opportunity to consider how resources can be more efficiently deployed and re-allocated across the health and care system.</w:t>
      </w:r>
    </w:p>
    <w:p w:rsidR="00322B1D" w:rsidRPr="00C45FE9" w:rsidRDefault="00322B1D" w:rsidP="00652BA2">
      <w:pPr>
        <w:pStyle w:val="Default"/>
        <w:jc w:val="both"/>
        <w:rPr>
          <w:rFonts w:asciiTheme="minorHAnsi" w:hAnsiTheme="minorHAnsi" w:cstheme="minorHAnsi"/>
          <w:sz w:val="22"/>
          <w:szCs w:val="22"/>
        </w:rPr>
      </w:pPr>
    </w:p>
    <w:p w:rsidR="00322B1D" w:rsidRPr="00C45FE9" w:rsidRDefault="00322B1D" w:rsidP="00652BA2">
      <w:pPr>
        <w:pStyle w:val="Default"/>
        <w:jc w:val="both"/>
        <w:rPr>
          <w:rFonts w:asciiTheme="minorHAnsi" w:hAnsiTheme="minorHAnsi" w:cstheme="minorHAnsi"/>
          <w:sz w:val="22"/>
          <w:szCs w:val="22"/>
        </w:rPr>
      </w:pPr>
    </w:p>
    <w:p w:rsidR="00322B1D" w:rsidRDefault="00322B1D" w:rsidP="00652BA2">
      <w:pPr>
        <w:pStyle w:val="Default"/>
        <w:jc w:val="both"/>
        <w:rPr>
          <w:rFonts w:ascii="Calibri" w:hAnsi="Calibri" w:cs="Calibri"/>
          <w:sz w:val="22"/>
          <w:szCs w:val="22"/>
        </w:rPr>
      </w:pPr>
    </w:p>
    <w:p w:rsidR="00322B1D" w:rsidRDefault="00322B1D" w:rsidP="00652BA2">
      <w:pPr>
        <w:pStyle w:val="Default"/>
        <w:jc w:val="both"/>
        <w:rPr>
          <w:rFonts w:ascii="Calibri" w:hAnsi="Calibri" w:cs="Calibri"/>
          <w:sz w:val="22"/>
          <w:szCs w:val="22"/>
        </w:rPr>
      </w:pPr>
    </w:p>
    <w:p w:rsidR="00322B1D" w:rsidRDefault="00322B1D" w:rsidP="00652BA2">
      <w:pPr>
        <w:pStyle w:val="Default"/>
        <w:jc w:val="both"/>
        <w:rPr>
          <w:rFonts w:ascii="Calibri" w:hAnsi="Calibri" w:cs="Calibri"/>
          <w:sz w:val="22"/>
          <w:szCs w:val="22"/>
        </w:rPr>
      </w:pPr>
    </w:p>
    <w:p w:rsidR="00322B1D" w:rsidRDefault="00322B1D" w:rsidP="00652BA2">
      <w:pPr>
        <w:pStyle w:val="Default"/>
        <w:jc w:val="both"/>
        <w:rPr>
          <w:rFonts w:ascii="Calibri" w:hAnsi="Calibri" w:cs="Calibri"/>
          <w:sz w:val="22"/>
          <w:szCs w:val="22"/>
        </w:rPr>
      </w:pPr>
    </w:p>
    <w:p w:rsidR="00322B1D" w:rsidRDefault="00322B1D" w:rsidP="00652BA2">
      <w:pPr>
        <w:pStyle w:val="Default"/>
        <w:jc w:val="both"/>
        <w:rPr>
          <w:rFonts w:ascii="Calibri" w:hAnsi="Calibri" w:cs="Calibri"/>
          <w:sz w:val="22"/>
          <w:szCs w:val="22"/>
        </w:rPr>
      </w:pPr>
    </w:p>
    <w:p w:rsidR="000566A6" w:rsidRDefault="000566A6" w:rsidP="000566A6">
      <w:pPr>
        <w:rPr>
          <w:rFonts w:ascii="Calibri" w:hAnsi="Calibri" w:cs="Calibri"/>
          <w:sz w:val="22"/>
          <w:szCs w:val="22"/>
        </w:rPr>
      </w:pPr>
    </w:p>
    <w:p w:rsidR="00652BA2" w:rsidRPr="00934A53" w:rsidRDefault="00652BA2" w:rsidP="00652BA2">
      <w:pPr>
        <w:pStyle w:val="Default"/>
        <w:jc w:val="both"/>
        <w:rPr>
          <w:rFonts w:ascii="Calibri" w:hAnsi="Calibri" w:cs="Calibri"/>
          <w:sz w:val="22"/>
          <w:szCs w:val="22"/>
        </w:rPr>
      </w:pPr>
    </w:p>
    <w:sectPr w:rsidR="00652BA2" w:rsidRPr="00934A53" w:rsidSect="00144ED4">
      <w:headerReference w:type="default" r:id="rId13"/>
      <w:footerReference w:type="default" r:id="rId14"/>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6C" w:rsidRDefault="00F9356C" w:rsidP="00E1284E">
      <w:r>
        <w:separator/>
      </w:r>
    </w:p>
  </w:endnote>
  <w:endnote w:type="continuationSeparator" w:id="0">
    <w:p w:rsidR="00F9356C" w:rsidRDefault="00F9356C"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AC7A1F">
      <w:rPr>
        <w:noProof/>
      </w:rPr>
      <w:t>6</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6C" w:rsidRDefault="00F9356C" w:rsidP="00E1284E">
      <w:r>
        <w:separator/>
      </w:r>
    </w:p>
  </w:footnote>
  <w:footnote w:type="continuationSeparator" w:id="0">
    <w:p w:rsidR="00F9356C" w:rsidRDefault="00F9356C"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A54"/>
    <w:multiLevelType w:val="hybridMultilevel"/>
    <w:tmpl w:val="410829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0B6DB1"/>
    <w:multiLevelType w:val="hybridMultilevel"/>
    <w:tmpl w:val="66C2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F570B"/>
    <w:multiLevelType w:val="hybridMultilevel"/>
    <w:tmpl w:val="4CFA9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118E1"/>
    <w:multiLevelType w:val="hybridMultilevel"/>
    <w:tmpl w:val="50CE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0629F"/>
    <w:multiLevelType w:val="hybridMultilevel"/>
    <w:tmpl w:val="27C407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C36F8F"/>
    <w:multiLevelType w:val="hybridMultilevel"/>
    <w:tmpl w:val="21064DF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FC95C3B"/>
    <w:multiLevelType w:val="hybridMultilevel"/>
    <w:tmpl w:val="4DD8A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8F7818"/>
    <w:multiLevelType w:val="hybridMultilevel"/>
    <w:tmpl w:val="0744F9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912AA2"/>
    <w:multiLevelType w:val="hybridMultilevel"/>
    <w:tmpl w:val="6F9A0894"/>
    <w:lvl w:ilvl="0" w:tplc="70341652">
      <w:start w:val="1"/>
      <w:numFmt w:val="decimal"/>
      <w:lvlText w:val="%1)"/>
      <w:lvlJc w:val="left"/>
      <w:pPr>
        <w:tabs>
          <w:tab w:val="num" w:pos="720"/>
        </w:tabs>
        <w:ind w:left="720" w:hanging="360"/>
      </w:pPr>
    </w:lvl>
    <w:lvl w:ilvl="1" w:tplc="C900B8D4" w:tentative="1">
      <w:start w:val="1"/>
      <w:numFmt w:val="decimal"/>
      <w:lvlText w:val="%2)"/>
      <w:lvlJc w:val="left"/>
      <w:pPr>
        <w:tabs>
          <w:tab w:val="num" w:pos="1440"/>
        </w:tabs>
        <w:ind w:left="1440" w:hanging="360"/>
      </w:pPr>
    </w:lvl>
    <w:lvl w:ilvl="2" w:tplc="24DC8B64" w:tentative="1">
      <w:start w:val="1"/>
      <w:numFmt w:val="decimal"/>
      <w:lvlText w:val="%3)"/>
      <w:lvlJc w:val="left"/>
      <w:pPr>
        <w:tabs>
          <w:tab w:val="num" w:pos="2160"/>
        </w:tabs>
        <w:ind w:left="2160" w:hanging="360"/>
      </w:pPr>
    </w:lvl>
    <w:lvl w:ilvl="3" w:tplc="E140DDF8" w:tentative="1">
      <w:start w:val="1"/>
      <w:numFmt w:val="decimal"/>
      <w:lvlText w:val="%4)"/>
      <w:lvlJc w:val="left"/>
      <w:pPr>
        <w:tabs>
          <w:tab w:val="num" w:pos="2880"/>
        </w:tabs>
        <w:ind w:left="2880" w:hanging="360"/>
      </w:pPr>
    </w:lvl>
    <w:lvl w:ilvl="4" w:tplc="15B41AE0" w:tentative="1">
      <w:start w:val="1"/>
      <w:numFmt w:val="decimal"/>
      <w:lvlText w:val="%5)"/>
      <w:lvlJc w:val="left"/>
      <w:pPr>
        <w:tabs>
          <w:tab w:val="num" w:pos="3600"/>
        </w:tabs>
        <w:ind w:left="3600" w:hanging="360"/>
      </w:pPr>
    </w:lvl>
    <w:lvl w:ilvl="5" w:tplc="66CE6758" w:tentative="1">
      <w:start w:val="1"/>
      <w:numFmt w:val="decimal"/>
      <w:lvlText w:val="%6)"/>
      <w:lvlJc w:val="left"/>
      <w:pPr>
        <w:tabs>
          <w:tab w:val="num" w:pos="4320"/>
        </w:tabs>
        <w:ind w:left="4320" w:hanging="360"/>
      </w:pPr>
    </w:lvl>
    <w:lvl w:ilvl="6" w:tplc="1BCE0010" w:tentative="1">
      <w:start w:val="1"/>
      <w:numFmt w:val="decimal"/>
      <w:lvlText w:val="%7)"/>
      <w:lvlJc w:val="left"/>
      <w:pPr>
        <w:tabs>
          <w:tab w:val="num" w:pos="5040"/>
        </w:tabs>
        <w:ind w:left="5040" w:hanging="360"/>
      </w:pPr>
    </w:lvl>
    <w:lvl w:ilvl="7" w:tplc="E7648398" w:tentative="1">
      <w:start w:val="1"/>
      <w:numFmt w:val="decimal"/>
      <w:lvlText w:val="%8)"/>
      <w:lvlJc w:val="left"/>
      <w:pPr>
        <w:tabs>
          <w:tab w:val="num" w:pos="5760"/>
        </w:tabs>
        <w:ind w:left="5760" w:hanging="360"/>
      </w:pPr>
    </w:lvl>
    <w:lvl w:ilvl="8" w:tplc="E89C5F9E"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4"/>
  </w:num>
  <w:num w:numId="5">
    <w:abstractNumId w:val="1"/>
  </w:num>
  <w:num w:numId="6">
    <w:abstractNumId w:val="9"/>
  </w:num>
  <w:num w:numId="7">
    <w:abstractNumId w:val="0"/>
  </w:num>
  <w:num w:numId="8">
    <w:abstractNumId w:val="13"/>
  </w:num>
  <w:num w:numId="9">
    <w:abstractNumId w:val="8"/>
  </w:num>
  <w:num w:numId="10">
    <w:abstractNumId w:val="3"/>
  </w:num>
  <w:num w:numId="11">
    <w:abstractNumId w:val="12"/>
  </w:num>
  <w:num w:numId="12">
    <w:abstractNumId w:val="11"/>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566A6"/>
    <w:rsid w:val="0009052F"/>
    <w:rsid w:val="00096E41"/>
    <w:rsid w:val="000A554D"/>
    <w:rsid w:val="000A7EB7"/>
    <w:rsid w:val="000C4D3C"/>
    <w:rsid w:val="000C70E4"/>
    <w:rsid w:val="000D1426"/>
    <w:rsid w:val="000D1B0D"/>
    <w:rsid w:val="000F4ECB"/>
    <w:rsid w:val="00107535"/>
    <w:rsid w:val="001139C9"/>
    <w:rsid w:val="0013341F"/>
    <w:rsid w:val="00136B75"/>
    <w:rsid w:val="00144ED4"/>
    <w:rsid w:val="00154229"/>
    <w:rsid w:val="001556E0"/>
    <w:rsid w:val="001560ED"/>
    <w:rsid w:val="00160986"/>
    <w:rsid w:val="0016479A"/>
    <w:rsid w:val="001D2409"/>
    <w:rsid w:val="001E66C7"/>
    <w:rsid w:val="002044CF"/>
    <w:rsid w:val="002054A0"/>
    <w:rsid w:val="0021179C"/>
    <w:rsid w:val="00220DF9"/>
    <w:rsid w:val="00246A4E"/>
    <w:rsid w:val="00246EFA"/>
    <w:rsid w:val="0028419C"/>
    <w:rsid w:val="002C32CC"/>
    <w:rsid w:val="002F38A7"/>
    <w:rsid w:val="00306A1B"/>
    <w:rsid w:val="00322B1D"/>
    <w:rsid w:val="0036733E"/>
    <w:rsid w:val="003B7B5D"/>
    <w:rsid w:val="003D7845"/>
    <w:rsid w:val="004458C3"/>
    <w:rsid w:val="00453E4B"/>
    <w:rsid w:val="00462732"/>
    <w:rsid w:val="004729A8"/>
    <w:rsid w:val="00473CC5"/>
    <w:rsid w:val="004767D8"/>
    <w:rsid w:val="004B444D"/>
    <w:rsid w:val="004D2ECE"/>
    <w:rsid w:val="004E32B5"/>
    <w:rsid w:val="004F5317"/>
    <w:rsid w:val="004F6116"/>
    <w:rsid w:val="005310F1"/>
    <w:rsid w:val="0054308A"/>
    <w:rsid w:val="005666F6"/>
    <w:rsid w:val="005A0D0A"/>
    <w:rsid w:val="005A4EC5"/>
    <w:rsid w:val="005A53D1"/>
    <w:rsid w:val="005B0C13"/>
    <w:rsid w:val="006006E6"/>
    <w:rsid w:val="006330C7"/>
    <w:rsid w:val="00652BA2"/>
    <w:rsid w:val="00663808"/>
    <w:rsid w:val="00666855"/>
    <w:rsid w:val="006871B6"/>
    <w:rsid w:val="00697B0F"/>
    <w:rsid w:val="006A23CE"/>
    <w:rsid w:val="006C1307"/>
    <w:rsid w:val="006E6AF6"/>
    <w:rsid w:val="006F3A4E"/>
    <w:rsid w:val="00700103"/>
    <w:rsid w:val="00703268"/>
    <w:rsid w:val="0071072D"/>
    <w:rsid w:val="00711DA9"/>
    <w:rsid w:val="00734128"/>
    <w:rsid w:val="007405E7"/>
    <w:rsid w:val="007462B4"/>
    <w:rsid w:val="00755446"/>
    <w:rsid w:val="007663C8"/>
    <w:rsid w:val="00793F90"/>
    <w:rsid w:val="007A5EDB"/>
    <w:rsid w:val="007C526F"/>
    <w:rsid w:val="007D1C13"/>
    <w:rsid w:val="007E1C2F"/>
    <w:rsid w:val="007E2A23"/>
    <w:rsid w:val="008044FD"/>
    <w:rsid w:val="0081494F"/>
    <w:rsid w:val="008336DE"/>
    <w:rsid w:val="00842CBF"/>
    <w:rsid w:val="00846301"/>
    <w:rsid w:val="008513C4"/>
    <w:rsid w:val="00876931"/>
    <w:rsid w:val="00893409"/>
    <w:rsid w:val="008A1D10"/>
    <w:rsid w:val="008C5A15"/>
    <w:rsid w:val="008D2FFA"/>
    <w:rsid w:val="008D5EB1"/>
    <w:rsid w:val="00901CC0"/>
    <w:rsid w:val="00911F40"/>
    <w:rsid w:val="009169E9"/>
    <w:rsid w:val="009245B1"/>
    <w:rsid w:val="0092546C"/>
    <w:rsid w:val="00934A53"/>
    <w:rsid w:val="0098436E"/>
    <w:rsid w:val="00991A1C"/>
    <w:rsid w:val="00995A9E"/>
    <w:rsid w:val="009D39DE"/>
    <w:rsid w:val="009D4EDC"/>
    <w:rsid w:val="009E45D2"/>
    <w:rsid w:val="00A0148B"/>
    <w:rsid w:val="00A21687"/>
    <w:rsid w:val="00A218A3"/>
    <w:rsid w:val="00A34173"/>
    <w:rsid w:val="00A66D55"/>
    <w:rsid w:val="00A66DC8"/>
    <w:rsid w:val="00A67A77"/>
    <w:rsid w:val="00A9358C"/>
    <w:rsid w:val="00A977E0"/>
    <w:rsid w:val="00AB1B69"/>
    <w:rsid w:val="00AB2CFD"/>
    <w:rsid w:val="00AB3B7C"/>
    <w:rsid w:val="00AB4FF6"/>
    <w:rsid w:val="00AB645B"/>
    <w:rsid w:val="00AC7A1F"/>
    <w:rsid w:val="00AF4A4F"/>
    <w:rsid w:val="00B24425"/>
    <w:rsid w:val="00B3443A"/>
    <w:rsid w:val="00B62F45"/>
    <w:rsid w:val="00B658DC"/>
    <w:rsid w:val="00B76E57"/>
    <w:rsid w:val="00B904DF"/>
    <w:rsid w:val="00B96B78"/>
    <w:rsid w:val="00B971B9"/>
    <w:rsid w:val="00BB0439"/>
    <w:rsid w:val="00BB40A8"/>
    <w:rsid w:val="00BE2870"/>
    <w:rsid w:val="00BE53CE"/>
    <w:rsid w:val="00BE592E"/>
    <w:rsid w:val="00BE727A"/>
    <w:rsid w:val="00BE7CCE"/>
    <w:rsid w:val="00C41576"/>
    <w:rsid w:val="00C450D4"/>
    <w:rsid w:val="00C45FE9"/>
    <w:rsid w:val="00C52984"/>
    <w:rsid w:val="00C64AF0"/>
    <w:rsid w:val="00C81EF3"/>
    <w:rsid w:val="00CA348E"/>
    <w:rsid w:val="00CA4E8E"/>
    <w:rsid w:val="00CB1860"/>
    <w:rsid w:val="00CC2C55"/>
    <w:rsid w:val="00CF20A6"/>
    <w:rsid w:val="00CF347F"/>
    <w:rsid w:val="00CF395E"/>
    <w:rsid w:val="00D00012"/>
    <w:rsid w:val="00D20394"/>
    <w:rsid w:val="00D3211A"/>
    <w:rsid w:val="00D42959"/>
    <w:rsid w:val="00D7667F"/>
    <w:rsid w:val="00DA7A50"/>
    <w:rsid w:val="00DB37E5"/>
    <w:rsid w:val="00DC6B93"/>
    <w:rsid w:val="00DD46A4"/>
    <w:rsid w:val="00DE0BED"/>
    <w:rsid w:val="00DE185E"/>
    <w:rsid w:val="00DF7670"/>
    <w:rsid w:val="00E121D3"/>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ED02D0"/>
    <w:rsid w:val="00F2449E"/>
    <w:rsid w:val="00F300A1"/>
    <w:rsid w:val="00F54DEB"/>
    <w:rsid w:val="00F6046F"/>
    <w:rsid w:val="00F9356C"/>
    <w:rsid w:val="00F97DC2"/>
    <w:rsid w:val="00FA3EE6"/>
    <w:rsid w:val="00FB449C"/>
    <w:rsid w:val="00FB794B"/>
    <w:rsid w:val="00FC08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6D435B"/>
  <w15:docId w15:val="{1E45791F-AF4B-44DE-A35D-33F49339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character" w:styleId="FollowedHyperlink">
    <w:name w:val="FollowedHyperlink"/>
    <w:basedOn w:val="DefaultParagraphFont"/>
    <w:uiPriority w:val="99"/>
    <w:semiHidden/>
    <w:unhideWhenUsed/>
    <w:rsid w:val="00322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80767019">
      <w:bodyDiv w:val="1"/>
      <w:marLeft w:val="0"/>
      <w:marRight w:val="0"/>
      <w:marTop w:val="0"/>
      <w:marBottom w:val="0"/>
      <w:divBdr>
        <w:top w:val="none" w:sz="0" w:space="0" w:color="auto"/>
        <w:left w:val="none" w:sz="0" w:space="0" w:color="auto"/>
        <w:bottom w:val="none" w:sz="0" w:space="0" w:color="auto"/>
        <w:right w:val="none" w:sz="0" w:space="0" w:color="auto"/>
      </w:divBdr>
    </w:div>
    <w:div w:id="332294070">
      <w:bodyDiv w:val="1"/>
      <w:marLeft w:val="0"/>
      <w:marRight w:val="0"/>
      <w:marTop w:val="0"/>
      <w:marBottom w:val="0"/>
      <w:divBdr>
        <w:top w:val="none" w:sz="0" w:space="0" w:color="auto"/>
        <w:left w:val="none" w:sz="0" w:space="0" w:color="auto"/>
        <w:bottom w:val="none" w:sz="0" w:space="0" w:color="auto"/>
        <w:right w:val="none" w:sz="0" w:space="0" w:color="auto"/>
      </w:divBdr>
    </w:div>
    <w:div w:id="376048310">
      <w:bodyDiv w:val="1"/>
      <w:marLeft w:val="0"/>
      <w:marRight w:val="0"/>
      <w:marTop w:val="0"/>
      <w:marBottom w:val="0"/>
      <w:divBdr>
        <w:top w:val="none" w:sz="0" w:space="0" w:color="auto"/>
        <w:left w:val="none" w:sz="0" w:space="0" w:color="auto"/>
        <w:bottom w:val="none" w:sz="0" w:space="0" w:color="auto"/>
        <w:right w:val="none" w:sz="0" w:space="0" w:color="auto"/>
      </w:divBdr>
      <w:divsChild>
        <w:div w:id="348994158">
          <w:marLeft w:val="806"/>
          <w:marRight w:val="0"/>
          <w:marTop w:val="200"/>
          <w:marBottom w:val="0"/>
          <w:divBdr>
            <w:top w:val="none" w:sz="0" w:space="0" w:color="auto"/>
            <w:left w:val="none" w:sz="0" w:space="0" w:color="auto"/>
            <w:bottom w:val="none" w:sz="0" w:space="0" w:color="auto"/>
            <w:right w:val="none" w:sz="0" w:space="0" w:color="auto"/>
          </w:divBdr>
        </w:div>
        <w:div w:id="1053819817">
          <w:marLeft w:val="806"/>
          <w:marRight w:val="0"/>
          <w:marTop w:val="200"/>
          <w:marBottom w:val="0"/>
          <w:divBdr>
            <w:top w:val="none" w:sz="0" w:space="0" w:color="auto"/>
            <w:left w:val="none" w:sz="0" w:space="0" w:color="auto"/>
            <w:bottom w:val="none" w:sz="0" w:space="0" w:color="auto"/>
            <w:right w:val="none" w:sz="0" w:space="0" w:color="auto"/>
          </w:divBdr>
        </w:div>
        <w:div w:id="1368680984">
          <w:marLeft w:val="806"/>
          <w:marRight w:val="0"/>
          <w:marTop w:val="200"/>
          <w:marBottom w:val="0"/>
          <w:divBdr>
            <w:top w:val="none" w:sz="0" w:space="0" w:color="auto"/>
            <w:left w:val="none" w:sz="0" w:space="0" w:color="auto"/>
            <w:bottom w:val="none" w:sz="0" w:space="0" w:color="auto"/>
            <w:right w:val="none" w:sz="0" w:space="0" w:color="auto"/>
          </w:divBdr>
        </w:div>
        <w:div w:id="1380129381">
          <w:marLeft w:val="806"/>
          <w:marRight w:val="0"/>
          <w:marTop w:val="200"/>
          <w:marBottom w:val="0"/>
          <w:divBdr>
            <w:top w:val="none" w:sz="0" w:space="0" w:color="auto"/>
            <w:left w:val="none" w:sz="0" w:space="0" w:color="auto"/>
            <w:bottom w:val="none" w:sz="0" w:space="0" w:color="auto"/>
            <w:right w:val="none" w:sz="0" w:space="0" w:color="auto"/>
          </w:divBdr>
        </w:div>
        <w:div w:id="1700860625">
          <w:marLeft w:val="806"/>
          <w:marRight w:val="0"/>
          <w:marTop w:val="200"/>
          <w:marBottom w:val="0"/>
          <w:divBdr>
            <w:top w:val="none" w:sz="0" w:space="0" w:color="auto"/>
            <w:left w:val="none" w:sz="0" w:space="0" w:color="auto"/>
            <w:bottom w:val="none" w:sz="0" w:space="0" w:color="auto"/>
            <w:right w:val="none" w:sz="0" w:space="0" w:color="auto"/>
          </w:divBdr>
        </w:div>
      </w:divsChild>
    </w:div>
    <w:div w:id="484736786">
      <w:bodyDiv w:val="1"/>
      <w:marLeft w:val="0"/>
      <w:marRight w:val="0"/>
      <w:marTop w:val="0"/>
      <w:marBottom w:val="0"/>
      <w:divBdr>
        <w:top w:val="none" w:sz="0" w:space="0" w:color="auto"/>
        <w:left w:val="none" w:sz="0" w:space="0" w:color="auto"/>
        <w:bottom w:val="none" w:sz="0" w:space="0" w:color="auto"/>
        <w:right w:val="none" w:sz="0" w:space="0" w:color="auto"/>
      </w:divBdr>
    </w:div>
    <w:div w:id="1712682763">
      <w:bodyDiv w:val="1"/>
      <w:marLeft w:val="0"/>
      <w:marRight w:val="0"/>
      <w:marTop w:val="0"/>
      <w:marBottom w:val="0"/>
      <w:divBdr>
        <w:top w:val="none" w:sz="0" w:space="0" w:color="auto"/>
        <w:left w:val="none" w:sz="0" w:space="0" w:color="auto"/>
        <w:bottom w:val="none" w:sz="0" w:space="0" w:color="auto"/>
        <w:right w:val="none" w:sz="0" w:space="0" w:color="auto"/>
      </w:divBdr>
    </w:div>
    <w:div w:id="1853831858">
      <w:bodyDiv w:val="1"/>
      <w:marLeft w:val="0"/>
      <w:marRight w:val="0"/>
      <w:marTop w:val="0"/>
      <w:marBottom w:val="0"/>
      <w:divBdr>
        <w:top w:val="none" w:sz="0" w:space="0" w:color="auto"/>
        <w:left w:val="none" w:sz="0" w:space="0" w:color="auto"/>
        <w:bottom w:val="none" w:sz="0" w:space="0" w:color="auto"/>
        <w:right w:val="none" w:sz="0" w:space="0" w:color="auto"/>
      </w:divBdr>
    </w:div>
    <w:div w:id="1901943176">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lincs.gov.uk/wp-content/uploads/2019/05/4-Budget-Commissioning-Plan-Report-Ful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43684C"/>
    <w:rsid w:val="004A779D"/>
    <w:rsid w:val="005F57D8"/>
    <w:rsid w:val="009A426D"/>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0B57-553E-4647-BFE0-18DFB991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Jablonski</dc:creator>
  <cp:keywords/>
  <dc:description/>
  <cp:lastModifiedBy>Helen Askham (CCG)</cp:lastModifiedBy>
  <cp:revision>6</cp:revision>
  <cp:lastPrinted>2015-02-05T14:14:00Z</cp:lastPrinted>
  <dcterms:created xsi:type="dcterms:W3CDTF">2020-02-21T12:28:00Z</dcterms:created>
  <dcterms:modified xsi:type="dcterms:W3CDTF">2020-02-25T10:49:00Z</dcterms:modified>
</cp:coreProperties>
</file>