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061992">
                              <w:rPr>
                                <w:rFonts w:ascii="Calibri" w:hAnsi="Calibri"/>
                                <w:b/>
                                <w:sz w:val="22"/>
                                <w:szCs w:val="22"/>
                              </w:rPr>
                              <w:t xml:space="preserve">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061992">
                        <w:rPr>
                          <w:rFonts w:ascii="Calibri" w:hAnsi="Calibri"/>
                          <w:b/>
                          <w:sz w:val="22"/>
                          <w:szCs w:val="22"/>
                        </w:rPr>
                        <w:t xml:space="preserve"> 08</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-64770</wp:posOffset>
                </wp:positionH>
                <wp:positionV relativeFrom="paragraph">
                  <wp:posOffset>106679</wp:posOffset>
                </wp:positionV>
                <wp:extent cx="6901815" cy="1304925"/>
                <wp:effectExtent l="19050" t="19050" r="13335"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1304925"/>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C67DF1">
                              <w:rPr>
                                <w:rFonts w:ascii="Calibri" w:hAnsi="Calibri"/>
                                <w:sz w:val="22"/>
                                <w:szCs w:val="22"/>
                              </w:rPr>
                              <w:t xml:space="preserve"> 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67DF1">
                              <w:rPr>
                                <w:rFonts w:ascii="Calibri" w:hAnsi="Calibri"/>
                                <w:sz w:val="22"/>
                                <w:szCs w:val="22"/>
                              </w:rPr>
                              <w:t xml:space="preserve"> 28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C67DF1">
                              <w:rPr>
                                <w:rFonts w:ascii="Calibri" w:hAnsi="Calibri"/>
                                <w:sz w:val="22"/>
                                <w:szCs w:val="22"/>
                              </w:rPr>
                              <w:t xml:space="preserve"> </w:t>
                            </w:r>
                            <w:r w:rsidR="007017E0">
                              <w:rPr>
                                <w:rFonts w:ascii="Calibri" w:hAnsi="Calibri"/>
                                <w:sz w:val="22"/>
                                <w:szCs w:val="22"/>
                              </w:rPr>
                              <w:t xml:space="preserve">Board Assurance Framework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67DF1">
                              <w:rPr>
                                <w:rFonts w:ascii="Calibri" w:hAnsi="Calibri"/>
                                <w:sz w:val="22"/>
                                <w:szCs w:val="22"/>
                              </w:rPr>
                              <w:t xml:space="preserve"> </w:t>
                            </w:r>
                            <w:r w:rsidR="00E063AD">
                              <w:rPr>
                                <w:rFonts w:ascii="Calibri" w:hAnsi="Calibri"/>
                                <w:sz w:val="22"/>
                                <w:szCs w:val="22"/>
                              </w:rPr>
                              <w:t xml:space="preserve">Chief Finance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1pt;margin-top:8.4pt;width:543.45pt;height:10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ceMQIAAFwEAAAOAAAAZHJzL2Uyb0RvYy54bWysVNuO0zAQfUfiHyy/0yTdtr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C67DF1">
                        <w:rPr>
                          <w:rFonts w:ascii="Calibri" w:hAnsi="Calibri"/>
                          <w:sz w:val="22"/>
                          <w:szCs w:val="22"/>
                        </w:rPr>
                        <w:t xml:space="preserve"> 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67DF1">
                        <w:rPr>
                          <w:rFonts w:ascii="Calibri" w:hAnsi="Calibri"/>
                          <w:sz w:val="22"/>
                          <w:szCs w:val="22"/>
                        </w:rPr>
                        <w:t xml:space="preserve"> 28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C67DF1">
                        <w:rPr>
                          <w:rFonts w:ascii="Calibri" w:hAnsi="Calibri"/>
                          <w:sz w:val="22"/>
                          <w:szCs w:val="22"/>
                        </w:rPr>
                        <w:t xml:space="preserve"> </w:t>
                      </w:r>
                      <w:r w:rsidR="007017E0">
                        <w:rPr>
                          <w:rFonts w:ascii="Calibri" w:hAnsi="Calibri"/>
                          <w:sz w:val="22"/>
                          <w:szCs w:val="22"/>
                        </w:rPr>
                        <w:t xml:space="preserve">Board Assurance Framework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67DF1">
                        <w:rPr>
                          <w:rFonts w:ascii="Calibri" w:hAnsi="Calibri"/>
                          <w:sz w:val="22"/>
                          <w:szCs w:val="22"/>
                        </w:rPr>
                        <w:t xml:space="preserve"> </w:t>
                      </w:r>
                      <w:r w:rsidR="00E063AD">
                        <w:rPr>
                          <w:rFonts w:ascii="Calibri" w:hAnsi="Calibri"/>
                          <w:sz w:val="22"/>
                          <w:szCs w:val="22"/>
                        </w:rPr>
                        <w:t xml:space="preserve">Chief Finance Officer </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130809</wp:posOffset>
                </wp:positionV>
                <wp:extent cx="6955155" cy="1400175"/>
                <wp:effectExtent l="0" t="0" r="17145" b="285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1400175"/>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051295199"/>
                                <w14:checkbox>
                                  <w14:checked w14:val="1"/>
                                  <w14:checkedState w14:val="2612" w14:font="MS Gothic"/>
                                  <w14:uncheckedState w14:val="2610" w14:font="MS Gothic"/>
                                </w14:checkbox>
                              </w:sdtPr>
                              <w:sdtEndPr/>
                              <w:sdtContent>
                                <w:r w:rsidR="007017E0">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994689291"/>
                                <w14:checkbox>
                                  <w14:checked w14:val="0"/>
                                  <w14:checkedState w14:val="2612" w14:font="MS Gothic"/>
                                  <w14:uncheckedState w14:val="2610" w14:font="MS Gothic"/>
                                </w14:checkbox>
                              </w:sdtPr>
                              <w:sdtEndPr/>
                              <w:sdtContent>
                                <w:r w:rsidR="007017E0">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C67DF1">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5.85pt;margin-top:10.3pt;width:547.6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051295199"/>
                          <w14:checkbox>
                            <w14:checked w14:val="1"/>
                            <w14:checkedState w14:val="2612" w14:font="MS Gothic"/>
                            <w14:uncheckedState w14:val="2610" w14:font="MS Gothic"/>
                          </w14:checkbox>
                        </w:sdtPr>
                        <w:sdtEndPr/>
                        <w:sdtContent>
                          <w:r w:rsidR="007017E0">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994689291"/>
                          <w14:checkbox>
                            <w14:checked w14:val="0"/>
                            <w14:checkedState w14:val="2612" w14:font="MS Gothic"/>
                            <w14:uncheckedState w14:val="2610" w14:font="MS Gothic"/>
                          </w14:checkbox>
                        </w:sdtPr>
                        <w:sdtEndPr/>
                        <w:sdtContent>
                          <w:r w:rsidR="007017E0">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C67DF1">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ED6CD2" w:rsidRDefault="00ED6CD2"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0D1B0D" w:rsidTr="00144ED4">
        <w:tc>
          <w:tcPr>
            <w:tcW w:w="1183" w:type="pct"/>
            <w:tcBorders>
              <w:bottom w:val="single" w:sz="4" w:space="0" w:color="auto"/>
            </w:tcBorders>
            <w:shd w:val="clear" w:color="auto" w:fill="auto"/>
          </w:tcPr>
          <w:p w:rsidR="009D4EDC" w:rsidRPr="000D1B0D" w:rsidRDefault="009D4EDC" w:rsidP="00C67DF1">
            <w:pPr>
              <w:rPr>
                <w:rFonts w:ascii="Calibri" w:hAnsi="Calibri" w:cs="Calibri"/>
                <w:b/>
                <w:sz w:val="20"/>
              </w:rPr>
            </w:pPr>
            <w:r w:rsidRPr="000D1B0D">
              <w:rPr>
                <w:rFonts w:ascii="Calibri" w:hAnsi="Calibri"/>
                <w:b/>
                <w:sz w:val="22"/>
                <w:szCs w:val="22"/>
              </w:rPr>
              <w:t>PURPOSE OF REPORT:</w:t>
            </w:r>
          </w:p>
        </w:tc>
        <w:tc>
          <w:tcPr>
            <w:tcW w:w="3817" w:type="pct"/>
            <w:shd w:val="clear" w:color="auto" w:fill="auto"/>
          </w:tcPr>
          <w:p w:rsidR="007017E0" w:rsidRDefault="007017E0" w:rsidP="007017E0">
            <w:pPr>
              <w:pStyle w:val="Default"/>
              <w:jc w:val="both"/>
              <w:rPr>
                <w:rFonts w:ascii="Calibri" w:hAnsi="Calibri" w:cs="Calibri"/>
                <w:sz w:val="22"/>
                <w:szCs w:val="22"/>
              </w:rPr>
            </w:pPr>
            <w:r w:rsidRPr="007017E0">
              <w:rPr>
                <w:rFonts w:ascii="Calibri" w:hAnsi="Calibri" w:cs="Calibri"/>
                <w:sz w:val="22"/>
                <w:szCs w:val="22"/>
              </w:rPr>
              <w:t>North East Lincolnshire CCG Board Assurance Framework (hereafter CCG BAF) acts as a high-level risk identification system</w:t>
            </w:r>
            <w:r>
              <w:rPr>
                <w:rFonts w:ascii="Calibri" w:hAnsi="Calibri" w:cs="Calibri"/>
                <w:sz w:val="22"/>
                <w:szCs w:val="22"/>
              </w:rPr>
              <w:t xml:space="preserve"> and provides a structure and process that enable the CCG to focus on the principal risks to achieving its </w:t>
            </w:r>
            <w:r w:rsidRPr="007017E0">
              <w:rPr>
                <w:rFonts w:ascii="Calibri" w:hAnsi="Calibri" w:cs="Calibri"/>
                <w:sz w:val="22"/>
                <w:szCs w:val="22"/>
              </w:rPr>
              <w:t xml:space="preserve">strategic objectives. The Board Assurance Framework highlights gaps in control, gaps in assurance processes and details of necessary action to be taken. </w:t>
            </w:r>
          </w:p>
          <w:p w:rsidR="007017E0" w:rsidRPr="007017E0" w:rsidRDefault="007017E0" w:rsidP="007017E0">
            <w:pPr>
              <w:pStyle w:val="Default"/>
              <w:jc w:val="both"/>
              <w:rPr>
                <w:rFonts w:ascii="Calibri" w:hAnsi="Calibri" w:cs="Calibri"/>
                <w:sz w:val="22"/>
                <w:szCs w:val="22"/>
              </w:rPr>
            </w:pPr>
          </w:p>
          <w:p w:rsidR="007017E0" w:rsidRDefault="007017E0" w:rsidP="007017E0">
            <w:pPr>
              <w:pStyle w:val="Default"/>
              <w:jc w:val="both"/>
              <w:rPr>
                <w:rFonts w:ascii="Calibri" w:hAnsi="Calibri" w:cs="Calibri"/>
                <w:sz w:val="22"/>
                <w:szCs w:val="22"/>
              </w:rPr>
            </w:pPr>
            <w:r>
              <w:rPr>
                <w:rFonts w:ascii="Calibri" w:hAnsi="Calibri" w:cs="Calibri"/>
                <w:sz w:val="22"/>
                <w:szCs w:val="22"/>
              </w:rPr>
              <w:t xml:space="preserve">The </w:t>
            </w:r>
            <w:r w:rsidRPr="007017E0">
              <w:rPr>
                <w:rFonts w:ascii="Calibri" w:hAnsi="Calibri" w:cs="Calibri"/>
                <w:sz w:val="22"/>
                <w:szCs w:val="22"/>
              </w:rPr>
              <w:t>BAF format enables the Governing Body to review each of the risks, analyse the</w:t>
            </w:r>
            <w:r>
              <w:rPr>
                <w:rFonts w:ascii="Calibri" w:hAnsi="Calibri" w:cs="Calibri"/>
                <w:sz w:val="22"/>
                <w:szCs w:val="22"/>
              </w:rPr>
              <w:t xml:space="preserve"> controls </w:t>
            </w:r>
            <w:r w:rsidRPr="007017E0">
              <w:rPr>
                <w:rFonts w:ascii="Calibri" w:hAnsi="Calibri" w:cs="Calibri"/>
                <w:sz w:val="22"/>
                <w:szCs w:val="22"/>
              </w:rPr>
              <w:t>and assurances, clearly identify any gaps and the actions needed to address</w:t>
            </w:r>
            <w:r>
              <w:rPr>
                <w:rFonts w:ascii="Calibri" w:hAnsi="Calibri" w:cs="Calibri"/>
                <w:sz w:val="22"/>
                <w:szCs w:val="22"/>
              </w:rPr>
              <w:t xml:space="preserve"> them.</w:t>
            </w:r>
          </w:p>
          <w:p w:rsidR="007017E0" w:rsidRDefault="007017E0" w:rsidP="007017E0">
            <w:pPr>
              <w:pStyle w:val="Default"/>
              <w:jc w:val="both"/>
              <w:rPr>
                <w:rFonts w:ascii="Calibri" w:hAnsi="Calibri" w:cs="Calibri"/>
                <w:sz w:val="22"/>
                <w:szCs w:val="22"/>
              </w:rPr>
            </w:pPr>
          </w:p>
          <w:p w:rsidR="007017E0" w:rsidRDefault="007017E0" w:rsidP="007017E0">
            <w:pPr>
              <w:pStyle w:val="Default"/>
              <w:jc w:val="both"/>
              <w:rPr>
                <w:rFonts w:ascii="Calibri" w:hAnsi="Calibri" w:cs="Calibri"/>
                <w:sz w:val="22"/>
                <w:szCs w:val="22"/>
              </w:rPr>
            </w:pPr>
            <w:r w:rsidRPr="007017E0">
              <w:rPr>
                <w:rFonts w:ascii="Calibri" w:hAnsi="Calibri" w:cs="Calibri"/>
                <w:sz w:val="22"/>
                <w:szCs w:val="22"/>
              </w:rPr>
              <w:t xml:space="preserve">To support the </w:t>
            </w:r>
            <w:r>
              <w:rPr>
                <w:rFonts w:ascii="Calibri" w:hAnsi="Calibri" w:cs="Calibri"/>
                <w:sz w:val="22"/>
                <w:szCs w:val="22"/>
              </w:rPr>
              <w:t>Governing Body</w:t>
            </w:r>
            <w:r w:rsidRPr="007017E0">
              <w:rPr>
                <w:rFonts w:ascii="Calibri" w:hAnsi="Calibri" w:cs="Calibri"/>
                <w:sz w:val="22"/>
                <w:szCs w:val="22"/>
              </w:rPr>
              <w:t xml:space="preserve"> in carrying out its duties effectively the Integrated Governance &amp; Audit Committee monitors the BAF on a quarterly basis, which ensures robust and adequate progression of the risks are kept live and relevant.  This is an on-going process and Integrated Governance &amp; Audit Committee informs the </w:t>
            </w:r>
            <w:r>
              <w:rPr>
                <w:rFonts w:ascii="Calibri" w:hAnsi="Calibri" w:cs="Calibri"/>
                <w:sz w:val="22"/>
                <w:szCs w:val="22"/>
              </w:rPr>
              <w:t>Governing Body</w:t>
            </w:r>
            <w:r w:rsidRPr="007017E0">
              <w:rPr>
                <w:rFonts w:ascii="Calibri" w:hAnsi="Calibri" w:cs="Calibri"/>
                <w:sz w:val="22"/>
                <w:szCs w:val="22"/>
              </w:rPr>
              <w:t xml:space="preserve"> of the development of BAF for the CCG.</w:t>
            </w:r>
          </w:p>
          <w:p w:rsidR="007017E0" w:rsidRDefault="007017E0" w:rsidP="007017E0">
            <w:pPr>
              <w:pStyle w:val="Default"/>
              <w:jc w:val="both"/>
              <w:rPr>
                <w:rFonts w:ascii="Calibri" w:hAnsi="Calibri" w:cs="Calibri"/>
                <w:sz w:val="22"/>
                <w:szCs w:val="22"/>
              </w:rPr>
            </w:pPr>
          </w:p>
          <w:p w:rsidR="007017E0" w:rsidRDefault="007017E0" w:rsidP="007017E0">
            <w:pPr>
              <w:pStyle w:val="Default"/>
              <w:rPr>
                <w:rFonts w:ascii="Calibri" w:hAnsi="Calibri" w:cs="Calibri"/>
                <w:sz w:val="22"/>
                <w:szCs w:val="22"/>
              </w:rPr>
            </w:pPr>
            <w:r w:rsidRPr="007017E0">
              <w:rPr>
                <w:rFonts w:ascii="Calibri" w:hAnsi="Calibri" w:cs="Calibri"/>
                <w:sz w:val="22"/>
                <w:szCs w:val="22"/>
              </w:rPr>
              <w:t>Please refer to summary report below for full activity during 201</w:t>
            </w:r>
            <w:r>
              <w:rPr>
                <w:rFonts w:ascii="Calibri" w:hAnsi="Calibri" w:cs="Calibri"/>
                <w:sz w:val="22"/>
                <w:szCs w:val="22"/>
              </w:rPr>
              <w:t>8</w:t>
            </w:r>
            <w:r w:rsidRPr="007017E0">
              <w:rPr>
                <w:rFonts w:ascii="Calibri" w:hAnsi="Calibri" w:cs="Calibri"/>
                <w:sz w:val="22"/>
                <w:szCs w:val="22"/>
              </w:rPr>
              <w:t>/1</w:t>
            </w:r>
            <w:r>
              <w:rPr>
                <w:rFonts w:ascii="Calibri" w:hAnsi="Calibri" w:cs="Calibri"/>
                <w:sz w:val="22"/>
                <w:szCs w:val="22"/>
              </w:rPr>
              <w:t>9</w:t>
            </w:r>
            <w:r w:rsidRPr="007017E0">
              <w:rPr>
                <w:rFonts w:ascii="Calibri" w:hAnsi="Calibri" w:cs="Calibri"/>
                <w:sz w:val="22"/>
                <w:szCs w:val="22"/>
              </w:rPr>
              <w:t xml:space="preserve"> and appendices/attachments section of this report for full copy Board Assurance Framework.</w:t>
            </w:r>
          </w:p>
          <w:p w:rsidR="009C783E" w:rsidRPr="000D1B0D" w:rsidRDefault="009C783E" w:rsidP="007017E0">
            <w:pPr>
              <w:pStyle w:val="Default"/>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C783E" w:rsidRPr="000D1B0D" w:rsidRDefault="001E4A82" w:rsidP="009C783E">
            <w:pPr>
              <w:pStyle w:val="Default"/>
              <w:jc w:val="both"/>
              <w:rPr>
                <w:rFonts w:ascii="Calibri" w:hAnsi="Calibri" w:cs="Calibri"/>
                <w:sz w:val="20"/>
                <w:szCs w:val="20"/>
              </w:rPr>
            </w:pPr>
            <w:r>
              <w:rPr>
                <w:rFonts w:ascii="Calibri" w:hAnsi="Calibri" w:cs="Calibri"/>
                <w:sz w:val="22"/>
                <w:szCs w:val="22"/>
              </w:rPr>
              <w:t xml:space="preserve">The Governing body are asked to </w:t>
            </w:r>
            <w:r w:rsidR="009C783E">
              <w:rPr>
                <w:rFonts w:ascii="Calibri" w:hAnsi="Calibri" w:cs="Calibri"/>
                <w:sz w:val="22"/>
                <w:szCs w:val="22"/>
              </w:rPr>
              <w:t xml:space="preserve">note </w:t>
            </w:r>
          </w:p>
          <w:p w:rsidR="009C783E" w:rsidRDefault="009C783E" w:rsidP="009C783E">
            <w:pPr>
              <w:pStyle w:val="Default"/>
              <w:numPr>
                <w:ilvl w:val="0"/>
                <w:numId w:val="8"/>
              </w:numPr>
              <w:jc w:val="both"/>
              <w:rPr>
                <w:rFonts w:ascii="Calibri" w:hAnsi="Calibri" w:cs="Calibri"/>
                <w:sz w:val="22"/>
                <w:szCs w:val="22"/>
              </w:rPr>
            </w:pPr>
            <w:r>
              <w:rPr>
                <w:rFonts w:ascii="Calibri" w:hAnsi="Calibri" w:cs="Calibri"/>
                <w:sz w:val="22"/>
                <w:szCs w:val="22"/>
              </w:rPr>
              <w:t>The update provided;</w:t>
            </w:r>
          </w:p>
          <w:p w:rsidR="009C783E" w:rsidRPr="009C783E" w:rsidRDefault="009C783E" w:rsidP="009C783E">
            <w:pPr>
              <w:pStyle w:val="Default"/>
              <w:numPr>
                <w:ilvl w:val="0"/>
                <w:numId w:val="8"/>
              </w:numPr>
              <w:jc w:val="both"/>
              <w:rPr>
                <w:rFonts w:ascii="Calibri" w:hAnsi="Calibri" w:cs="Calibri"/>
                <w:sz w:val="22"/>
                <w:szCs w:val="22"/>
              </w:rPr>
            </w:pPr>
            <w:r>
              <w:rPr>
                <w:rFonts w:ascii="Calibri" w:hAnsi="Calibri" w:cs="Calibri"/>
                <w:sz w:val="22"/>
                <w:szCs w:val="22"/>
              </w:rPr>
              <w:t>Review the BAF and identify any gaps and;</w:t>
            </w:r>
          </w:p>
          <w:p w:rsidR="009C783E" w:rsidRPr="000D1B0D" w:rsidRDefault="009C783E" w:rsidP="009C783E">
            <w:pPr>
              <w:pStyle w:val="Default"/>
              <w:numPr>
                <w:ilvl w:val="0"/>
                <w:numId w:val="8"/>
              </w:numPr>
              <w:jc w:val="both"/>
              <w:rPr>
                <w:rFonts w:ascii="Calibri" w:hAnsi="Calibri" w:cs="Calibri"/>
                <w:sz w:val="20"/>
                <w:szCs w:val="20"/>
              </w:rPr>
            </w:pPr>
            <w:r w:rsidRPr="009C783E">
              <w:rPr>
                <w:rFonts w:ascii="Calibri" w:hAnsi="Calibri" w:cs="Calibri"/>
                <w:sz w:val="22"/>
                <w:szCs w:val="22"/>
              </w:rPr>
              <w:t>The level of assurance received by the CCG, in relation to its strategic risks and comment where appropriate.</w:t>
            </w:r>
          </w:p>
        </w:tc>
      </w:tr>
      <w:tr w:rsidR="009D4EDC" w:rsidRPr="000D1B0D" w:rsidTr="00144ED4">
        <w:tc>
          <w:tcPr>
            <w:tcW w:w="1183" w:type="pct"/>
            <w:shd w:val="clear" w:color="auto" w:fill="auto"/>
          </w:tcPr>
          <w:p w:rsidR="009D4EDC" w:rsidRPr="00046B77" w:rsidRDefault="009D4EDC" w:rsidP="00ED6CD2">
            <w:pPr>
              <w:pStyle w:val="Default"/>
              <w:rPr>
                <w:rFonts w:ascii="Calibri" w:hAnsi="Calibri" w:cs="Calibri"/>
                <w:i/>
                <w:sz w:val="20"/>
                <w:szCs w:val="20"/>
              </w:rPr>
            </w:pPr>
            <w:r w:rsidRPr="000D1B0D">
              <w:rPr>
                <w:rFonts w:ascii="Calibri" w:hAnsi="Calibri" w:cs="Calibri"/>
                <w:b/>
                <w:sz w:val="20"/>
                <w:szCs w:val="20"/>
              </w:rPr>
              <w:t>Sub Committee Process and Assurance:</w:t>
            </w:r>
          </w:p>
        </w:tc>
        <w:tc>
          <w:tcPr>
            <w:tcW w:w="3817" w:type="pct"/>
            <w:shd w:val="clear" w:color="auto" w:fill="auto"/>
          </w:tcPr>
          <w:p w:rsidR="00144ED4" w:rsidRPr="009C783E" w:rsidRDefault="009C783E" w:rsidP="00ED6CD2">
            <w:pPr>
              <w:pStyle w:val="Default"/>
              <w:jc w:val="both"/>
              <w:rPr>
                <w:rFonts w:ascii="Calibri" w:hAnsi="Calibri" w:cs="Calibri"/>
                <w:sz w:val="22"/>
                <w:szCs w:val="22"/>
              </w:rPr>
            </w:pPr>
            <w:r w:rsidRPr="009C783E">
              <w:rPr>
                <w:rFonts w:ascii="Calibri" w:hAnsi="Calibri" w:cs="Calibri"/>
                <w:sz w:val="22"/>
                <w:szCs w:val="22"/>
              </w:rPr>
              <w:t>The Integrated Governance &amp; Audit Committee</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9C783E">
        <w:trPr>
          <w:trHeight w:val="589"/>
        </w:trPr>
        <w:tc>
          <w:tcPr>
            <w:tcW w:w="1183" w:type="pct"/>
            <w:shd w:val="clear" w:color="auto" w:fill="auto"/>
          </w:tcPr>
          <w:p w:rsidR="007E1C2F" w:rsidRPr="00E73B61" w:rsidRDefault="007E1C2F" w:rsidP="00ED6CD2">
            <w:pPr>
              <w:pStyle w:val="Default"/>
              <w:rPr>
                <w:rFonts w:ascii="Calibri" w:hAnsi="Calibri" w:cs="Calibri"/>
                <w:i/>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tc>
        <w:tc>
          <w:tcPr>
            <w:tcW w:w="3817" w:type="pct"/>
            <w:shd w:val="clear" w:color="auto" w:fill="auto"/>
          </w:tcPr>
          <w:p w:rsidR="00144ED4" w:rsidRDefault="009C783E" w:rsidP="00ED6CD2">
            <w:pPr>
              <w:pStyle w:val="Default"/>
              <w:jc w:val="both"/>
              <w:rPr>
                <w:rFonts w:ascii="Calibri" w:hAnsi="Calibri" w:cs="Calibri"/>
                <w:sz w:val="22"/>
                <w:szCs w:val="22"/>
              </w:rPr>
            </w:pPr>
            <w:r w:rsidRPr="009C783E">
              <w:rPr>
                <w:rFonts w:ascii="Calibri" w:hAnsi="Calibri" w:cs="Calibri"/>
                <w:sz w:val="22"/>
                <w:szCs w:val="22"/>
              </w:rPr>
              <w:t>The Board Assurance Framework is a key component of the CCG’s system of internal control.</w:t>
            </w:r>
          </w:p>
          <w:p w:rsidR="009C783E" w:rsidRPr="000D1B0D" w:rsidRDefault="009C783E" w:rsidP="00ED6CD2">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054A0" w:rsidRDefault="009C783E" w:rsidP="009C783E">
            <w:pPr>
              <w:pStyle w:val="Default"/>
              <w:jc w:val="both"/>
              <w:rPr>
                <w:rFonts w:ascii="Calibri" w:hAnsi="Calibri" w:cs="Calibri"/>
                <w:sz w:val="22"/>
                <w:szCs w:val="22"/>
              </w:rPr>
            </w:pPr>
            <w:r w:rsidRPr="009C783E">
              <w:rPr>
                <w:rFonts w:ascii="Calibri" w:hAnsi="Calibri" w:cs="Calibri"/>
                <w:sz w:val="22"/>
                <w:szCs w:val="22"/>
              </w:rPr>
              <w:t>There are no legal implications.</w:t>
            </w:r>
          </w:p>
          <w:p w:rsidR="009C783E" w:rsidRPr="009C783E" w:rsidRDefault="009C783E" w:rsidP="009C783E">
            <w:pPr>
              <w:pStyle w:val="Default"/>
              <w:jc w:val="both"/>
              <w:rPr>
                <w:rFonts w:ascii="Calibri" w:hAnsi="Calibri" w:cs="Calibri"/>
                <w:sz w:val="22"/>
                <w:szCs w:val="22"/>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7405E7" w:rsidRPr="001E4A82" w:rsidRDefault="00AB645B" w:rsidP="001E4A82">
            <w:pPr>
              <w:pStyle w:val="Default"/>
              <w:rPr>
                <w:rFonts w:ascii="Calibri" w:hAnsi="Calibri" w:cs="Calibri"/>
                <w:sz w:val="22"/>
                <w:szCs w:val="22"/>
              </w:rPr>
            </w:pPr>
            <w:r w:rsidRPr="001E4A82">
              <w:rPr>
                <w:rFonts w:ascii="Calibri" w:hAnsi="Calibri" w:cs="Calibri"/>
                <w:sz w:val="22"/>
                <w:szCs w:val="22"/>
              </w:rPr>
              <w:t xml:space="preserve">An Equality Impact Analysis/Assessment is not required for this report                     </w:t>
            </w:r>
            <w:r w:rsidR="009C783E">
              <w:rPr>
                <w:rFonts w:ascii="Calibri" w:hAnsi="Calibri" w:cs="Calibri"/>
                <w:sz w:val="22"/>
                <w:szCs w:val="22"/>
              </w:rPr>
              <w:t xml:space="preserve">   </w:t>
            </w:r>
            <w:r w:rsidRPr="001E4A82">
              <w:rPr>
                <w:rFonts w:ascii="Calibri" w:hAnsi="Calibri" w:cs="Calibri"/>
                <w:sz w:val="22"/>
                <w:szCs w:val="22"/>
              </w:rPr>
              <w:t xml:space="preserve"> </w:t>
            </w:r>
            <w:sdt>
              <w:sdtPr>
                <w:rPr>
                  <w:rFonts w:ascii="Calibri" w:hAnsi="Calibri" w:cs="Calibri"/>
                  <w:sz w:val="22"/>
                  <w:szCs w:val="22"/>
                </w:rPr>
                <w:id w:val="1967159954"/>
                <w14:checkbox>
                  <w14:checked w14:val="1"/>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Pr="001E4A82">
              <w:rPr>
                <w:rFonts w:ascii="Calibri" w:hAnsi="Calibri" w:cs="Calibri"/>
                <w:sz w:val="22"/>
                <w:szCs w:val="22"/>
              </w:rPr>
              <w:t xml:space="preserve">                            </w:t>
            </w:r>
          </w:p>
          <w:p w:rsidR="009C783E" w:rsidRDefault="009C783E" w:rsidP="001E4A82">
            <w:pPr>
              <w:pStyle w:val="Default"/>
              <w:rPr>
                <w:rFonts w:ascii="Calibri" w:hAnsi="Calibri" w:cs="Calibri"/>
                <w:sz w:val="22"/>
                <w:szCs w:val="22"/>
              </w:rPr>
            </w:pPr>
          </w:p>
          <w:p w:rsidR="00AB645B" w:rsidRPr="001E4A82" w:rsidRDefault="00AB645B" w:rsidP="001E4A82">
            <w:pPr>
              <w:pStyle w:val="Default"/>
              <w:rPr>
                <w:rFonts w:ascii="Calibri" w:hAnsi="Calibri" w:cs="Calibri"/>
                <w:sz w:val="22"/>
                <w:szCs w:val="22"/>
              </w:rPr>
            </w:pPr>
            <w:r w:rsidRPr="001E4A82">
              <w:rPr>
                <w:rFonts w:ascii="Calibri" w:hAnsi="Calibri" w:cs="Calibri"/>
                <w:sz w:val="22"/>
                <w:szCs w:val="22"/>
              </w:rPr>
              <w:t xml:space="preserve">An Equality Impact Analysis/Assessment has been completed and approved by the EIA </w:t>
            </w:r>
          </w:p>
          <w:p w:rsidR="00AB645B" w:rsidRPr="001E4A82" w:rsidRDefault="00AB645B" w:rsidP="001E4A82">
            <w:pPr>
              <w:pStyle w:val="Default"/>
              <w:rPr>
                <w:rFonts w:ascii="Calibri" w:hAnsi="Calibri" w:cs="Calibri"/>
                <w:sz w:val="22"/>
                <w:szCs w:val="22"/>
              </w:rPr>
            </w:pPr>
            <w:r w:rsidRPr="001E4A82">
              <w:rPr>
                <w:rFonts w:ascii="Calibri" w:hAnsi="Calibri" w:cs="Calibri"/>
                <w:sz w:val="22"/>
                <w:szCs w:val="22"/>
              </w:rPr>
              <w:t xml:space="preserve">Panel.  As a result of performing the analysis/assessment there are no actions arising                                                    </w:t>
            </w:r>
          </w:p>
          <w:p w:rsidR="00AB645B" w:rsidRPr="001E4A82" w:rsidRDefault="00AB645B" w:rsidP="001E4A82">
            <w:pPr>
              <w:pStyle w:val="Default"/>
              <w:rPr>
                <w:rFonts w:ascii="Calibri" w:hAnsi="Calibri" w:cs="Calibri"/>
                <w:sz w:val="22"/>
                <w:szCs w:val="22"/>
              </w:rPr>
            </w:pPr>
            <w:r w:rsidRPr="001E4A82">
              <w:rPr>
                <w:rFonts w:ascii="Calibri" w:hAnsi="Calibri" w:cs="Calibri"/>
                <w:sz w:val="22"/>
                <w:szCs w:val="22"/>
              </w:rPr>
              <w:t>from the analysis/assessment</w:t>
            </w:r>
            <w:r w:rsidR="001E4A82">
              <w:rPr>
                <w:rFonts w:ascii="Calibri" w:hAnsi="Calibri" w:cs="Calibri"/>
                <w:sz w:val="22"/>
                <w:szCs w:val="22"/>
              </w:rPr>
              <w:t xml:space="preserve">                                                                                                  </w:t>
            </w:r>
            <w:sdt>
              <w:sdtPr>
                <w:rPr>
                  <w:rFonts w:ascii="Calibri" w:hAnsi="Calibri" w:cs="Calibri"/>
                  <w:sz w:val="22"/>
                  <w:szCs w:val="22"/>
                </w:rPr>
                <w:id w:val="-1189671615"/>
                <w14:checkbox>
                  <w14:checked w14:val="0"/>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001E4A82">
              <w:rPr>
                <w:rFonts w:ascii="Calibri" w:hAnsi="Calibri" w:cs="Calibri"/>
                <w:sz w:val="22"/>
                <w:szCs w:val="22"/>
              </w:rPr>
              <w:t xml:space="preserve">       </w:t>
            </w:r>
          </w:p>
          <w:p w:rsidR="00AB645B" w:rsidRPr="001E4A82" w:rsidRDefault="00AB645B" w:rsidP="001E4A82">
            <w:pPr>
              <w:pStyle w:val="Default"/>
              <w:rPr>
                <w:rFonts w:ascii="Calibri" w:hAnsi="Calibri" w:cs="Calibri"/>
                <w:sz w:val="22"/>
                <w:szCs w:val="22"/>
              </w:rPr>
            </w:pPr>
          </w:p>
          <w:p w:rsidR="00AB645B" w:rsidRPr="001E4A82" w:rsidRDefault="00AB645B" w:rsidP="009C783E">
            <w:pPr>
              <w:pStyle w:val="Default"/>
              <w:rPr>
                <w:rFonts w:ascii="Calibri" w:hAnsi="Calibri" w:cs="Calibri"/>
                <w:sz w:val="22"/>
                <w:szCs w:val="22"/>
              </w:rPr>
            </w:pPr>
            <w:r w:rsidRPr="001E4A82">
              <w:rPr>
                <w:rFonts w:ascii="Calibri" w:hAnsi="Calibri" w:cs="Calibri"/>
                <w:sz w:val="22"/>
                <w:szCs w:val="22"/>
              </w:rPr>
              <w:t>An Equality Impact Analysis/Assessment has been completed a</w:t>
            </w:r>
            <w:r w:rsidR="006C1307" w:rsidRPr="001E4A82">
              <w:rPr>
                <w:rFonts w:ascii="Calibri" w:hAnsi="Calibri" w:cs="Calibri"/>
                <w:sz w:val="22"/>
                <w:szCs w:val="22"/>
              </w:rPr>
              <w:t>nd there are actions aris</w:t>
            </w:r>
            <w:r w:rsidR="009C783E">
              <w:rPr>
                <w:rFonts w:ascii="Calibri" w:hAnsi="Calibri" w:cs="Calibri"/>
                <w:sz w:val="22"/>
                <w:szCs w:val="22"/>
              </w:rPr>
              <w:t xml:space="preserve">ing  from </w:t>
            </w:r>
            <w:r w:rsidRPr="001E4A82">
              <w:rPr>
                <w:rFonts w:ascii="Calibri" w:hAnsi="Calibri" w:cs="Calibri"/>
                <w:sz w:val="22"/>
                <w:szCs w:val="22"/>
              </w:rPr>
              <w:t>the analysis/assessment and these are included in section ____ of the enclosed report</w:t>
            </w:r>
            <w:r w:rsidR="001E4A82">
              <w:rPr>
                <w:rFonts w:ascii="Calibri" w:hAnsi="Calibri" w:cs="Calibri"/>
                <w:sz w:val="22"/>
                <w:szCs w:val="22"/>
              </w:rPr>
              <w:t xml:space="preserve">                                                                                                                            </w:t>
            </w:r>
            <w:sdt>
              <w:sdtPr>
                <w:rPr>
                  <w:rFonts w:ascii="Calibri" w:hAnsi="Calibri" w:cs="Calibri"/>
                  <w:sz w:val="22"/>
                  <w:szCs w:val="22"/>
                </w:rPr>
                <w:id w:val="-880011421"/>
                <w14:checkbox>
                  <w14:checked w14:val="0"/>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001E4A82">
              <w:rPr>
                <w:rFonts w:ascii="Calibri" w:hAnsi="Calibri" w:cs="Calibri"/>
                <w:sz w:val="22"/>
                <w:szCs w:val="22"/>
              </w:rPr>
              <w:t xml:space="preserve">                      </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9C783E" w:rsidRPr="009C783E" w:rsidRDefault="009C783E" w:rsidP="009C783E">
            <w:pPr>
              <w:pStyle w:val="Default"/>
              <w:jc w:val="both"/>
              <w:rPr>
                <w:rFonts w:ascii="Calibri" w:hAnsi="Calibri" w:cs="Calibri"/>
                <w:sz w:val="22"/>
                <w:szCs w:val="22"/>
              </w:rPr>
            </w:pPr>
            <w:r w:rsidRPr="009C783E">
              <w:rPr>
                <w:rFonts w:ascii="Calibri" w:hAnsi="Calibri" w:cs="Calibri"/>
                <w:sz w:val="22"/>
                <w:szCs w:val="22"/>
              </w:rPr>
              <w:t>The Board Assurance Framework contains key financial risks to the organisation</w:t>
            </w:r>
          </w:p>
          <w:p w:rsidR="00246EFA" w:rsidRPr="000D1B0D" w:rsidRDefault="00246EFA" w:rsidP="009C783E">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D42959" w:rsidRDefault="00290643" w:rsidP="00290643">
            <w:pPr>
              <w:pStyle w:val="Default"/>
              <w:rPr>
                <w:rFonts w:ascii="Calibri" w:hAnsi="Calibri" w:cs="Calibri"/>
                <w:sz w:val="20"/>
                <w:szCs w:val="20"/>
              </w:rPr>
            </w:pPr>
            <w:r w:rsidRPr="00290643">
              <w:rPr>
                <w:rFonts w:ascii="Calibri" w:hAnsi="Calibri" w:cs="Calibri"/>
                <w:sz w:val="22"/>
                <w:szCs w:val="22"/>
              </w:rPr>
              <w:t>Thi</w:t>
            </w:r>
            <w:r w:rsidR="00D42959" w:rsidRPr="00290643">
              <w:rPr>
                <w:rFonts w:ascii="Calibri" w:hAnsi="Calibri" w:cs="Calibri"/>
                <w:sz w:val="22"/>
                <w:szCs w:val="22"/>
              </w:rPr>
              <w:t xml:space="preserve">s report details a positive impact on quality.     </w:t>
            </w:r>
            <w:r w:rsidR="00D42959">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9C783E">
                  <w:rPr>
                    <w:rFonts w:ascii="MS Gothic" w:eastAsia="MS Gothic" w:hAnsi="MS Gothic" w:cs="Calibri" w:hint="eastAsia"/>
                    <w:sz w:val="20"/>
                    <w:szCs w:val="20"/>
                  </w:rPr>
                  <w:t>☐</w:t>
                </w:r>
              </w:sdtContent>
            </w:sdt>
            <w:r w:rsidR="00D42959">
              <w:rPr>
                <w:rFonts w:ascii="Calibri" w:hAnsi="Calibri" w:cs="Calibri"/>
                <w:sz w:val="20"/>
                <w:szCs w:val="20"/>
              </w:rPr>
              <w:t xml:space="preserve">                </w:t>
            </w:r>
          </w:p>
          <w:p w:rsidR="00246EFA" w:rsidRPr="00290643" w:rsidRDefault="00D42959" w:rsidP="00D42959">
            <w:pPr>
              <w:pStyle w:val="Default"/>
              <w:jc w:val="both"/>
              <w:rPr>
                <w:rFonts w:ascii="Calibri" w:hAnsi="Calibri" w:cs="Calibri"/>
                <w:sz w:val="22"/>
                <w:szCs w:val="22"/>
              </w:rPr>
            </w:pPr>
            <w:r w:rsidRPr="00290643">
              <w:rPr>
                <w:rFonts w:ascii="Calibri" w:hAnsi="Calibri" w:cs="Calibri"/>
                <w:sz w:val="22"/>
                <w:szCs w:val="22"/>
              </w:rPr>
              <w:t>The proposal put forwards, if agreed, would have a positive impact in terms of enabling providers to meet safe staffing targets.  Retention and recruitment is forecast to be improved, which would have a positive impact on the safe delivery of local services.</w:t>
            </w:r>
          </w:p>
          <w:p w:rsidR="00D42959" w:rsidRDefault="00D42959" w:rsidP="00D42959">
            <w:pPr>
              <w:pStyle w:val="Default"/>
              <w:jc w:val="both"/>
              <w:rPr>
                <w:rFonts w:ascii="Calibri" w:hAnsi="Calibri" w:cs="Calibri"/>
                <w:sz w:val="20"/>
                <w:szCs w:val="20"/>
              </w:rPr>
            </w:pPr>
          </w:p>
          <w:p w:rsidR="00D42959" w:rsidRPr="00D42959" w:rsidRDefault="00D42959" w:rsidP="00290643">
            <w:pPr>
              <w:pStyle w:val="Default"/>
              <w:rPr>
                <w:rFonts w:ascii="Calibri" w:hAnsi="Calibri" w:cs="Calibri"/>
                <w:sz w:val="20"/>
                <w:szCs w:val="20"/>
              </w:rPr>
            </w:pPr>
            <w:r w:rsidRPr="00290643">
              <w:rPr>
                <w:rFonts w:ascii="Calibri" w:hAnsi="Calibri" w:cs="Calibri"/>
                <w:sz w:val="22"/>
                <w:szCs w:val="22"/>
              </w:rPr>
              <w:t>This report details a neutral impact on quality.</w:t>
            </w:r>
            <w:r w:rsidRPr="00D42959">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9C783E">
                  <w:rPr>
                    <w:rFonts w:ascii="MS Gothic" w:eastAsia="MS Gothic" w:hAnsi="MS Gothic" w:cs="Calibri" w:hint="eastAsia"/>
                    <w:sz w:val="20"/>
                    <w:szCs w:val="20"/>
                  </w:rPr>
                  <w:t>☒</w:t>
                </w:r>
              </w:sdtContent>
            </w:sdt>
            <w:r>
              <w:rPr>
                <w:rFonts w:ascii="Calibri" w:hAnsi="Calibri" w:cs="Calibri"/>
                <w:sz w:val="20"/>
                <w:szCs w:val="20"/>
              </w:rPr>
              <w:t xml:space="preserve">              </w:t>
            </w:r>
          </w:p>
          <w:p w:rsidR="00D42959" w:rsidRPr="00290643" w:rsidRDefault="00D42959" w:rsidP="00D42959">
            <w:pPr>
              <w:pStyle w:val="Default"/>
              <w:jc w:val="both"/>
              <w:rPr>
                <w:rFonts w:ascii="Calibri" w:hAnsi="Calibri" w:cs="Calibri"/>
                <w:sz w:val="22"/>
                <w:szCs w:val="22"/>
              </w:rPr>
            </w:pPr>
            <w:r w:rsidRPr="00290643">
              <w:rPr>
                <w:rFonts w:ascii="Calibri" w:hAnsi="Calibri" w:cs="Calibri"/>
                <w:sz w:val="22"/>
                <w:szCs w:val="22"/>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290643">
            <w:pPr>
              <w:pStyle w:val="Default"/>
              <w:rPr>
                <w:rFonts w:ascii="Calibri" w:hAnsi="Calibri" w:cs="Calibri"/>
                <w:sz w:val="20"/>
                <w:szCs w:val="20"/>
              </w:rPr>
            </w:pPr>
            <w:r w:rsidRPr="00290643">
              <w:rPr>
                <w:rFonts w:ascii="Calibri" w:hAnsi="Calibri" w:cs="Calibri"/>
                <w:sz w:val="22"/>
                <w:szCs w:val="22"/>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sidR="009C783E">
                  <w:rPr>
                    <w:rFonts w:ascii="MS Gothic" w:eastAsia="MS Gothic" w:hAnsi="MS Gothic" w:cs="Calibri" w:hint="eastAsia"/>
                    <w:sz w:val="20"/>
                    <w:szCs w:val="20"/>
                  </w:rPr>
                  <w:t>☐</w:t>
                </w:r>
              </w:sdtContent>
            </w:sdt>
            <w:r>
              <w:rPr>
                <w:rFonts w:ascii="Calibri" w:hAnsi="Calibri" w:cs="Calibri"/>
                <w:sz w:val="20"/>
                <w:szCs w:val="20"/>
              </w:rPr>
              <w:t xml:space="preserve">             </w:t>
            </w:r>
          </w:p>
          <w:p w:rsidR="00246EFA" w:rsidRPr="00290643" w:rsidRDefault="00D42959" w:rsidP="00D42959">
            <w:pPr>
              <w:pStyle w:val="Default"/>
              <w:jc w:val="both"/>
              <w:rPr>
                <w:rFonts w:ascii="Calibri" w:hAnsi="Calibri" w:cs="Calibri"/>
                <w:sz w:val="22"/>
                <w:szCs w:val="22"/>
              </w:rPr>
            </w:pPr>
            <w:r w:rsidRPr="00290643">
              <w:rPr>
                <w:rFonts w:ascii="Calibri" w:hAnsi="Calibri" w:cs="Calibri"/>
                <w:sz w:val="22"/>
                <w:szCs w:val="22"/>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p>
        </w:tc>
      </w:tr>
      <w:tr w:rsidR="009D4EDC" w:rsidRPr="000D1B0D" w:rsidTr="00144ED4">
        <w:tc>
          <w:tcPr>
            <w:tcW w:w="1183" w:type="pct"/>
            <w:shd w:val="clear" w:color="auto" w:fill="auto"/>
          </w:tcPr>
          <w:p w:rsidR="009D4EDC" w:rsidRPr="000D1B0D" w:rsidRDefault="009D4EDC" w:rsidP="00290643">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shd w:val="clear" w:color="auto" w:fill="auto"/>
          </w:tcPr>
          <w:p w:rsidR="00246EFA" w:rsidRPr="00290643" w:rsidRDefault="009C783E" w:rsidP="00E61AF0">
            <w:pPr>
              <w:pStyle w:val="Default"/>
              <w:jc w:val="both"/>
              <w:rPr>
                <w:rFonts w:ascii="Calibri" w:hAnsi="Calibri" w:cs="Calibri"/>
                <w:sz w:val="22"/>
                <w:szCs w:val="22"/>
              </w:rPr>
            </w:pPr>
            <w:r w:rsidRPr="009C783E">
              <w:rPr>
                <w:rFonts w:ascii="Calibri" w:hAnsi="Calibri" w:cs="Calibri"/>
                <w:sz w:val="22"/>
                <w:szCs w:val="22"/>
              </w:rPr>
              <w:t>The Board Assurance Framework contains key risks linked to Contract Managemen</w:t>
            </w:r>
            <w:r>
              <w:rPr>
                <w:rFonts w:ascii="Calibri" w:hAnsi="Calibri" w:cs="Calibri"/>
                <w:sz w:val="22"/>
                <w:szCs w:val="22"/>
              </w:rPr>
              <w:t>t</w:t>
            </w:r>
          </w:p>
        </w:tc>
      </w:tr>
      <w:tr w:rsidR="009C783E" w:rsidRPr="000D1B0D" w:rsidTr="00144ED4">
        <w:tc>
          <w:tcPr>
            <w:tcW w:w="1183" w:type="pct"/>
            <w:shd w:val="clear" w:color="auto" w:fill="auto"/>
          </w:tcPr>
          <w:p w:rsidR="009C783E" w:rsidRPr="00F300A1" w:rsidRDefault="009C783E" w:rsidP="009C783E">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9C783E" w:rsidRPr="00511376" w:rsidRDefault="009C783E" w:rsidP="009C783E">
            <w:pPr>
              <w:pStyle w:val="Default"/>
              <w:jc w:val="both"/>
              <w:rPr>
                <w:rFonts w:ascii="Calibri" w:hAnsi="Calibri" w:cs="Calibri"/>
                <w:sz w:val="22"/>
                <w:szCs w:val="22"/>
              </w:rPr>
            </w:pPr>
            <w:r w:rsidRPr="009F1D16">
              <w:rPr>
                <w:rFonts w:ascii="Calibri" w:hAnsi="Calibri" w:cs="Calibri"/>
                <w:sz w:val="22"/>
                <w:szCs w:val="22"/>
              </w:rPr>
              <w:t xml:space="preserve">The Board Assurance Framework contains key risks linked to </w:t>
            </w:r>
            <w:r>
              <w:rPr>
                <w:rFonts w:ascii="Calibri" w:hAnsi="Calibri" w:cs="Calibri"/>
                <w:sz w:val="22"/>
                <w:szCs w:val="22"/>
              </w:rPr>
              <w:t>communications and engagement</w:t>
            </w:r>
          </w:p>
        </w:tc>
      </w:tr>
      <w:tr w:rsidR="009C783E" w:rsidRPr="000D1B0D" w:rsidTr="00144ED4">
        <w:trPr>
          <w:trHeight w:val="86"/>
        </w:trPr>
        <w:tc>
          <w:tcPr>
            <w:tcW w:w="1183" w:type="pct"/>
            <w:shd w:val="clear" w:color="auto" w:fill="D9D9D9"/>
          </w:tcPr>
          <w:p w:rsidR="009C783E" w:rsidRPr="000D1B0D" w:rsidRDefault="009C783E" w:rsidP="009C783E">
            <w:pPr>
              <w:pStyle w:val="Default"/>
              <w:jc w:val="both"/>
              <w:rPr>
                <w:rFonts w:ascii="Calibri" w:hAnsi="Calibri" w:cs="Calibri"/>
                <w:b/>
                <w:sz w:val="20"/>
                <w:szCs w:val="20"/>
              </w:rPr>
            </w:pPr>
          </w:p>
        </w:tc>
        <w:tc>
          <w:tcPr>
            <w:tcW w:w="3817" w:type="pct"/>
            <w:shd w:val="clear" w:color="auto" w:fill="D9D9D9"/>
          </w:tcPr>
          <w:p w:rsidR="009C783E" w:rsidRPr="000D1B0D" w:rsidRDefault="009C783E" w:rsidP="009C783E">
            <w:pPr>
              <w:pStyle w:val="Default"/>
              <w:jc w:val="both"/>
              <w:rPr>
                <w:rFonts w:ascii="Calibri" w:hAnsi="Calibri" w:cs="Calibri"/>
                <w:sz w:val="20"/>
                <w:szCs w:val="20"/>
              </w:rPr>
            </w:pPr>
          </w:p>
        </w:tc>
      </w:tr>
      <w:tr w:rsidR="009C783E" w:rsidRPr="000D1B0D" w:rsidTr="00144ED4">
        <w:tc>
          <w:tcPr>
            <w:tcW w:w="1183" w:type="pct"/>
            <w:shd w:val="clear" w:color="auto" w:fill="auto"/>
          </w:tcPr>
          <w:p w:rsidR="009C783E" w:rsidRPr="000D1B0D" w:rsidRDefault="009C783E" w:rsidP="009C783E">
            <w:pPr>
              <w:pStyle w:val="Default"/>
              <w:rPr>
                <w:rFonts w:ascii="Calibri" w:hAnsi="Calibri" w:cs="Calibri"/>
                <w:b/>
                <w:sz w:val="20"/>
                <w:szCs w:val="20"/>
              </w:rPr>
            </w:pPr>
            <w:r w:rsidRPr="000D1B0D">
              <w:rPr>
                <w:rFonts w:ascii="Calibri" w:hAnsi="Calibri" w:cs="Calibri"/>
                <w:b/>
                <w:sz w:val="20"/>
                <w:szCs w:val="20"/>
              </w:rPr>
              <w:t>Conflict</w:t>
            </w:r>
            <w:r>
              <w:rPr>
                <w:rFonts w:ascii="Calibri" w:hAnsi="Calibri" w:cs="Calibri"/>
                <w:b/>
                <w:sz w:val="20"/>
                <w:szCs w:val="20"/>
              </w:rPr>
              <w:t>s of Interest</w:t>
            </w:r>
            <w:r w:rsidRPr="000D1B0D">
              <w:rPr>
                <w:rFonts w:ascii="Calibri" w:hAnsi="Calibri" w:cs="Calibri"/>
                <w:b/>
                <w:sz w:val="20"/>
                <w:szCs w:val="20"/>
              </w:rPr>
              <w:t xml:space="preserve"> </w:t>
            </w:r>
          </w:p>
          <w:p w:rsidR="009C783E" w:rsidRPr="00C450D4" w:rsidRDefault="009C783E" w:rsidP="009C783E">
            <w:pPr>
              <w:pStyle w:val="Default"/>
              <w:rPr>
                <w:rFonts w:ascii="Calibri" w:hAnsi="Calibri" w:cs="Calibri"/>
                <w:i/>
                <w:sz w:val="20"/>
                <w:szCs w:val="20"/>
              </w:rPr>
            </w:pPr>
          </w:p>
        </w:tc>
        <w:tc>
          <w:tcPr>
            <w:tcW w:w="3817" w:type="pct"/>
            <w:shd w:val="clear" w:color="auto" w:fill="auto"/>
          </w:tcPr>
          <w:p w:rsidR="009C783E" w:rsidRPr="00290643" w:rsidRDefault="009C783E" w:rsidP="009C783E">
            <w:pPr>
              <w:pStyle w:val="Default"/>
              <w:jc w:val="both"/>
              <w:rPr>
                <w:rFonts w:ascii="Calibri" w:hAnsi="Calibri" w:cs="Calibri"/>
                <w:i/>
                <w:sz w:val="22"/>
                <w:szCs w:val="22"/>
              </w:rPr>
            </w:pPr>
            <w:r w:rsidRPr="00290643">
              <w:rPr>
                <w:rFonts w:ascii="Calibri" w:hAnsi="Calibri" w:cs="Calibri"/>
                <w:i/>
                <w:sz w:val="22"/>
                <w:szCs w:val="22"/>
              </w:rPr>
              <w:t xml:space="preserve">Have all conflicts and potential conflicts of interest been appropriately declared and entered in registers which are publicly available?   </w:t>
            </w:r>
            <w:r w:rsidRPr="00290643">
              <w:rPr>
                <w:rFonts w:ascii="Calibri" w:hAnsi="Calibri" w:cs="Calibri"/>
                <w:i/>
                <w:color w:val="FF0000"/>
                <w:sz w:val="22"/>
                <w:szCs w:val="22"/>
              </w:rPr>
              <w:t xml:space="preserve"> </w:t>
            </w:r>
            <w:r w:rsidRPr="00290643">
              <w:rPr>
                <w:rFonts w:ascii="Calibri" w:hAnsi="Calibri" w:cs="Calibri"/>
                <w:i/>
                <w:sz w:val="22"/>
                <w:szCs w:val="22"/>
              </w:rPr>
              <w:t xml:space="preserve">        </w:t>
            </w:r>
          </w:p>
          <w:p w:rsidR="009C783E" w:rsidRDefault="009C783E" w:rsidP="009C783E">
            <w:pPr>
              <w:pStyle w:val="Default"/>
              <w:jc w:val="both"/>
              <w:rPr>
                <w:rFonts w:ascii="Calibri" w:hAnsi="Calibri" w:cs="Calibri"/>
                <w:b/>
                <w:sz w:val="20"/>
                <w:szCs w:val="20"/>
              </w:rPr>
            </w:pPr>
          </w:p>
          <w:p w:rsidR="009C783E" w:rsidRDefault="00061992" w:rsidP="009C783E">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9C783E">
                  <w:rPr>
                    <w:rFonts w:ascii="MS Gothic" w:eastAsia="MS Gothic" w:hAnsi="MS Gothic" w:cs="Calibri" w:hint="eastAsia"/>
                    <w:sz w:val="20"/>
                    <w:szCs w:val="20"/>
                  </w:rPr>
                  <w:t>☒</w:t>
                </w:r>
              </w:sdtContent>
            </w:sdt>
            <w:r w:rsidR="009C783E" w:rsidRPr="006C1307">
              <w:rPr>
                <w:rFonts w:ascii="Calibri" w:hAnsi="Calibri" w:cs="Calibri"/>
                <w:sz w:val="20"/>
                <w:szCs w:val="20"/>
              </w:rPr>
              <w:t xml:space="preserve">  Yes</w:t>
            </w:r>
            <w:r w:rsidR="009C783E">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9C783E">
                  <w:rPr>
                    <w:rFonts w:ascii="MS Gothic" w:eastAsia="MS Gothic" w:hAnsi="MS Gothic" w:cs="Calibri" w:hint="eastAsia"/>
                    <w:sz w:val="20"/>
                    <w:szCs w:val="20"/>
                  </w:rPr>
                  <w:t>☐</w:t>
                </w:r>
              </w:sdtContent>
            </w:sdt>
            <w:r w:rsidR="009C783E">
              <w:rPr>
                <w:rFonts w:ascii="Calibri" w:hAnsi="Calibri" w:cs="Calibri"/>
                <w:sz w:val="20"/>
                <w:szCs w:val="20"/>
              </w:rPr>
              <w:t xml:space="preserve">  No</w:t>
            </w:r>
          </w:p>
          <w:p w:rsidR="009C783E" w:rsidRDefault="009C783E" w:rsidP="009C783E">
            <w:pPr>
              <w:pStyle w:val="Default"/>
              <w:tabs>
                <w:tab w:val="left" w:pos="936"/>
              </w:tabs>
              <w:jc w:val="both"/>
              <w:rPr>
                <w:rFonts w:ascii="Calibri" w:hAnsi="Calibri" w:cs="Calibri"/>
                <w:sz w:val="20"/>
                <w:szCs w:val="20"/>
              </w:rPr>
            </w:pPr>
          </w:p>
          <w:p w:rsidR="009C783E" w:rsidRPr="00290643" w:rsidRDefault="009C783E" w:rsidP="009C783E">
            <w:pPr>
              <w:pStyle w:val="Default"/>
              <w:tabs>
                <w:tab w:val="left" w:pos="936"/>
              </w:tabs>
              <w:jc w:val="both"/>
              <w:rPr>
                <w:rFonts w:ascii="Calibri" w:hAnsi="Calibri" w:cs="Calibri"/>
                <w:sz w:val="22"/>
                <w:szCs w:val="22"/>
              </w:rPr>
            </w:pPr>
            <w:r w:rsidRPr="00290643">
              <w:rPr>
                <w:rFonts w:ascii="Calibri" w:hAnsi="Calibri" w:cs="Calibri"/>
                <w:sz w:val="22"/>
                <w:szCs w:val="22"/>
              </w:rPr>
              <w:t xml:space="preserve">No known conflicts of interest </w:t>
            </w:r>
            <w:r>
              <w:rPr>
                <w:rFonts w:ascii="Calibri" w:hAnsi="Calibri" w:cs="Calibri"/>
                <w:sz w:val="22"/>
                <w:szCs w:val="22"/>
              </w:rPr>
              <w:t>identified.</w:t>
            </w:r>
          </w:p>
          <w:p w:rsidR="009C783E" w:rsidRPr="00290643" w:rsidRDefault="009C783E" w:rsidP="009C783E">
            <w:pPr>
              <w:pStyle w:val="Default"/>
              <w:tabs>
                <w:tab w:val="left" w:pos="936"/>
              </w:tabs>
              <w:jc w:val="both"/>
              <w:rPr>
                <w:rFonts w:ascii="Calibri" w:hAnsi="Calibri" w:cs="Calibri"/>
                <w:sz w:val="22"/>
                <w:szCs w:val="22"/>
              </w:rPr>
            </w:pPr>
          </w:p>
          <w:p w:rsidR="009C783E" w:rsidRPr="000D1B0D" w:rsidRDefault="009C783E" w:rsidP="009C783E">
            <w:pPr>
              <w:pStyle w:val="Default"/>
              <w:tabs>
                <w:tab w:val="left" w:pos="936"/>
              </w:tabs>
              <w:jc w:val="both"/>
              <w:rPr>
                <w:rFonts w:ascii="Calibri" w:hAnsi="Calibri" w:cs="Calibri"/>
                <w:sz w:val="20"/>
                <w:szCs w:val="20"/>
              </w:rPr>
            </w:pPr>
            <w:r w:rsidRPr="00290643">
              <w:rPr>
                <w:rFonts w:ascii="Calibri" w:hAnsi="Calibri" w:cs="Calibri"/>
                <w:sz w:val="22"/>
                <w:szCs w:val="22"/>
              </w:rPr>
              <w:t>Any interests which are declared at a meeting will be included on the CCG’s Declaration of interest Register</w:t>
            </w:r>
            <w:r w:rsidRPr="00290643">
              <w:rPr>
                <w:rFonts w:ascii="Calibri" w:hAnsi="Calibri" w:cs="Calibri"/>
                <w:sz w:val="20"/>
                <w:szCs w:val="20"/>
              </w:rPr>
              <w:t>.</w:t>
            </w:r>
          </w:p>
        </w:tc>
      </w:tr>
      <w:tr w:rsidR="009C783E" w:rsidRPr="000D1B0D" w:rsidTr="00144ED4">
        <w:tc>
          <w:tcPr>
            <w:tcW w:w="1183" w:type="pct"/>
            <w:shd w:val="clear" w:color="auto" w:fill="auto"/>
          </w:tcPr>
          <w:p w:rsidR="009C783E" w:rsidRPr="006330C7" w:rsidRDefault="009C783E" w:rsidP="009C783E">
            <w:pPr>
              <w:pStyle w:val="Default"/>
              <w:rPr>
                <w:rFonts w:ascii="Calibri" w:hAnsi="Calibri" w:cs="Calibri"/>
                <w:b/>
                <w:sz w:val="20"/>
                <w:szCs w:val="20"/>
              </w:rPr>
            </w:pPr>
            <w:r>
              <w:rPr>
                <w:rFonts w:ascii="Calibri" w:hAnsi="Calibri" w:cs="Calibri"/>
                <w:b/>
                <w:sz w:val="20"/>
                <w:szCs w:val="20"/>
              </w:rPr>
              <w:t>Links to CCG’s Strategic Objectives</w:t>
            </w:r>
          </w:p>
        </w:tc>
        <w:tc>
          <w:tcPr>
            <w:tcW w:w="3817" w:type="pct"/>
            <w:shd w:val="clear" w:color="auto" w:fill="auto"/>
          </w:tcPr>
          <w:p w:rsidR="009C783E" w:rsidRDefault="00061992" w:rsidP="009C783E">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009C783E">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009C783E">
              <w:rPr>
                <w:rFonts w:ascii="Calibri" w:hAnsi="Calibri" w:cs="Calibri"/>
                <w:sz w:val="22"/>
                <w:szCs w:val="22"/>
              </w:rPr>
              <w:t xml:space="preserve"> Empowering people</w:t>
            </w:r>
          </w:p>
          <w:p w:rsidR="009C783E" w:rsidRPr="006330C7" w:rsidRDefault="00061992" w:rsidP="009C783E">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009C783E">
              <w:rPr>
                <w:rFonts w:ascii="Calibri" w:hAnsi="Calibri" w:cs="Calibri"/>
                <w:sz w:val="22"/>
                <w:szCs w:val="22"/>
              </w:rPr>
              <w:t xml:space="preserve"> Supporting communities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9C783E">
                  <w:rPr>
                    <w:rFonts w:ascii="MS Gothic" w:eastAsia="MS Gothic" w:hAnsi="MS Gothic" w:cs="Calibri" w:hint="eastAsia"/>
                    <w:sz w:val="22"/>
                    <w:szCs w:val="22"/>
                  </w:rPr>
                  <w:t>☒</w:t>
                </w:r>
              </w:sdtContent>
            </w:sdt>
            <w:r w:rsidR="009C783E">
              <w:rPr>
                <w:rFonts w:ascii="Calibri" w:hAnsi="Calibri" w:cs="Calibri"/>
                <w:sz w:val="22"/>
                <w:szCs w:val="22"/>
              </w:rPr>
              <w:t xml:space="preserve"> Delivering a fit for purpose organisation</w:t>
            </w:r>
          </w:p>
        </w:tc>
      </w:tr>
      <w:tr w:rsidR="009C783E" w:rsidRPr="000D1B0D" w:rsidTr="00144ED4">
        <w:tc>
          <w:tcPr>
            <w:tcW w:w="1183" w:type="pct"/>
            <w:shd w:val="clear" w:color="auto" w:fill="auto"/>
          </w:tcPr>
          <w:p w:rsidR="009C783E" w:rsidRPr="000D1B0D" w:rsidRDefault="009C783E" w:rsidP="009C783E">
            <w:pPr>
              <w:pStyle w:val="Default"/>
              <w:jc w:val="both"/>
              <w:rPr>
                <w:rFonts w:ascii="Calibri" w:hAnsi="Calibri" w:cs="Calibri"/>
                <w:b/>
                <w:sz w:val="20"/>
                <w:szCs w:val="20"/>
              </w:rPr>
            </w:pPr>
            <w:r w:rsidRPr="000D1B0D">
              <w:rPr>
                <w:rFonts w:ascii="Calibri" w:hAnsi="Calibri" w:cs="Calibri"/>
                <w:b/>
                <w:sz w:val="20"/>
                <w:szCs w:val="20"/>
              </w:rPr>
              <w:t>NHS Constitution:</w:t>
            </w:r>
          </w:p>
          <w:p w:rsidR="009C783E" w:rsidRPr="0009052F" w:rsidRDefault="009C783E" w:rsidP="009C783E">
            <w:pPr>
              <w:pStyle w:val="Default"/>
              <w:rPr>
                <w:rFonts w:ascii="Calibri" w:hAnsi="Calibri" w:cs="Calibri"/>
                <w:i/>
                <w:sz w:val="20"/>
                <w:szCs w:val="20"/>
              </w:rPr>
            </w:pPr>
          </w:p>
        </w:tc>
        <w:tc>
          <w:tcPr>
            <w:tcW w:w="3817" w:type="pct"/>
            <w:shd w:val="clear" w:color="auto" w:fill="auto"/>
          </w:tcPr>
          <w:p w:rsidR="009C783E" w:rsidRDefault="00061992" w:rsidP="009C783E">
            <w:pPr>
              <w:pStyle w:val="Default"/>
              <w:jc w:val="both"/>
              <w:rPr>
                <w:rFonts w:ascii="Calibri" w:hAnsi="Calibri" w:cs="Calibri"/>
                <w:sz w:val="20"/>
                <w:szCs w:val="20"/>
              </w:rPr>
            </w:pPr>
            <w:hyperlink r:id="rId9" w:history="1">
              <w:r w:rsidR="009C783E" w:rsidRPr="009D45D5">
                <w:rPr>
                  <w:rStyle w:val="Hyperlink"/>
                  <w:rFonts w:ascii="Calibri" w:hAnsi="Calibri" w:cs="Calibri"/>
                  <w:sz w:val="20"/>
                  <w:szCs w:val="20"/>
                </w:rPr>
                <w:t>https://www.gov.uk/government/publications/the-nhs-constitution-for-england</w:t>
              </w:r>
            </w:hyperlink>
          </w:p>
          <w:p w:rsidR="009C783E" w:rsidRDefault="009C783E" w:rsidP="009C783E">
            <w:pPr>
              <w:pStyle w:val="Default"/>
              <w:jc w:val="both"/>
              <w:rPr>
                <w:rFonts w:ascii="Calibri" w:hAnsi="Calibri" w:cs="Calibri"/>
                <w:sz w:val="20"/>
                <w:szCs w:val="20"/>
              </w:rPr>
            </w:pPr>
          </w:p>
          <w:p w:rsidR="009C783E" w:rsidRPr="000D1B0D" w:rsidRDefault="009C783E" w:rsidP="009C783E">
            <w:pPr>
              <w:pStyle w:val="Default"/>
              <w:jc w:val="both"/>
              <w:rPr>
                <w:rFonts w:ascii="Calibri" w:hAnsi="Calibri" w:cs="Calibri"/>
                <w:sz w:val="20"/>
                <w:szCs w:val="20"/>
              </w:rPr>
            </w:pPr>
          </w:p>
        </w:tc>
      </w:tr>
      <w:tr w:rsidR="009C783E" w:rsidRPr="000D1B0D" w:rsidTr="00144ED4">
        <w:tc>
          <w:tcPr>
            <w:tcW w:w="1183" w:type="pct"/>
            <w:shd w:val="clear" w:color="auto" w:fill="auto"/>
          </w:tcPr>
          <w:p w:rsidR="009C783E" w:rsidRPr="000D1B0D" w:rsidRDefault="009C783E" w:rsidP="009C783E">
            <w:pPr>
              <w:pStyle w:val="Default"/>
              <w:rPr>
                <w:rFonts w:ascii="Calibri" w:hAnsi="Calibri" w:cs="Calibri"/>
                <w:b/>
                <w:sz w:val="20"/>
                <w:szCs w:val="20"/>
              </w:rPr>
            </w:pPr>
            <w:r w:rsidRPr="000D1B0D">
              <w:rPr>
                <w:rFonts w:ascii="Calibri" w:hAnsi="Calibri" w:cs="Calibri"/>
                <w:b/>
                <w:sz w:val="20"/>
                <w:szCs w:val="20"/>
              </w:rPr>
              <w:t>Appendices / attachments</w:t>
            </w:r>
          </w:p>
          <w:p w:rsidR="009C783E" w:rsidRPr="000D1B0D" w:rsidRDefault="009C783E" w:rsidP="009C783E">
            <w:pPr>
              <w:pStyle w:val="Default"/>
              <w:rPr>
                <w:rFonts w:ascii="Calibri" w:hAnsi="Calibri" w:cs="Calibri"/>
                <w:b/>
                <w:sz w:val="20"/>
                <w:szCs w:val="20"/>
              </w:rPr>
            </w:pPr>
          </w:p>
        </w:tc>
        <w:bookmarkStart w:id="1" w:name="_MON_1613903508"/>
        <w:bookmarkEnd w:id="1"/>
        <w:tc>
          <w:tcPr>
            <w:tcW w:w="3817" w:type="pct"/>
            <w:shd w:val="clear" w:color="auto" w:fill="auto"/>
          </w:tcPr>
          <w:p w:rsidR="009C783E" w:rsidRPr="00ED6CD2" w:rsidRDefault="00E97305" w:rsidP="009C783E">
            <w:pPr>
              <w:pStyle w:val="Default"/>
              <w:jc w:val="both"/>
              <w:rPr>
                <w:rFonts w:ascii="Calibri" w:hAnsi="Calibri" w:cs="Calibri"/>
                <w:sz w:val="22"/>
                <w:szCs w:val="22"/>
              </w:rPr>
            </w:pPr>
            <w:r>
              <w:rPr>
                <w:rFonts w:ascii="Calibri" w:hAnsi="Calibri" w:cs="Calibri"/>
                <w:sz w:val="22"/>
                <w:szCs w:val="22"/>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Word.Document.8" ShapeID="_x0000_i1025" DrawAspect="Icon" ObjectID="_1614772361" r:id="rId11">
                  <o:FieldCodes>\s</o:FieldCodes>
                </o:OLEObject>
              </w:object>
            </w:r>
          </w:p>
        </w:tc>
      </w:tr>
    </w:tbl>
    <w:p w:rsidR="009D4EDC" w:rsidRDefault="009D4EDC" w:rsidP="00D3211A">
      <w:pPr>
        <w:pStyle w:val="Default"/>
        <w:jc w:val="both"/>
        <w:rPr>
          <w:rFonts w:ascii="Calibri" w:hAnsi="Calibri" w:cs="Calibri"/>
          <w:sz w:val="20"/>
          <w:szCs w:val="20"/>
        </w:rPr>
      </w:pPr>
    </w:p>
    <w:p w:rsidR="00204D22" w:rsidRDefault="00204D22" w:rsidP="00D3211A">
      <w:pPr>
        <w:pStyle w:val="Default"/>
        <w:jc w:val="both"/>
        <w:rPr>
          <w:rFonts w:ascii="Calibri" w:hAnsi="Calibri" w:cs="Calibri"/>
          <w:sz w:val="20"/>
          <w:szCs w:val="20"/>
        </w:rPr>
        <w:sectPr w:rsidR="00204D22" w:rsidSect="00144ED4">
          <w:headerReference w:type="default" r:id="rId12"/>
          <w:footerReference w:type="default" r:id="rId13"/>
          <w:pgSz w:w="11900" w:h="16840"/>
          <w:pgMar w:top="567" w:right="567" w:bottom="567" w:left="567" w:header="0" w:footer="1134" w:gutter="0"/>
          <w:cols w:space="708"/>
        </w:sectPr>
      </w:pPr>
    </w:p>
    <w:p w:rsidR="00893409" w:rsidRDefault="00893409" w:rsidP="00D3211A">
      <w:pPr>
        <w:pStyle w:val="Default"/>
        <w:jc w:val="both"/>
        <w:rPr>
          <w:rFonts w:ascii="Calibri" w:hAnsi="Calibri" w:cs="Calibri"/>
          <w:sz w:val="20"/>
          <w:szCs w:val="20"/>
        </w:rPr>
      </w:pPr>
    </w:p>
    <w:p w:rsidR="00204D22" w:rsidRPr="008970F3" w:rsidRDefault="00204D22" w:rsidP="00204D22">
      <w:pPr>
        <w:pStyle w:val="Default"/>
        <w:jc w:val="center"/>
        <w:rPr>
          <w:rFonts w:asciiTheme="minorHAnsi" w:hAnsiTheme="minorHAnsi"/>
          <w:b/>
          <w:sz w:val="28"/>
          <w:szCs w:val="28"/>
        </w:rPr>
      </w:pPr>
      <w:r>
        <w:rPr>
          <w:rFonts w:asciiTheme="minorHAnsi" w:hAnsiTheme="minorHAnsi"/>
          <w:b/>
          <w:sz w:val="28"/>
          <w:szCs w:val="28"/>
        </w:rPr>
        <w:t xml:space="preserve">Board Assurance Framework </w:t>
      </w:r>
    </w:p>
    <w:p w:rsidR="00204D22" w:rsidRPr="008970F3" w:rsidRDefault="00204D22" w:rsidP="00204D22">
      <w:pPr>
        <w:pStyle w:val="Default"/>
        <w:jc w:val="center"/>
        <w:rPr>
          <w:rFonts w:asciiTheme="minorHAnsi" w:hAnsiTheme="minorHAnsi"/>
          <w:b/>
          <w:sz w:val="28"/>
          <w:szCs w:val="28"/>
        </w:rPr>
      </w:pPr>
    </w:p>
    <w:p w:rsidR="00204D22" w:rsidRPr="008970F3" w:rsidRDefault="00204D22" w:rsidP="00204D22">
      <w:pPr>
        <w:pStyle w:val="Default"/>
        <w:jc w:val="center"/>
        <w:rPr>
          <w:rFonts w:asciiTheme="minorHAnsi" w:hAnsiTheme="minorHAnsi"/>
          <w:b/>
          <w:sz w:val="28"/>
          <w:szCs w:val="28"/>
        </w:rPr>
      </w:pPr>
      <w:r>
        <w:rPr>
          <w:rFonts w:asciiTheme="minorHAnsi" w:hAnsiTheme="minorHAnsi"/>
          <w:b/>
          <w:sz w:val="28"/>
          <w:szCs w:val="28"/>
        </w:rPr>
        <w:t>March</w:t>
      </w:r>
      <w:r w:rsidRPr="008970F3">
        <w:rPr>
          <w:rFonts w:asciiTheme="minorHAnsi" w:hAnsiTheme="minorHAnsi"/>
          <w:b/>
          <w:sz w:val="28"/>
          <w:szCs w:val="28"/>
        </w:rPr>
        <w:t xml:space="preserve"> 201</w:t>
      </w:r>
      <w:r>
        <w:rPr>
          <w:rFonts w:asciiTheme="minorHAnsi" w:hAnsiTheme="minorHAnsi"/>
          <w:b/>
          <w:sz w:val="28"/>
          <w:szCs w:val="28"/>
        </w:rPr>
        <w:t>9</w:t>
      </w:r>
    </w:p>
    <w:p w:rsidR="00204D22" w:rsidRDefault="00204D22" w:rsidP="00204D22">
      <w:pPr>
        <w:pStyle w:val="Default"/>
        <w:rPr>
          <w:rFonts w:ascii="Calibri" w:hAnsi="Calibri" w:cs="Calibri"/>
          <w:b/>
          <w:sz w:val="20"/>
          <w:szCs w:val="20"/>
        </w:rPr>
      </w:pPr>
    </w:p>
    <w:p w:rsidR="00204D22" w:rsidRPr="005F4ACE" w:rsidRDefault="00204D22" w:rsidP="00204D22">
      <w:pPr>
        <w:pStyle w:val="Default"/>
        <w:rPr>
          <w:rFonts w:ascii="Calibri" w:hAnsi="Calibri" w:cs="Calibri"/>
          <w:b/>
        </w:rPr>
      </w:pPr>
      <w:r w:rsidRPr="005F4ACE">
        <w:rPr>
          <w:rFonts w:ascii="Calibri" w:hAnsi="Calibri" w:cs="Calibri"/>
          <w:b/>
        </w:rPr>
        <w:t>Introduction</w:t>
      </w:r>
    </w:p>
    <w:p w:rsidR="00204D22" w:rsidRDefault="00204D22" w:rsidP="00204D22">
      <w:pPr>
        <w:pStyle w:val="Default"/>
        <w:jc w:val="both"/>
        <w:rPr>
          <w:rFonts w:ascii="Calibri" w:hAnsi="Calibri" w:cs="Calibri"/>
        </w:rPr>
      </w:pPr>
    </w:p>
    <w:p w:rsidR="00204D22" w:rsidRPr="005F4ACE" w:rsidRDefault="00204D22" w:rsidP="00204D22">
      <w:pPr>
        <w:pStyle w:val="Default"/>
        <w:jc w:val="both"/>
        <w:rPr>
          <w:rFonts w:ascii="Calibri" w:hAnsi="Calibri" w:cs="Calibri"/>
          <w:sz w:val="22"/>
          <w:szCs w:val="22"/>
        </w:rPr>
      </w:pPr>
      <w:r w:rsidRPr="005F4ACE">
        <w:rPr>
          <w:rFonts w:ascii="Calibri" w:hAnsi="Calibri" w:cs="Calibri"/>
          <w:sz w:val="22"/>
          <w:szCs w:val="22"/>
        </w:rPr>
        <w:t xml:space="preserve">The CCG </w:t>
      </w:r>
      <w:r w:rsidR="001824DB">
        <w:rPr>
          <w:rFonts w:ascii="Calibri" w:hAnsi="Calibri" w:cs="Calibri"/>
          <w:sz w:val="22"/>
          <w:szCs w:val="22"/>
        </w:rPr>
        <w:t xml:space="preserve">Governing Body </w:t>
      </w:r>
      <w:r w:rsidRPr="005F4ACE">
        <w:rPr>
          <w:rFonts w:ascii="Calibri" w:hAnsi="Calibri" w:cs="Calibri"/>
          <w:sz w:val="22"/>
          <w:szCs w:val="22"/>
        </w:rPr>
        <w:t>monitors the achievement of its strategic and business objectives; the Board Assurance Framework captures how assurance has been received by the CCG and whether it militates against the risks that the CCGs objectives might not be achieved.</w:t>
      </w:r>
    </w:p>
    <w:p w:rsidR="00204D22" w:rsidRPr="005F4ACE" w:rsidRDefault="00204D22" w:rsidP="00204D22">
      <w:pPr>
        <w:pStyle w:val="Default"/>
        <w:jc w:val="both"/>
        <w:rPr>
          <w:rFonts w:ascii="Calibri" w:hAnsi="Calibri" w:cs="Calibri"/>
          <w:sz w:val="22"/>
          <w:szCs w:val="22"/>
        </w:rPr>
      </w:pPr>
    </w:p>
    <w:p w:rsidR="00204D22" w:rsidRPr="005F4ACE" w:rsidRDefault="00204D22" w:rsidP="00204D22">
      <w:pPr>
        <w:pStyle w:val="Default"/>
        <w:jc w:val="both"/>
        <w:rPr>
          <w:rFonts w:ascii="Calibri" w:hAnsi="Calibri" w:cs="Calibri"/>
          <w:sz w:val="22"/>
          <w:szCs w:val="22"/>
        </w:rPr>
      </w:pPr>
      <w:r w:rsidRPr="005F4ACE">
        <w:rPr>
          <w:rFonts w:ascii="Calibri" w:hAnsi="Calibri" w:cs="Calibri"/>
          <w:sz w:val="22"/>
          <w:szCs w:val="22"/>
        </w:rPr>
        <w:t xml:space="preserve">The CCG </w:t>
      </w:r>
      <w:r w:rsidR="001824DB">
        <w:rPr>
          <w:rFonts w:ascii="Calibri" w:hAnsi="Calibri" w:cs="Calibri"/>
          <w:sz w:val="22"/>
          <w:szCs w:val="22"/>
        </w:rPr>
        <w:t>Governing Body</w:t>
      </w:r>
      <w:r w:rsidRPr="005F4ACE">
        <w:rPr>
          <w:rFonts w:ascii="Calibri" w:hAnsi="Calibri" w:cs="Calibri"/>
          <w:sz w:val="22"/>
          <w:szCs w:val="22"/>
        </w:rPr>
        <w:t xml:space="preserve"> should have the opportunity during the financial year to monitor the assurance it has received and identify any gaps that should be addressed in order to be assured.</w:t>
      </w:r>
      <w:r w:rsidR="001824DB">
        <w:rPr>
          <w:rFonts w:ascii="Calibri" w:hAnsi="Calibri" w:cs="Calibri"/>
          <w:sz w:val="22"/>
          <w:szCs w:val="22"/>
        </w:rPr>
        <w:t xml:space="preserve">  </w:t>
      </w:r>
      <w:r w:rsidR="001824DB" w:rsidRPr="001824DB">
        <w:rPr>
          <w:rFonts w:ascii="Calibri" w:hAnsi="Calibri" w:cs="Calibri"/>
          <w:sz w:val="22"/>
          <w:szCs w:val="22"/>
        </w:rPr>
        <w:t xml:space="preserve">Where gaps are identified, or key controls and assurances are insufficient to reduce the risk of non-delivery, action needs to be taken. Planned actions will enable the Governing Body to monitor progress in addressing gaps or weaknesses and to ensure that resources are allocated appropriately. </w:t>
      </w:r>
    </w:p>
    <w:p w:rsidR="00204D22" w:rsidRPr="005F4ACE" w:rsidRDefault="00204D22" w:rsidP="00204D22">
      <w:pPr>
        <w:pStyle w:val="Default"/>
        <w:jc w:val="both"/>
        <w:rPr>
          <w:rFonts w:ascii="Calibri" w:hAnsi="Calibri" w:cs="Calibri"/>
          <w:sz w:val="22"/>
          <w:szCs w:val="22"/>
        </w:rPr>
      </w:pPr>
    </w:p>
    <w:p w:rsidR="00204D22" w:rsidRPr="005F4ACE" w:rsidRDefault="00204D22" w:rsidP="00204D22">
      <w:pPr>
        <w:pStyle w:val="Default"/>
        <w:jc w:val="both"/>
        <w:rPr>
          <w:rFonts w:ascii="Calibri" w:hAnsi="Calibri" w:cs="Calibri"/>
          <w:sz w:val="22"/>
          <w:szCs w:val="22"/>
        </w:rPr>
      </w:pPr>
      <w:r w:rsidRPr="005F4ACE">
        <w:rPr>
          <w:rFonts w:ascii="Calibri" w:hAnsi="Calibri" w:cs="Calibri"/>
          <w:sz w:val="22"/>
          <w:szCs w:val="22"/>
        </w:rPr>
        <w:t>The Board Assurance Framework domains are set out as per NHS England’s CCG impro</w:t>
      </w:r>
      <w:r w:rsidR="001824DB">
        <w:rPr>
          <w:rFonts w:ascii="Calibri" w:hAnsi="Calibri" w:cs="Calibri"/>
          <w:sz w:val="22"/>
          <w:szCs w:val="22"/>
        </w:rPr>
        <w:t>vement and assessment framework.</w:t>
      </w:r>
    </w:p>
    <w:p w:rsidR="00204D22" w:rsidRPr="005F4ACE" w:rsidRDefault="00204D22" w:rsidP="00204D22">
      <w:pPr>
        <w:pStyle w:val="Default"/>
        <w:jc w:val="both"/>
        <w:rPr>
          <w:rFonts w:ascii="Calibri" w:hAnsi="Calibri" w:cs="Calibri"/>
          <w:sz w:val="22"/>
          <w:szCs w:val="22"/>
        </w:rPr>
      </w:pPr>
    </w:p>
    <w:p w:rsidR="00E97305" w:rsidRPr="00E97305" w:rsidRDefault="00E97305" w:rsidP="00204D22">
      <w:pPr>
        <w:pStyle w:val="Default"/>
        <w:jc w:val="both"/>
        <w:rPr>
          <w:rFonts w:asciiTheme="minorHAnsi" w:hAnsiTheme="minorHAnsi" w:cstheme="minorHAnsi"/>
          <w:b/>
          <w:sz w:val="22"/>
          <w:szCs w:val="22"/>
        </w:rPr>
      </w:pPr>
      <w:r w:rsidRPr="00E97305">
        <w:rPr>
          <w:rFonts w:asciiTheme="minorHAnsi" w:hAnsiTheme="minorHAnsi" w:cstheme="minorHAnsi"/>
          <w:b/>
          <w:sz w:val="22"/>
          <w:szCs w:val="22"/>
        </w:rPr>
        <w:t xml:space="preserve">Assurance </w:t>
      </w:r>
    </w:p>
    <w:p w:rsidR="00E97305" w:rsidRDefault="001824DB" w:rsidP="00204D22">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w:t>
      </w:r>
      <w:r w:rsidR="00E97305" w:rsidRPr="00E97305">
        <w:rPr>
          <w:rFonts w:asciiTheme="minorHAnsi" w:hAnsiTheme="minorHAnsi" w:cstheme="minorHAnsi"/>
          <w:sz w:val="22"/>
          <w:szCs w:val="22"/>
        </w:rPr>
        <w:t>BAF provides the basis for the preparation of a fair and representative Annual Governance Statement. It is the subject of annual review by both Internal and External Audit</w:t>
      </w:r>
      <w:r>
        <w:rPr>
          <w:rFonts w:asciiTheme="minorHAnsi" w:hAnsiTheme="minorHAnsi" w:cstheme="minorHAnsi"/>
          <w:sz w:val="22"/>
          <w:szCs w:val="22"/>
        </w:rPr>
        <w:t>.</w:t>
      </w:r>
    </w:p>
    <w:p w:rsidR="001824DB" w:rsidRDefault="001824DB" w:rsidP="00204D22">
      <w:pPr>
        <w:pStyle w:val="Default"/>
        <w:jc w:val="both"/>
        <w:rPr>
          <w:rFonts w:asciiTheme="minorHAnsi" w:hAnsiTheme="minorHAnsi" w:cstheme="minorHAnsi"/>
          <w:sz w:val="22"/>
          <w:szCs w:val="22"/>
        </w:rPr>
      </w:pPr>
    </w:p>
    <w:p w:rsidR="001824DB" w:rsidRPr="00E97305" w:rsidRDefault="001824DB" w:rsidP="00204D22">
      <w:pPr>
        <w:pStyle w:val="Default"/>
        <w:jc w:val="both"/>
        <w:rPr>
          <w:rFonts w:asciiTheme="minorHAnsi" w:hAnsiTheme="minorHAnsi" w:cstheme="minorHAnsi"/>
          <w:b/>
          <w:sz w:val="22"/>
          <w:szCs w:val="22"/>
        </w:rPr>
      </w:pPr>
      <w:r>
        <w:rPr>
          <w:rFonts w:asciiTheme="minorHAnsi" w:hAnsiTheme="minorHAnsi" w:cstheme="minorHAnsi"/>
          <w:sz w:val="22"/>
          <w:szCs w:val="22"/>
        </w:rPr>
        <w:t>A recent internal audit of the CCG BAF took place in February 2019 and the audit provide substantial assurances with no recommendations.</w:t>
      </w:r>
    </w:p>
    <w:p w:rsidR="00E97305" w:rsidRDefault="00E97305" w:rsidP="00204D22">
      <w:pPr>
        <w:pStyle w:val="Default"/>
        <w:jc w:val="both"/>
        <w:rPr>
          <w:rFonts w:ascii="Calibri" w:hAnsi="Calibri" w:cs="Calibri"/>
          <w:b/>
        </w:rPr>
      </w:pPr>
    </w:p>
    <w:p w:rsidR="00204D22" w:rsidRPr="005F4ACE" w:rsidRDefault="00204D22" w:rsidP="00204D22">
      <w:pPr>
        <w:pStyle w:val="Default"/>
        <w:jc w:val="both"/>
        <w:rPr>
          <w:rFonts w:ascii="Calibri" w:hAnsi="Calibri" w:cs="Calibri"/>
          <w:b/>
        </w:rPr>
      </w:pPr>
      <w:r w:rsidRPr="005F4ACE">
        <w:rPr>
          <w:rFonts w:ascii="Calibri" w:hAnsi="Calibri" w:cs="Calibri"/>
          <w:b/>
        </w:rPr>
        <w:t>Key Progress 201</w:t>
      </w:r>
      <w:r w:rsidR="00681821">
        <w:rPr>
          <w:rFonts w:ascii="Calibri" w:hAnsi="Calibri" w:cs="Calibri"/>
          <w:b/>
        </w:rPr>
        <w:t>8</w:t>
      </w:r>
      <w:r w:rsidRPr="005F4ACE">
        <w:rPr>
          <w:rFonts w:ascii="Calibri" w:hAnsi="Calibri" w:cs="Calibri"/>
          <w:b/>
        </w:rPr>
        <w:t>/1</w:t>
      </w:r>
      <w:r w:rsidR="00681821">
        <w:rPr>
          <w:rFonts w:ascii="Calibri" w:hAnsi="Calibri" w:cs="Calibri"/>
          <w:b/>
        </w:rPr>
        <w:t>9</w:t>
      </w:r>
    </w:p>
    <w:p w:rsidR="00681821" w:rsidRDefault="00681821" w:rsidP="00681821">
      <w:pPr>
        <w:pStyle w:val="Default"/>
        <w:jc w:val="both"/>
        <w:rPr>
          <w:rFonts w:ascii="Calibri" w:hAnsi="Calibri" w:cs="Calibri"/>
          <w:sz w:val="22"/>
          <w:szCs w:val="22"/>
        </w:rPr>
      </w:pPr>
    </w:p>
    <w:p w:rsidR="00204D22" w:rsidRPr="005F4ACE" w:rsidRDefault="00681821" w:rsidP="00681821">
      <w:pPr>
        <w:pStyle w:val="Default"/>
        <w:jc w:val="both"/>
        <w:rPr>
          <w:rFonts w:ascii="Calibri" w:hAnsi="Calibri" w:cs="Calibri"/>
          <w:sz w:val="22"/>
          <w:szCs w:val="22"/>
        </w:rPr>
      </w:pPr>
      <w:r>
        <w:rPr>
          <w:rFonts w:ascii="Calibri" w:hAnsi="Calibri" w:cs="Calibri"/>
          <w:sz w:val="22"/>
          <w:szCs w:val="22"/>
        </w:rPr>
        <w:t xml:space="preserve">It is the responsibility of the </w:t>
      </w:r>
      <w:r w:rsidR="00204D22" w:rsidRPr="005F4ACE">
        <w:rPr>
          <w:rFonts w:ascii="Calibri" w:hAnsi="Calibri" w:cs="Calibri"/>
          <w:sz w:val="22"/>
          <w:szCs w:val="22"/>
        </w:rPr>
        <w:t xml:space="preserve">risk </w:t>
      </w:r>
      <w:r w:rsidRPr="005F4ACE">
        <w:rPr>
          <w:rFonts w:ascii="Calibri" w:hAnsi="Calibri" w:cs="Calibri"/>
          <w:sz w:val="22"/>
          <w:szCs w:val="22"/>
        </w:rPr>
        <w:t xml:space="preserve">assignees </w:t>
      </w:r>
      <w:r>
        <w:rPr>
          <w:rFonts w:ascii="Calibri" w:hAnsi="Calibri" w:cs="Calibri"/>
          <w:sz w:val="22"/>
          <w:szCs w:val="22"/>
        </w:rPr>
        <w:t xml:space="preserve">for each principal risk for </w:t>
      </w:r>
      <w:r w:rsidRPr="005F4ACE">
        <w:rPr>
          <w:rFonts w:ascii="Calibri" w:hAnsi="Calibri" w:cs="Calibri"/>
          <w:sz w:val="22"/>
          <w:szCs w:val="22"/>
        </w:rPr>
        <w:t>updating</w:t>
      </w:r>
      <w:r w:rsidR="00204D22" w:rsidRPr="005F4ACE">
        <w:rPr>
          <w:rFonts w:ascii="Calibri" w:hAnsi="Calibri" w:cs="Calibri"/>
          <w:sz w:val="22"/>
          <w:szCs w:val="22"/>
        </w:rPr>
        <w:t>, revi</w:t>
      </w:r>
      <w:r>
        <w:rPr>
          <w:rFonts w:ascii="Calibri" w:hAnsi="Calibri" w:cs="Calibri"/>
          <w:sz w:val="22"/>
          <w:szCs w:val="22"/>
        </w:rPr>
        <w:t xml:space="preserve">ewing and managing their risks.   The annual risk management reviews took place between May – July 2018 </w:t>
      </w:r>
      <w:r w:rsidR="00204D22" w:rsidRPr="005F4ACE">
        <w:rPr>
          <w:rFonts w:ascii="Calibri" w:hAnsi="Calibri" w:cs="Calibri"/>
          <w:sz w:val="22"/>
          <w:szCs w:val="22"/>
        </w:rPr>
        <w:t>with risk managers and assignees.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204D22" w:rsidRPr="005F4ACE" w:rsidRDefault="00204D22" w:rsidP="00204D22">
      <w:pPr>
        <w:pStyle w:val="Default"/>
        <w:jc w:val="both"/>
        <w:rPr>
          <w:rFonts w:ascii="Calibri" w:hAnsi="Calibri" w:cs="Calibri"/>
          <w:sz w:val="22"/>
          <w:szCs w:val="22"/>
        </w:rPr>
      </w:pPr>
    </w:p>
    <w:p w:rsidR="00204D22" w:rsidRDefault="00204D22" w:rsidP="00204D22">
      <w:pPr>
        <w:pStyle w:val="Default"/>
        <w:jc w:val="both"/>
        <w:rPr>
          <w:rFonts w:ascii="Calibri" w:hAnsi="Calibri" w:cs="Calibri"/>
          <w:sz w:val="22"/>
          <w:szCs w:val="22"/>
        </w:rPr>
      </w:pPr>
      <w:r w:rsidRPr="005F4ACE">
        <w:rPr>
          <w:rFonts w:ascii="Calibri" w:hAnsi="Calibri" w:cs="Calibri"/>
          <w:sz w:val="22"/>
          <w:szCs w:val="22"/>
        </w:rPr>
        <w:t xml:space="preserve">A </w:t>
      </w:r>
      <w:r w:rsidR="00681821">
        <w:rPr>
          <w:rFonts w:ascii="Calibri" w:hAnsi="Calibri" w:cs="Calibri"/>
          <w:sz w:val="22"/>
          <w:szCs w:val="22"/>
        </w:rPr>
        <w:t>deep dive risk awareness session was developed to the Operational Leadership Team in April 2018</w:t>
      </w:r>
      <w:r w:rsidR="00CA0DE2">
        <w:rPr>
          <w:rFonts w:ascii="Calibri" w:hAnsi="Calibri" w:cs="Calibri"/>
          <w:sz w:val="22"/>
          <w:szCs w:val="22"/>
        </w:rPr>
        <w:t xml:space="preserve">.  The session provide </w:t>
      </w:r>
      <w:proofErr w:type="gramStart"/>
      <w:r w:rsidR="00CA0DE2">
        <w:rPr>
          <w:rFonts w:ascii="Calibri" w:hAnsi="Calibri" w:cs="Calibri"/>
          <w:sz w:val="22"/>
          <w:szCs w:val="22"/>
        </w:rPr>
        <w:t>an</w:t>
      </w:r>
      <w:proofErr w:type="gramEnd"/>
      <w:r w:rsidR="00CA0DE2">
        <w:rPr>
          <w:rFonts w:ascii="Calibri" w:hAnsi="Calibri" w:cs="Calibri"/>
          <w:sz w:val="22"/>
          <w:szCs w:val="22"/>
        </w:rPr>
        <w:t xml:space="preserve"> reminder of the differences between strategic risk/operational risk and departmental risk, and considerations when applying a risk score/risk appetite. </w:t>
      </w:r>
    </w:p>
    <w:p w:rsidR="00CA0DE2" w:rsidRDefault="00CA0DE2" w:rsidP="00204D22">
      <w:pPr>
        <w:pStyle w:val="Default"/>
        <w:jc w:val="both"/>
        <w:rPr>
          <w:rFonts w:ascii="Calibri" w:hAnsi="Calibri" w:cs="Calibri"/>
          <w:sz w:val="22"/>
          <w:szCs w:val="22"/>
        </w:rPr>
      </w:pPr>
    </w:p>
    <w:p w:rsidR="00CA0DE2" w:rsidRDefault="00CA0DE2" w:rsidP="00204D22">
      <w:pPr>
        <w:pStyle w:val="Default"/>
        <w:jc w:val="both"/>
        <w:rPr>
          <w:rFonts w:ascii="Calibri" w:hAnsi="Calibri" w:cs="Calibri"/>
          <w:b/>
        </w:rPr>
      </w:pPr>
    </w:p>
    <w:p w:rsidR="00CA0DE2" w:rsidRDefault="00CA0DE2" w:rsidP="00204D22">
      <w:pPr>
        <w:pStyle w:val="Default"/>
        <w:jc w:val="both"/>
        <w:rPr>
          <w:rFonts w:ascii="Calibri" w:hAnsi="Calibri" w:cs="Calibri"/>
          <w:b/>
        </w:rPr>
      </w:pPr>
    </w:p>
    <w:p w:rsidR="00204D22" w:rsidRPr="00315AC1" w:rsidRDefault="00204D22" w:rsidP="00204D22">
      <w:pPr>
        <w:pStyle w:val="Default"/>
        <w:jc w:val="both"/>
        <w:rPr>
          <w:rFonts w:ascii="Calibri" w:hAnsi="Calibri" w:cs="Calibri"/>
          <w:b/>
        </w:rPr>
      </w:pPr>
      <w:r w:rsidRPr="00315AC1">
        <w:rPr>
          <w:rFonts w:ascii="Calibri" w:hAnsi="Calibri" w:cs="Calibri"/>
          <w:b/>
        </w:rPr>
        <w:lastRenderedPageBreak/>
        <w:t>Current Position</w:t>
      </w:r>
    </w:p>
    <w:p w:rsidR="00204D22" w:rsidRDefault="00204D22" w:rsidP="00204D22">
      <w:pPr>
        <w:rPr>
          <w:rFonts w:ascii="Calibri" w:eastAsia="MS Mincho" w:hAnsi="Calibri" w:cs="Calibri"/>
          <w:color w:val="000000"/>
          <w:sz w:val="20"/>
          <w:lang w:eastAsia="en-GB"/>
        </w:rPr>
      </w:pPr>
      <w:r w:rsidRPr="004B0E55">
        <w:rPr>
          <w:rFonts w:ascii="Calibri" w:eastAsia="MS Mincho" w:hAnsi="Calibri" w:cs="Calibri"/>
          <w:color w:val="000000"/>
          <w:sz w:val="22"/>
          <w:szCs w:val="22"/>
          <w:lang w:eastAsia="en-GB"/>
        </w:rPr>
        <w:t xml:space="preserve">At the time of writing this report, there are currently </w:t>
      </w:r>
      <w:r w:rsidR="00CA0DE2">
        <w:rPr>
          <w:rFonts w:ascii="Calibri" w:eastAsia="MS Mincho" w:hAnsi="Calibri" w:cs="Calibri"/>
          <w:color w:val="000000"/>
          <w:sz w:val="22"/>
          <w:szCs w:val="22"/>
          <w:lang w:eastAsia="en-GB"/>
        </w:rPr>
        <w:t>8</w:t>
      </w:r>
      <w:r w:rsidRPr="004B0E55">
        <w:rPr>
          <w:rFonts w:ascii="Calibri" w:eastAsia="MS Mincho" w:hAnsi="Calibri" w:cs="Calibri"/>
          <w:color w:val="000000"/>
          <w:sz w:val="22"/>
          <w:szCs w:val="22"/>
          <w:lang w:eastAsia="en-GB"/>
        </w:rPr>
        <w:t xml:space="preserve"> risk on the Board Assurance Framework, of these, </w:t>
      </w:r>
      <w:r w:rsidR="00CA0DE2">
        <w:rPr>
          <w:rFonts w:ascii="Calibri" w:eastAsia="MS Mincho" w:hAnsi="Calibri" w:cs="Calibri"/>
          <w:color w:val="000000"/>
          <w:sz w:val="22"/>
          <w:szCs w:val="22"/>
          <w:lang w:eastAsia="en-GB"/>
        </w:rPr>
        <w:t>3</w:t>
      </w:r>
      <w:r w:rsidRPr="004B0E55">
        <w:rPr>
          <w:rFonts w:ascii="Calibri" w:eastAsia="MS Mincho" w:hAnsi="Calibri" w:cs="Calibri"/>
          <w:color w:val="000000"/>
          <w:sz w:val="22"/>
          <w:szCs w:val="22"/>
          <w:lang w:eastAsia="en-GB"/>
        </w:rPr>
        <w:t xml:space="preserve"> have a current risk rating of high (15 or above), please refer to table below.</w:t>
      </w:r>
      <w:r>
        <w:rPr>
          <w:rFonts w:ascii="Calibri" w:eastAsia="MS Mincho" w:hAnsi="Calibri" w:cs="Calibri"/>
          <w:color w:val="000000"/>
          <w:sz w:val="20"/>
          <w:lang w:eastAsia="en-GB"/>
        </w:rPr>
        <w:t xml:space="preserve"> </w:t>
      </w:r>
    </w:p>
    <w:p w:rsidR="00CA0DE2" w:rsidRDefault="00204D22" w:rsidP="00204D22">
      <w:pPr>
        <w:rPr>
          <w:rFonts w:ascii="Verdana" w:eastAsia="Verdana" w:hAnsi="Verdana" w:cs="Verdana"/>
          <w:noProof/>
          <w:color w:val="000000"/>
          <w:sz w:val="16"/>
          <w:lang w:eastAsia="en-GB"/>
        </w:rPr>
      </w:pPr>
      <w:r>
        <w:rPr>
          <w:rFonts w:ascii="Calibri" w:eastAsia="MS Mincho" w:hAnsi="Calibri" w:cs="Calibri"/>
          <w:color w:val="000000"/>
          <w:sz w:val="20"/>
          <w:lang w:eastAsia="en-GB"/>
        </w:rPr>
        <w:tab/>
      </w:r>
    </w:p>
    <w:tbl>
      <w:tblPr>
        <w:tblpPr w:leftFromText="180" w:rightFromText="180" w:vertAnchor="text" w:horzAnchor="page" w:tblpX="4801"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603"/>
      </w:tblGrid>
      <w:tr w:rsidR="00CA0DE2" w:rsidRPr="00DF67E9" w:rsidTr="00CA0DE2">
        <w:trPr>
          <w:trHeight w:val="70"/>
        </w:trPr>
        <w:tc>
          <w:tcPr>
            <w:tcW w:w="3359" w:type="dxa"/>
            <w:tcBorders>
              <w:top w:val="single" w:sz="4" w:space="0" w:color="auto"/>
              <w:left w:val="single" w:sz="4" w:space="0" w:color="auto"/>
              <w:bottom w:val="single" w:sz="4" w:space="0" w:color="auto"/>
              <w:right w:val="single" w:sz="4" w:space="0" w:color="auto"/>
            </w:tcBorders>
          </w:tcPr>
          <w:p w:rsidR="00CA0DE2" w:rsidRPr="00DF67E9" w:rsidRDefault="00CA0DE2" w:rsidP="00CA0DE2">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3214C3">
              <w:rPr>
                <w:rFonts w:asciiTheme="minorHAnsi" w:eastAsia="Calibri" w:hAnsiTheme="minorHAnsi" w:cs="Arial"/>
                <w:sz w:val="22"/>
                <w:szCs w:val="22"/>
              </w:rPr>
              <w:t>March 201</w:t>
            </w:r>
            <w:r>
              <w:rPr>
                <w:rFonts w:asciiTheme="minorHAnsi" w:eastAsia="Calibri" w:hAnsiTheme="minorHAnsi" w:cs="Arial"/>
                <w:sz w:val="22"/>
                <w:szCs w:val="22"/>
              </w:rPr>
              <w:t>8</w:t>
            </w:r>
          </w:p>
        </w:tc>
      </w:tr>
      <w:tr w:rsidR="00CA0DE2" w:rsidRPr="00DF67E9" w:rsidTr="00CA0DE2">
        <w:tc>
          <w:tcPr>
            <w:tcW w:w="3359"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DF67E9">
              <w:rPr>
                <w:rFonts w:asciiTheme="minorHAnsi" w:eastAsia="Calibri" w:hAnsiTheme="minorHAnsi" w:cs="Arial"/>
                <w:sz w:val="22"/>
                <w:szCs w:val="22"/>
              </w:rPr>
              <w:t>Total number of risks</w:t>
            </w:r>
          </w:p>
        </w:tc>
        <w:tc>
          <w:tcPr>
            <w:tcW w:w="1603"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DF67E9">
              <w:rPr>
                <w:rFonts w:asciiTheme="minorHAnsi" w:eastAsia="Calibri" w:hAnsiTheme="minorHAnsi" w:cs="Arial"/>
                <w:sz w:val="22"/>
                <w:szCs w:val="22"/>
              </w:rPr>
              <w:t xml:space="preserve">        </w:t>
            </w:r>
            <w:r>
              <w:rPr>
                <w:rFonts w:asciiTheme="minorHAnsi" w:eastAsia="Calibri" w:hAnsiTheme="minorHAnsi" w:cs="Arial"/>
                <w:sz w:val="22"/>
                <w:szCs w:val="22"/>
              </w:rPr>
              <w:t xml:space="preserve">     8</w:t>
            </w:r>
          </w:p>
        </w:tc>
      </w:tr>
      <w:tr w:rsidR="00CA0DE2" w:rsidRPr="00DF67E9" w:rsidTr="00CA0DE2">
        <w:tc>
          <w:tcPr>
            <w:tcW w:w="3359"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DF67E9">
              <w:rPr>
                <w:rFonts w:asciiTheme="minorHAnsi" w:eastAsia="Calibri" w:hAnsiTheme="minorHAnsi" w:cs="Arial"/>
                <w:sz w:val="22"/>
                <w:szCs w:val="22"/>
              </w:rPr>
              <w:t xml:space="preserve">High level risks (rated at 15+)   </w:t>
            </w:r>
          </w:p>
        </w:tc>
        <w:tc>
          <w:tcPr>
            <w:tcW w:w="1603"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jc w:val="center"/>
              <w:rPr>
                <w:rFonts w:asciiTheme="minorHAnsi" w:eastAsia="Calibri" w:hAnsiTheme="minorHAnsi" w:cs="Arial"/>
                <w:sz w:val="22"/>
                <w:szCs w:val="22"/>
              </w:rPr>
            </w:pPr>
            <w:r>
              <w:rPr>
                <w:rFonts w:asciiTheme="minorHAnsi" w:eastAsia="Calibri" w:hAnsiTheme="minorHAnsi" w:cs="Arial"/>
                <w:sz w:val="22"/>
                <w:szCs w:val="22"/>
              </w:rPr>
              <w:t>3</w:t>
            </w:r>
          </w:p>
        </w:tc>
      </w:tr>
      <w:tr w:rsidR="00CA0DE2" w:rsidRPr="00DF67E9" w:rsidTr="00CA0DE2">
        <w:tc>
          <w:tcPr>
            <w:tcW w:w="3359"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DF67E9">
              <w:rPr>
                <w:rFonts w:asciiTheme="minorHAnsi" w:eastAsia="Calibri" w:hAnsiTheme="minorHAnsi" w:cs="Arial"/>
                <w:sz w:val="22"/>
                <w:szCs w:val="22"/>
              </w:rPr>
              <w:t>Medium to high level risks (rated at 12+)</w:t>
            </w:r>
          </w:p>
        </w:tc>
        <w:tc>
          <w:tcPr>
            <w:tcW w:w="1603"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jc w:val="center"/>
              <w:rPr>
                <w:rFonts w:asciiTheme="minorHAnsi" w:eastAsia="Calibri" w:hAnsiTheme="minorHAnsi" w:cs="Arial"/>
                <w:sz w:val="22"/>
                <w:szCs w:val="22"/>
              </w:rPr>
            </w:pPr>
            <w:r>
              <w:rPr>
                <w:rFonts w:asciiTheme="minorHAnsi" w:eastAsia="Calibri" w:hAnsiTheme="minorHAnsi" w:cs="Arial"/>
                <w:sz w:val="22"/>
                <w:szCs w:val="22"/>
              </w:rPr>
              <w:t>1</w:t>
            </w:r>
          </w:p>
        </w:tc>
      </w:tr>
      <w:tr w:rsidR="00CA0DE2" w:rsidRPr="00DF67E9" w:rsidTr="00CA0DE2">
        <w:tc>
          <w:tcPr>
            <w:tcW w:w="3359"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DF67E9">
              <w:rPr>
                <w:rFonts w:asciiTheme="minorHAnsi" w:eastAsia="Calibri" w:hAnsiTheme="minorHAnsi" w:cs="Arial"/>
                <w:sz w:val="22"/>
                <w:szCs w:val="22"/>
              </w:rPr>
              <w:t>Low to medium level risks (rated at 9+),</w:t>
            </w:r>
          </w:p>
        </w:tc>
        <w:tc>
          <w:tcPr>
            <w:tcW w:w="1603"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jc w:val="center"/>
              <w:rPr>
                <w:rFonts w:asciiTheme="minorHAnsi" w:eastAsia="Calibri" w:hAnsiTheme="minorHAnsi" w:cs="Arial"/>
                <w:sz w:val="22"/>
                <w:szCs w:val="22"/>
              </w:rPr>
            </w:pPr>
            <w:r>
              <w:rPr>
                <w:rFonts w:asciiTheme="minorHAnsi" w:eastAsia="Calibri" w:hAnsiTheme="minorHAnsi" w:cs="Arial"/>
                <w:sz w:val="22"/>
                <w:szCs w:val="22"/>
              </w:rPr>
              <w:t>3</w:t>
            </w:r>
          </w:p>
        </w:tc>
      </w:tr>
      <w:tr w:rsidR="00CA0DE2" w:rsidRPr="00DF67E9" w:rsidTr="00CA0DE2">
        <w:tc>
          <w:tcPr>
            <w:tcW w:w="3359"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rPr>
                <w:rFonts w:asciiTheme="minorHAnsi" w:eastAsia="Calibri" w:hAnsiTheme="minorHAnsi" w:cs="Arial"/>
                <w:sz w:val="22"/>
                <w:szCs w:val="22"/>
              </w:rPr>
            </w:pPr>
            <w:r w:rsidRPr="00DF67E9">
              <w:rPr>
                <w:rFonts w:asciiTheme="minorHAnsi" w:eastAsia="Calibri" w:hAnsiTheme="minorHAnsi" w:cs="Arial"/>
                <w:sz w:val="22"/>
                <w:szCs w:val="22"/>
              </w:rPr>
              <w:t>Low level risks (rated at 3+)</w:t>
            </w:r>
          </w:p>
        </w:tc>
        <w:tc>
          <w:tcPr>
            <w:tcW w:w="1603" w:type="dxa"/>
            <w:tcBorders>
              <w:top w:val="single" w:sz="4" w:space="0" w:color="auto"/>
              <w:left w:val="single" w:sz="4" w:space="0" w:color="auto"/>
              <w:bottom w:val="single" w:sz="4" w:space="0" w:color="auto"/>
              <w:right w:val="single" w:sz="4" w:space="0" w:color="auto"/>
            </w:tcBorders>
            <w:hideMark/>
          </w:tcPr>
          <w:p w:rsidR="00CA0DE2" w:rsidRPr="00DF67E9" w:rsidRDefault="00CA0DE2" w:rsidP="00CA0DE2">
            <w:pPr>
              <w:jc w:val="center"/>
              <w:rPr>
                <w:rFonts w:asciiTheme="minorHAnsi" w:eastAsia="Calibri" w:hAnsiTheme="minorHAnsi" w:cs="Arial"/>
                <w:sz w:val="22"/>
                <w:szCs w:val="22"/>
              </w:rPr>
            </w:pPr>
            <w:r>
              <w:rPr>
                <w:rFonts w:asciiTheme="minorHAnsi" w:eastAsia="Calibri" w:hAnsiTheme="minorHAnsi" w:cs="Arial"/>
                <w:sz w:val="22"/>
                <w:szCs w:val="22"/>
              </w:rPr>
              <w:t>1</w:t>
            </w:r>
          </w:p>
        </w:tc>
      </w:tr>
    </w:tbl>
    <w:p w:rsidR="00CA0DE2" w:rsidRDefault="00CA0DE2" w:rsidP="00204D22">
      <w:pPr>
        <w:rPr>
          <w:rFonts w:ascii="Verdana" w:eastAsia="Verdana" w:hAnsi="Verdana" w:cs="Verdana"/>
          <w:noProof/>
          <w:color w:val="000000"/>
          <w:sz w:val="16"/>
          <w:lang w:eastAsia="en-GB"/>
        </w:rPr>
      </w:pPr>
    </w:p>
    <w:p w:rsidR="00CA0DE2" w:rsidRDefault="00CA0DE2" w:rsidP="00204D22">
      <w:pPr>
        <w:rPr>
          <w:rFonts w:ascii="Verdana" w:eastAsia="Verdana" w:hAnsi="Verdana" w:cs="Verdana"/>
          <w:noProof/>
          <w:color w:val="000000"/>
          <w:sz w:val="16"/>
          <w:lang w:eastAsia="en-GB"/>
        </w:rPr>
      </w:pPr>
      <w:r>
        <w:rPr>
          <w:rFonts w:ascii="Verdana" w:eastAsia="Verdana" w:hAnsi="Verdana" w:cs="Verdana"/>
          <w:noProof/>
          <w:color w:val="000000"/>
          <w:sz w:val="16"/>
          <w:lang w:eastAsia="en-GB"/>
        </w:rPr>
        <w:drawing>
          <wp:inline distT="0" distB="0" distL="0" distR="0">
            <wp:extent cx="130492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p w:rsidR="00CA0DE2" w:rsidRDefault="00CA0DE2" w:rsidP="00204D22">
      <w:pPr>
        <w:rPr>
          <w:rFonts w:ascii="Verdana" w:eastAsia="Verdana" w:hAnsi="Verdana" w:cs="Verdana"/>
          <w:noProof/>
          <w:color w:val="000000"/>
          <w:sz w:val="16"/>
          <w:lang w:eastAsia="en-GB"/>
        </w:rPr>
      </w:pPr>
    </w:p>
    <w:p w:rsidR="00CA0DE2" w:rsidRDefault="00CA0DE2" w:rsidP="00204D22">
      <w:pPr>
        <w:rPr>
          <w:rFonts w:ascii="Verdana" w:eastAsia="Verdana" w:hAnsi="Verdana" w:cs="Verdana"/>
          <w:noProof/>
          <w:color w:val="000000"/>
          <w:sz w:val="16"/>
          <w:lang w:eastAsia="en-GB"/>
        </w:rPr>
      </w:pPr>
    </w:p>
    <w:p w:rsidR="00CA0DE2" w:rsidRDefault="00CA0DE2" w:rsidP="00204D22">
      <w:pPr>
        <w:rPr>
          <w:rFonts w:ascii="Verdana" w:eastAsia="Verdana" w:hAnsi="Verdana" w:cs="Verdana"/>
          <w:noProof/>
          <w:color w:val="000000"/>
          <w:sz w:val="16"/>
          <w:lang w:eastAsia="en-GB"/>
        </w:rPr>
      </w:pPr>
    </w:p>
    <w:p w:rsidR="00204D22" w:rsidRPr="004B0E55" w:rsidRDefault="00204D22" w:rsidP="00204D22">
      <w:pPr>
        <w:rPr>
          <w:rFonts w:ascii="Calibri" w:eastAsia="MS Mincho" w:hAnsi="Calibri" w:cs="Calibri"/>
          <w:color w:val="000000"/>
          <w:sz w:val="22"/>
          <w:szCs w:val="22"/>
          <w:lang w:eastAsia="en-GB"/>
        </w:rPr>
      </w:pPr>
      <w:r w:rsidRPr="004B0E55">
        <w:rPr>
          <w:rFonts w:ascii="Calibri" w:eastAsia="MS Mincho" w:hAnsi="Calibri" w:cs="Calibri"/>
          <w:color w:val="000000"/>
          <w:sz w:val="22"/>
          <w:szCs w:val="22"/>
          <w:lang w:eastAsia="en-GB"/>
        </w:rPr>
        <w:t xml:space="preserve">The table below demonstrates the principal risks (that is a risk rating of 15 and above) as at </w:t>
      </w:r>
      <w:r w:rsidR="00223926">
        <w:rPr>
          <w:rFonts w:ascii="Calibri" w:eastAsia="MS Mincho" w:hAnsi="Calibri" w:cs="Calibri"/>
          <w:color w:val="000000"/>
          <w:sz w:val="22"/>
          <w:szCs w:val="22"/>
          <w:lang w:eastAsia="en-GB"/>
        </w:rPr>
        <w:t xml:space="preserve">12 </w:t>
      </w:r>
      <w:r w:rsidRPr="004B0E55">
        <w:rPr>
          <w:rFonts w:ascii="Calibri" w:eastAsia="MS Mincho" w:hAnsi="Calibri" w:cs="Calibri"/>
          <w:color w:val="000000"/>
          <w:sz w:val="22"/>
          <w:szCs w:val="22"/>
          <w:lang w:eastAsia="en-GB"/>
        </w:rPr>
        <w:t>March 201</w:t>
      </w:r>
      <w:r w:rsidR="00223926">
        <w:rPr>
          <w:rFonts w:ascii="Calibri" w:eastAsia="MS Mincho" w:hAnsi="Calibri" w:cs="Calibri"/>
          <w:color w:val="000000"/>
          <w:sz w:val="22"/>
          <w:szCs w:val="22"/>
          <w:lang w:eastAsia="en-GB"/>
        </w:rPr>
        <w:t>8</w:t>
      </w:r>
    </w:p>
    <w:p w:rsidR="00204D22" w:rsidRDefault="00204D22" w:rsidP="00204D22">
      <w:pPr>
        <w:rPr>
          <w:rFonts w:ascii="Calibri" w:eastAsia="MS Mincho" w:hAnsi="Calibri" w:cs="Calibri"/>
          <w:color w:val="000000"/>
          <w:sz w:val="20"/>
          <w:lang w:eastAsia="en-GB"/>
        </w:rPr>
      </w:pPr>
    </w:p>
    <w:tbl>
      <w:tblPr>
        <w:tblW w:w="5163"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690"/>
        <w:gridCol w:w="705"/>
        <w:gridCol w:w="705"/>
        <w:gridCol w:w="705"/>
        <w:gridCol w:w="845"/>
        <w:gridCol w:w="1690"/>
        <w:gridCol w:w="9011"/>
      </w:tblGrid>
      <w:tr w:rsidR="00204D22" w:rsidRPr="00DF67E9" w:rsidTr="00A1171F">
        <w:trPr>
          <w:trHeight w:val="668"/>
        </w:trPr>
        <w:tc>
          <w:tcPr>
            <w:tcW w:w="851"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szCs w:val="24"/>
                <w:lang w:eastAsia="en-GB"/>
              </w:rPr>
            </w:pPr>
            <w:r w:rsidRPr="00DF67E9">
              <w:rPr>
                <w:rFonts w:ascii="Tahoma" w:eastAsia="Tahoma" w:hAnsi="Tahoma" w:cs="Tahoma"/>
                <w:b/>
                <w:color w:val="000000"/>
                <w:sz w:val="16"/>
                <w:szCs w:val="24"/>
                <w:lang w:eastAsia="en-GB"/>
              </w:rPr>
              <w:t>Risk Code</w:t>
            </w:r>
          </w:p>
        </w:tc>
        <w:tc>
          <w:tcPr>
            <w:tcW w:w="1701"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Risk Summary</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Initial Risk Rating</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rating</w:t>
            </w:r>
          </w:p>
        </w:tc>
        <w:tc>
          <w:tcPr>
            <w:tcW w:w="709"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Trend Icon</w:t>
            </w:r>
          </w:p>
        </w:tc>
        <w:tc>
          <w:tcPr>
            <w:tcW w:w="850"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Last reviewed date</w:t>
            </w:r>
          </w:p>
        </w:tc>
        <w:tc>
          <w:tcPr>
            <w:tcW w:w="10772"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vAlign w:val="center"/>
          </w:tcPr>
          <w:p w:rsidR="00204D22" w:rsidRPr="00DF67E9" w:rsidRDefault="00204D22" w:rsidP="00A1171F">
            <w:pPr>
              <w:jc w:val="cente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Control</w:t>
            </w:r>
          </w:p>
        </w:tc>
      </w:tr>
      <w:tr w:rsidR="00204D22" w:rsidRPr="00DF67E9" w:rsidTr="00A1171F">
        <w:trPr>
          <w:trHeight w:val="301"/>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CCG-BAF.2002</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CA0DE2" w:rsidP="00A1171F">
            <w:pPr>
              <w:rPr>
                <w:rFonts w:ascii="Tahoma" w:eastAsia="Tahoma" w:hAnsi="Tahoma" w:cs="Tahoma"/>
                <w:color w:val="1D2828"/>
                <w:sz w:val="16"/>
                <w:szCs w:val="24"/>
                <w:lang w:eastAsia="en-GB"/>
              </w:rPr>
            </w:pPr>
            <w:r w:rsidRPr="00CA0DE2">
              <w:rPr>
                <w:rFonts w:ascii="Tahoma" w:eastAsia="Tahoma" w:hAnsi="Tahoma" w:cs="Tahoma"/>
                <w:color w:val="1D2828"/>
                <w:sz w:val="16"/>
                <w:szCs w:val="24"/>
                <w:lang w:eastAsia="en-GB"/>
              </w:rPr>
              <w:t>Risks in delivery of key annual performance and quality indicators (Health &amp; Social Care) and standards, including constitutional standards</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12</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0B1F68A5" wp14:editId="4EFE3A83">
                  <wp:extent cx="205740" cy="2057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23926" w:rsidP="00223926">
            <w:pPr>
              <w:rPr>
                <w:rFonts w:ascii="Lucida Sans Unicode" w:eastAsia="Lucida Sans Unicode" w:hAnsi="Lucida Sans Unicode" w:cs="Lucida Sans Unicode"/>
                <w:color w:val="1D2828"/>
                <w:sz w:val="18"/>
                <w:szCs w:val="24"/>
                <w:lang w:eastAsia="en-GB"/>
              </w:rPr>
            </w:pPr>
            <w:r>
              <w:rPr>
                <w:rFonts w:ascii="Tahoma" w:eastAsia="Tahoma" w:hAnsi="Tahoma" w:cs="Tahoma"/>
                <w:color w:val="1D2828"/>
                <w:sz w:val="16"/>
                <w:szCs w:val="24"/>
                <w:lang w:eastAsia="en-GB"/>
              </w:rPr>
              <w:t>6 Mar 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223926"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 xml:space="preserve">Regular reporting in to Governing Body, Delivery Assurance Committee, </w:t>
            </w:r>
            <w:proofErr w:type="spellStart"/>
            <w:r w:rsidRPr="00223926">
              <w:rPr>
                <w:rFonts w:ascii="Tahoma" w:eastAsia="Tahoma" w:hAnsi="Tahoma" w:cs="Tahoma"/>
                <w:color w:val="1D2828"/>
                <w:sz w:val="16"/>
                <w:szCs w:val="24"/>
                <w:lang w:eastAsia="en-GB"/>
              </w:rPr>
              <w:t>CoM</w:t>
            </w:r>
            <w:proofErr w:type="spellEnd"/>
            <w:r w:rsidRPr="00223926">
              <w:rPr>
                <w:rFonts w:ascii="Tahoma" w:eastAsia="Tahoma" w:hAnsi="Tahoma" w:cs="Tahoma"/>
                <w:color w:val="1D2828"/>
                <w:sz w:val="16"/>
                <w:szCs w:val="24"/>
                <w:lang w:eastAsia="en-GB"/>
              </w:rPr>
              <w:t xml:space="preserve"> and the operational leadership team.</w:t>
            </w:r>
          </w:p>
          <w:p w:rsidR="00204D22"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Through reporting to groups above and oversight from Planned Care Board improvement in performance has been noted around RTT particularly in some specialties there has been a focus on (</w:t>
            </w:r>
            <w:proofErr w:type="spellStart"/>
            <w:r w:rsidRPr="00223926">
              <w:rPr>
                <w:rFonts w:ascii="Tahoma" w:eastAsia="Tahoma" w:hAnsi="Tahoma" w:cs="Tahoma"/>
                <w:color w:val="1D2828"/>
                <w:sz w:val="16"/>
                <w:szCs w:val="24"/>
                <w:lang w:eastAsia="en-GB"/>
              </w:rPr>
              <w:t>eg</w:t>
            </w:r>
            <w:proofErr w:type="spellEnd"/>
            <w:r w:rsidRPr="00223926">
              <w:rPr>
                <w:rFonts w:ascii="Tahoma" w:eastAsia="Tahoma" w:hAnsi="Tahoma" w:cs="Tahoma"/>
                <w:color w:val="1D2828"/>
                <w:sz w:val="16"/>
                <w:szCs w:val="24"/>
                <w:lang w:eastAsia="en-GB"/>
              </w:rPr>
              <w:t xml:space="preserve"> Ophthalmology)</w:t>
            </w:r>
            <w:r w:rsidR="00204D22" w:rsidRPr="00DF67E9">
              <w:rPr>
                <w:rFonts w:ascii="Tahoma" w:eastAsia="Tahoma" w:hAnsi="Tahoma" w:cs="Tahoma"/>
                <w:color w:val="1D2828"/>
                <w:sz w:val="16"/>
                <w:szCs w:val="24"/>
                <w:lang w:eastAsia="en-GB"/>
              </w:rPr>
              <w:t xml:space="preserve">. </w:t>
            </w:r>
          </w:p>
          <w:p w:rsidR="00223926" w:rsidRPr="00DF67E9" w:rsidRDefault="00223926" w:rsidP="00223926">
            <w:pPr>
              <w:rPr>
                <w:rFonts w:ascii="Tahoma" w:eastAsia="Tahoma" w:hAnsi="Tahoma" w:cs="Tahoma"/>
                <w:color w:val="1D2828"/>
                <w:sz w:val="16"/>
                <w:szCs w:val="24"/>
                <w:lang w:eastAsia="en-GB"/>
              </w:rPr>
            </w:pPr>
          </w:p>
        </w:tc>
      </w:tr>
      <w:tr w:rsidR="00204D22" w:rsidRPr="00DF67E9" w:rsidTr="00A1171F">
        <w:tc>
          <w:tcPr>
            <w:tcW w:w="8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Lucida Sans Unicode" w:eastAsia="Lucida Sans Unicode" w:hAnsi="Lucida Sans Unicode" w:cs="Lucida Sans Unicode"/>
                <w:color w:val="1D2828"/>
                <w:sz w:val="18"/>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223926"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 xml:space="preserve">NHSE continue to acknowledge the CCG is taking an active leadership role to address the issues in relation to </w:t>
            </w:r>
            <w:proofErr w:type="spellStart"/>
            <w:r w:rsidRPr="00223926">
              <w:rPr>
                <w:rFonts w:ascii="Tahoma" w:eastAsia="Tahoma" w:hAnsi="Tahoma" w:cs="Tahoma"/>
                <w:color w:val="1D2828"/>
                <w:sz w:val="16"/>
                <w:szCs w:val="24"/>
                <w:lang w:eastAsia="en-GB"/>
              </w:rPr>
              <w:t>NLaG</w:t>
            </w:r>
            <w:proofErr w:type="spellEnd"/>
            <w:r w:rsidRPr="00223926">
              <w:rPr>
                <w:rFonts w:ascii="Tahoma" w:eastAsia="Tahoma" w:hAnsi="Tahoma" w:cs="Tahoma"/>
                <w:color w:val="1D2828"/>
                <w:sz w:val="16"/>
                <w:szCs w:val="24"/>
                <w:lang w:eastAsia="en-GB"/>
              </w:rPr>
              <w:t>.</w:t>
            </w:r>
          </w:p>
          <w:p w:rsidR="00223926" w:rsidRPr="00223926"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Further assessment of six clinical areas in the CCG Improvement and Assessment Framework demonstrate that NEL are in the top five CCGs in the country, although improvement is required in three.</w:t>
            </w:r>
          </w:p>
          <w:p w:rsidR="00223926" w:rsidRPr="00223926"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 xml:space="preserve">NHSE's overall assessment of the CCG in the improvement and assessment framework was ‘Good’ for 2017/18 and quarterly meetings throughout 2018/19 have been positive.  </w:t>
            </w:r>
          </w:p>
          <w:p w:rsidR="00223926" w:rsidRPr="00223926"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Since 2017/18 improvements have been noted around some of the CCG's key performance areas including A&amp;E, diagnostic waiting times, RTT and Cancer Waiting Times performance  The CCG also received an assessment of ‘Green’ against its Quality of Leadership.</w:t>
            </w:r>
          </w:p>
          <w:p w:rsidR="00223926" w:rsidRPr="00223926"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2017/18 Year end position of ASC targets and the Local Account was positive.</w:t>
            </w:r>
          </w:p>
          <w:p w:rsidR="00204D22" w:rsidRPr="00DF67E9" w:rsidRDefault="00223926" w:rsidP="00223926">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The CCG also received the best available ratings for diabetes services (Outstanding) and  Patient &amp; Community Engagement (Green Star)</w:t>
            </w:r>
          </w:p>
        </w:tc>
      </w:tr>
      <w:tr w:rsidR="00204D22" w:rsidRPr="00DF67E9" w:rsidTr="00A1171F">
        <w:tc>
          <w:tcPr>
            <w:tcW w:w="8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Lucida Sans Unicode" w:eastAsia="Lucida Sans Unicode" w:hAnsi="Lucida Sans Unicode" w:cs="Lucida Sans Unicode"/>
                <w:color w:val="1D2828"/>
                <w:sz w:val="18"/>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 xml:space="preserve">None </w:t>
            </w:r>
          </w:p>
        </w:tc>
      </w:tr>
      <w:tr w:rsidR="00204D22" w:rsidRPr="00DF67E9" w:rsidTr="00A1171F">
        <w:tc>
          <w:tcPr>
            <w:tcW w:w="8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Lucida Sans Unicode" w:eastAsia="Lucida Sans Unicode" w:hAnsi="Lucida Sans Unicode" w:cs="Lucida Sans Unicode"/>
                <w:color w:val="1D2828"/>
                <w:sz w:val="18"/>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07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223926" w:rsidRDefault="00223926" w:rsidP="00A1171F">
            <w:pPr>
              <w:rPr>
                <w:rFonts w:ascii="Tahoma" w:eastAsia="Tahoma" w:hAnsi="Tahoma" w:cs="Tahoma"/>
                <w:color w:val="000000"/>
                <w:sz w:val="16"/>
                <w:szCs w:val="24"/>
                <w:lang w:eastAsia="en-GB"/>
              </w:rPr>
            </w:pPr>
            <w:r w:rsidRPr="00223926">
              <w:rPr>
                <w:rFonts w:ascii="Tahoma" w:eastAsia="Tahoma" w:hAnsi="Tahoma" w:cs="Tahoma"/>
                <w:color w:val="000000"/>
                <w:sz w:val="16"/>
                <w:szCs w:val="24"/>
                <w:lang w:eastAsia="en-GB"/>
              </w:rPr>
              <w:t xml:space="preserve">We recognise that there is significantly increased oversight and assurance mechanisms in place to oversee </w:t>
            </w:r>
            <w:proofErr w:type="spellStart"/>
            <w:r w:rsidRPr="00223926">
              <w:rPr>
                <w:rFonts w:ascii="Tahoma" w:eastAsia="Tahoma" w:hAnsi="Tahoma" w:cs="Tahoma"/>
                <w:color w:val="000000"/>
                <w:sz w:val="16"/>
                <w:szCs w:val="24"/>
                <w:lang w:eastAsia="en-GB"/>
              </w:rPr>
              <w:t>NLaG</w:t>
            </w:r>
            <w:proofErr w:type="spellEnd"/>
            <w:r w:rsidRPr="00223926">
              <w:rPr>
                <w:rFonts w:ascii="Tahoma" w:eastAsia="Tahoma" w:hAnsi="Tahoma" w:cs="Tahoma"/>
                <w:color w:val="000000"/>
                <w:sz w:val="16"/>
                <w:szCs w:val="24"/>
                <w:lang w:eastAsia="en-GB"/>
              </w:rPr>
              <w:t xml:space="preserve"> performance however gaps will remain until we start to see improvements feeding through.  Some improvements have been noted around A&amp;E diagnostic waiting times, RTT and Cancer Waiting Times performance but this needs to be delivered consistently to gain greater assurances.</w:t>
            </w:r>
          </w:p>
        </w:tc>
      </w:tr>
    </w:tbl>
    <w:p w:rsidR="00204D22" w:rsidRDefault="00204D22" w:rsidP="00204D22">
      <w:pPr>
        <w:rPr>
          <w:rFonts w:ascii="Calibri" w:eastAsia="MS Mincho" w:hAnsi="Calibri" w:cs="Calibri"/>
          <w:color w:val="000000"/>
          <w:sz w:val="20"/>
          <w:lang w:eastAsia="en-GB"/>
        </w:rPr>
      </w:pPr>
      <w:r>
        <w:rPr>
          <w:rFonts w:ascii="Calibri" w:eastAsia="MS Mincho" w:hAnsi="Calibri" w:cs="Calibri"/>
          <w:color w:val="000000"/>
          <w:sz w:val="20"/>
          <w:lang w:eastAsia="en-GB"/>
        </w:rPr>
        <w:lastRenderedPageBreak/>
        <w:t xml:space="preserve">   </w:t>
      </w:r>
    </w:p>
    <w:p w:rsidR="00204D22" w:rsidRDefault="00204D22" w:rsidP="00204D22">
      <w:pPr>
        <w:rPr>
          <w:rFonts w:ascii="Calibri" w:eastAsia="MS Mincho" w:hAnsi="Calibri" w:cs="Calibri"/>
          <w:color w:val="000000"/>
          <w:sz w:val="20"/>
          <w:lang w:eastAsia="en-GB"/>
        </w:rPr>
      </w:pPr>
    </w:p>
    <w:p w:rsidR="00204D22" w:rsidRDefault="00204D22" w:rsidP="00204D22">
      <w:pPr>
        <w:rPr>
          <w:rFonts w:ascii="Calibri" w:eastAsia="MS Mincho" w:hAnsi="Calibri" w:cs="Calibri"/>
          <w:color w:val="000000"/>
          <w:sz w:val="20"/>
          <w:lang w:eastAsia="en-GB"/>
        </w:rPr>
      </w:pPr>
      <w:r>
        <w:rPr>
          <w:rFonts w:ascii="Calibri" w:eastAsia="MS Mincho" w:hAnsi="Calibri" w:cs="Calibri"/>
          <w:color w:val="000000"/>
          <w:sz w:val="20"/>
          <w:lang w:eastAsia="en-GB"/>
        </w:rPr>
        <w:t xml:space="preserve"> </w:t>
      </w:r>
    </w:p>
    <w:tbl>
      <w:tblPr>
        <w:tblW w:w="5163"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638"/>
        <w:gridCol w:w="783"/>
        <w:gridCol w:w="705"/>
        <w:gridCol w:w="705"/>
        <w:gridCol w:w="845"/>
        <w:gridCol w:w="1475"/>
        <w:gridCol w:w="9226"/>
      </w:tblGrid>
      <w:tr w:rsidR="00204D22" w:rsidRPr="00DF67E9" w:rsidTr="00223926">
        <w:tc>
          <w:tcPr>
            <w:tcW w:w="820"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szCs w:val="24"/>
                <w:lang w:eastAsia="en-GB"/>
              </w:rPr>
            </w:pPr>
            <w:r w:rsidRPr="00DF67E9">
              <w:rPr>
                <w:rFonts w:ascii="Tahoma" w:eastAsia="Tahoma" w:hAnsi="Tahoma" w:cs="Tahoma"/>
                <w:b/>
                <w:color w:val="000000"/>
                <w:sz w:val="16"/>
                <w:szCs w:val="24"/>
                <w:lang w:eastAsia="en-GB"/>
              </w:rPr>
              <w:t>Risk Code</w:t>
            </w:r>
          </w:p>
        </w:tc>
        <w:tc>
          <w:tcPr>
            <w:tcW w:w="1638"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Risk Summary</w:t>
            </w:r>
          </w:p>
        </w:tc>
        <w:tc>
          <w:tcPr>
            <w:tcW w:w="783"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Initial Risk Rating</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rating</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Trend Icon</w:t>
            </w:r>
          </w:p>
        </w:tc>
        <w:tc>
          <w:tcPr>
            <w:tcW w:w="84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204D22" w:rsidRPr="00DF67E9" w:rsidRDefault="00204D22" w:rsidP="00A1171F">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Last reviewed date</w:t>
            </w:r>
          </w:p>
        </w:tc>
        <w:tc>
          <w:tcPr>
            <w:tcW w:w="10701"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vAlign w:val="center"/>
          </w:tcPr>
          <w:p w:rsidR="00204D22" w:rsidRPr="00DF67E9" w:rsidRDefault="00204D22" w:rsidP="00A1171F">
            <w:pPr>
              <w:jc w:val="cente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Control</w:t>
            </w:r>
          </w:p>
        </w:tc>
      </w:tr>
      <w:tr w:rsidR="00223926" w:rsidRPr="00DF67E9" w:rsidTr="00223926">
        <w:tc>
          <w:tcPr>
            <w:tcW w:w="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CCG-BAF.2003</w:t>
            </w:r>
          </w:p>
        </w:tc>
        <w:tc>
          <w:tcPr>
            <w:tcW w:w="16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Tahoma" w:eastAsia="Tahoma" w:hAnsi="Tahoma" w:cs="Tahoma"/>
                <w:color w:val="1D2828"/>
                <w:sz w:val="16"/>
                <w:szCs w:val="24"/>
                <w:lang w:eastAsia="en-GB"/>
              </w:rPr>
            </w:pP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 xml:space="preserve"> Service Sustainability</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23926" w:rsidRPr="00DF67E9" w:rsidRDefault="00223926" w:rsidP="00223926">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16</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6499AE0E" wp14:editId="76B74997">
                  <wp:extent cx="205740" cy="2057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Lucida Sans Unicode" w:eastAsia="Lucida Sans Unicode" w:hAnsi="Lucida Sans Unicode" w:cs="Lucida Sans Unicode"/>
                <w:color w:val="1D2828"/>
                <w:sz w:val="18"/>
                <w:szCs w:val="24"/>
                <w:lang w:eastAsia="en-GB"/>
              </w:rPr>
            </w:pPr>
            <w:r>
              <w:rPr>
                <w:rFonts w:ascii="Tahoma" w:eastAsia="Tahoma" w:hAnsi="Tahoma" w:cs="Tahoma"/>
                <w:color w:val="1D2828"/>
                <w:sz w:val="16"/>
                <w:szCs w:val="24"/>
                <w:lang w:eastAsia="en-GB"/>
              </w:rPr>
              <w:t>6 Feb 19</w:t>
            </w: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Default="00223926" w:rsidP="00223926">
            <w:pPr>
              <w:rPr>
                <w:rFonts w:ascii="Tahoma" w:eastAsia="Tahoma" w:hAnsi="Tahoma" w:cs="Tahoma"/>
                <w:b/>
                <w:color w:val="000000"/>
                <w:sz w:val="16"/>
              </w:rPr>
            </w:pPr>
            <w:r>
              <w:rPr>
                <w:rFonts w:ascii="Tahoma" w:eastAsia="Tahoma" w:hAnsi="Tahoma" w:cs="Tahoma"/>
                <w:color w:val="1D2828"/>
                <w:sz w:val="16"/>
              </w:rPr>
              <w:t xml:space="preserve"> Chief Executive representation from NL &amp; NEL CCGs and </w:t>
            </w:r>
            <w:proofErr w:type="spellStart"/>
            <w:r>
              <w:rPr>
                <w:rFonts w:ascii="Tahoma" w:eastAsia="Tahoma" w:hAnsi="Tahoma" w:cs="Tahoma"/>
                <w:color w:val="1D2828"/>
                <w:sz w:val="16"/>
              </w:rPr>
              <w:t>NLaG</w:t>
            </w:r>
            <w:proofErr w:type="spellEnd"/>
            <w:r>
              <w:rPr>
                <w:rFonts w:ascii="Tahoma" w:eastAsia="Tahoma" w:hAnsi="Tahoma" w:cs="Tahoma"/>
                <w:color w:val="1D2828"/>
                <w:sz w:val="16"/>
              </w:rPr>
              <w:t xml:space="preserve"> on the System Improvement Board (SIB)</w:t>
            </w:r>
          </w:p>
          <w:p w:rsidR="00223926" w:rsidRDefault="00223926" w:rsidP="00223926">
            <w:pPr>
              <w:rPr>
                <w:rFonts w:ascii="Tahoma" w:eastAsia="Tahoma" w:hAnsi="Tahoma" w:cs="Tahoma"/>
                <w:color w:val="1D2828"/>
                <w:sz w:val="16"/>
              </w:rPr>
            </w:pPr>
            <w:r>
              <w:rPr>
                <w:rFonts w:ascii="Tahoma" w:eastAsia="Tahoma" w:hAnsi="Tahoma" w:cs="Tahoma"/>
                <w:color w:val="1D2828"/>
                <w:sz w:val="16"/>
              </w:rPr>
              <w:t xml:space="preserve"> </w:t>
            </w:r>
          </w:p>
        </w:tc>
      </w:tr>
      <w:tr w:rsidR="00204D22" w:rsidRPr="00DF67E9" w:rsidTr="00223926">
        <w:trPr>
          <w:trHeight w:val="915"/>
        </w:trPr>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163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Default="00223926" w:rsidP="00223926">
            <w:pPr>
              <w:rPr>
                <w:rFonts w:ascii="Tahoma" w:eastAsia="Tahoma" w:hAnsi="Tahoma" w:cs="Tahoma"/>
                <w:b/>
                <w:color w:val="000000"/>
                <w:sz w:val="16"/>
              </w:rPr>
            </w:pPr>
            <w:r>
              <w:rPr>
                <w:rFonts w:ascii="Tahoma" w:eastAsia="Tahoma" w:hAnsi="Tahoma" w:cs="Tahoma"/>
                <w:color w:val="1D2828"/>
                <w:sz w:val="16"/>
              </w:rPr>
              <w:t>System Improvement Board whose membership includes NHS England and NHS Improvement.</w:t>
            </w:r>
          </w:p>
          <w:p w:rsidR="00223926" w:rsidRDefault="00223926" w:rsidP="00223926">
            <w:pPr>
              <w:rPr>
                <w:rFonts w:ascii="Tahoma" w:eastAsia="Tahoma" w:hAnsi="Tahoma" w:cs="Tahoma"/>
                <w:color w:val="1D2828"/>
                <w:sz w:val="16"/>
              </w:rPr>
            </w:pPr>
            <w:r>
              <w:rPr>
                <w:rFonts w:ascii="Tahoma" w:eastAsia="Tahoma" w:hAnsi="Tahoma" w:cs="Tahoma"/>
                <w:color w:val="1D2828"/>
                <w:sz w:val="16"/>
              </w:rPr>
              <w:t>NEL CCG continue to receive positive feedback at its assurance meetings with NHS England</w:t>
            </w:r>
          </w:p>
          <w:p w:rsidR="00223926" w:rsidRDefault="00223926" w:rsidP="00223926">
            <w:pPr>
              <w:rPr>
                <w:rFonts w:ascii="Tahoma" w:eastAsia="Tahoma" w:hAnsi="Tahoma" w:cs="Tahoma"/>
                <w:color w:val="1D2828"/>
                <w:sz w:val="16"/>
              </w:rPr>
            </w:pPr>
            <w:r>
              <w:rPr>
                <w:rFonts w:ascii="Tahoma" w:eastAsia="Tahoma" w:hAnsi="Tahoma" w:cs="Tahoma"/>
                <w:color w:val="1D2828"/>
                <w:sz w:val="16"/>
              </w:rPr>
              <w:t>The STP In-hospital Working Group is starting to work more effectively and is addressing issues across providers</w:t>
            </w:r>
          </w:p>
          <w:p w:rsidR="00204D22" w:rsidRPr="00DF67E9" w:rsidRDefault="00223926" w:rsidP="00223926">
            <w:pPr>
              <w:rPr>
                <w:rFonts w:ascii="Tahoma" w:eastAsia="Tahoma" w:hAnsi="Tahoma" w:cs="Tahoma"/>
                <w:color w:val="1D2828"/>
                <w:sz w:val="16"/>
                <w:szCs w:val="24"/>
                <w:lang w:eastAsia="en-GB"/>
              </w:rPr>
            </w:pPr>
            <w:r>
              <w:rPr>
                <w:rFonts w:ascii="Tahoma" w:eastAsia="Tahoma" w:hAnsi="Tahoma" w:cs="Tahoma"/>
                <w:color w:val="1D2828"/>
                <w:sz w:val="16"/>
              </w:rPr>
              <w:t>The ICP is getting more involved and starting to come up with proposals to divert activity and release pressures</w:t>
            </w:r>
          </w:p>
        </w:tc>
      </w:tr>
      <w:tr w:rsidR="00204D22" w:rsidRPr="00DF67E9" w:rsidTr="00223926">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163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23926" w:rsidP="00223926">
            <w:pPr>
              <w:rPr>
                <w:rFonts w:ascii="Tahoma" w:eastAsia="Tahoma" w:hAnsi="Tahoma" w:cs="Tahoma"/>
                <w:color w:val="1D2828"/>
                <w:sz w:val="16"/>
                <w:szCs w:val="24"/>
                <w:lang w:eastAsia="en-GB"/>
              </w:rPr>
            </w:pPr>
            <w:r>
              <w:rPr>
                <w:rFonts w:ascii="Tahoma" w:eastAsia="Tahoma" w:hAnsi="Tahoma" w:cs="Tahoma"/>
                <w:color w:val="1D2828"/>
                <w:sz w:val="16"/>
              </w:rPr>
              <w:t>Need assurance of collaborative arrangements with other providers.</w:t>
            </w:r>
          </w:p>
        </w:tc>
      </w:tr>
      <w:tr w:rsidR="00204D22" w:rsidRPr="00DF67E9" w:rsidTr="00223926">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163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04D22" w:rsidRPr="00DF67E9" w:rsidRDefault="00204D22"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Default="00223926" w:rsidP="00223926">
            <w:pPr>
              <w:rPr>
                <w:rFonts w:ascii="Tahoma" w:eastAsia="Tahoma" w:hAnsi="Tahoma" w:cs="Tahoma"/>
                <w:b/>
                <w:color w:val="000000"/>
                <w:sz w:val="16"/>
              </w:rPr>
            </w:pPr>
            <w:r>
              <w:rPr>
                <w:rFonts w:ascii="Tahoma" w:eastAsia="Tahoma" w:hAnsi="Tahoma" w:cs="Tahoma"/>
                <w:color w:val="1D2828"/>
                <w:sz w:val="16"/>
              </w:rPr>
              <w:t>Reporting to Governing Body working to effectively highlight all the collaborative arrangements</w:t>
            </w:r>
          </w:p>
          <w:p w:rsidR="00204D22" w:rsidRPr="00DF67E9" w:rsidRDefault="00223926" w:rsidP="00223926">
            <w:pPr>
              <w:rPr>
                <w:rFonts w:ascii="Tahoma" w:eastAsia="Tahoma" w:hAnsi="Tahoma" w:cs="Tahoma"/>
                <w:color w:val="1D2828"/>
                <w:sz w:val="16"/>
                <w:szCs w:val="24"/>
                <w:lang w:eastAsia="en-GB"/>
              </w:rPr>
            </w:pPr>
            <w:r>
              <w:rPr>
                <w:rFonts w:ascii="Tahoma" w:eastAsia="Tahoma" w:hAnsi="Tahoma" w:cs="Tahoma"/>
                <w:color w:val="1D2828"/>
                <w:sz w:val="16"/>
              </w:rPr>
              <w:t xml:space="preserve">As part of the acute services review the Clinical strategy group (strategic clinical officers at </w:t>
            </w:r>
            <w:proofErr w:type="spellStart"/>
            <w:r>
              <w:rPr>
                <w:rFonts w:ascii="Tahoma" w:eastAsia="Tahoma" w:hAnsi="Tahoma" w:cs="Tahoma"/>
                <w:color w:val="1D2828"/>
                <w:sz w:val="16"/>
              </w:rPr>
              <w:t>NLaG</w:t>
            </w:r>
            <w:proofErr w:type="spellEnd"/>
            <w:r>
              <w:rPr>
                <w:rFonts w:ascii="Tahoma" w:eastAsia="Tahoma" w:hAnsi="Tahoma" w:cs="Tahoma"/>
                <w:color w:val="1D2828"/>
                <w:sz w:val="16"/>
              </w:rPr>
              <w:t xml:space="preserve"> and senior leadership from both CCGs) has been convened to look at potential options for a future service delivery which will need to be shared with the CCG.</w:t>
            </w:r>
          </w:p>
        </w:tc>
      </w:tr>
      <w:tr w:rsidR="00223926" w:rsidRPr="00DF67E9" w:rsidTr="00223926">
        <w:tc>
          <w:tcPr>
            <w:tcW w:w="8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163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Pr="00223926" w:rsidRDefault="00223926" w:rsidP="00A1171F">
            <w:pPr>
              <w:rPr>
                <w:rFonts w:ascii="Tahoma" w:eastAsia="Tahoma" w:hAnsi="Tahoma" w:cs="Tahoma"/>
                <w:color w:val="1D2828"/>
                <w:sz w:val="16"/>
                <w:szCs w:val="24"/>
                <w:lang w:eastAsia="en-GB"/>
              </w:rPr>
            </w:pPr>
          </w:p>
        </w:tc>
        <w:tc>
          <w:tcPr>
            <w:tcW w:w="7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Default="00223926" w:rsidP="00A1171F">
            <w:pPr>
              <w:rPr>
                <w:rFonts w:ascii="Tahoma" w:eastAsia="Tahoma" w:hAnsi="Tahoma" w:cs="Tahoma"/>
                <w:color w:val="1D2828"/>
                <w:sz w:val="16"/>
                <w:szCs w:val="24"/>
                <w:lang w:eastAsia="en-GB"/>
              </w:rPr>
            </w:pPr>
          </w:p>
        </w:tc>
        <w:tc>
          <w:tcPr>
            <w:tcW w:w="7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Default="00223926" w:rsidP="00A1171F">
            <w:pPr>
              <w:rPr>
                <w:rFonts w:ascii="Tahoma" w:eastAsia="Tahoma" w:hAnsi="Tahoma" w:cs="Tahoma"/>
                <w:color w:val="1D2828"/>
                <w:sz w:val="16"/>
                <w:szCs w:val="24"/>
                <w:lang w:eastAsia="en-GB"/>
              </w:rPr>
            </w:pPr>
          </w:p>
        </w:tc>
        <w:tc>
          <w:tcPr>
            <w:tcW w:w="7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Default="00223926" w:rsidP="00A1171F">
            <w:pPr>
              <w:rPr>
                <w:rFonts w:ascii="Lucida Sans Unicode" w:eastAsia="Lucida Sans Unicode" w:hAnsi="Lucida Sans Unicode" w:cs="Lucida Sans Unicode"/>
                <w:noProof/>
                <w:color w:val="1D2828"/>
                <w:sz w:val="18"/>
                <w:szCs w:val="24"/>
                <w:lang w:eastAsia="en-GB"/>
              </w:rPr>
            </w:pPr>
          </w:p>
        </w:tc>
        <w:tc>
          <w:tcPr>
            <w:tcW w:w="8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Pr="00DF67E9" w:rsidRDefault="00223926" w:rsidP="00A1171F">
            <w:pPr>
              <w:rPr>
                <w:rFonts w:ascii="Tahoma" w:eastAsia="Tahoma" w:hAnsi="Tahoma" w:cs="Tahoma"/>
                <w:b/>
                <w:color w:val="000000"/>
                <w:sz w:val="16"/>
                <w:szCs w:val="24"/>
                <w:lang w:eastAsia="en-GB"/>
              </w:rPr>
            </w:pPr>
          </w:p>
        </w:tc>
        <w:tc>
          <w:tcPr>
            <w:tcW w:w="92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223926" w:rsidRPr="00223926" w:rsidRDefault="00223926" w:rsidP="00223926">
            <w:pPr>
              <w:rPr>
                <w:rFonts w:ascii="Tahoma" w:eastAsia="Tahoma" w:hAnsi="Tahoma" w:cs="Tahoma"/>
                <w:color w:val="1D2828"/>
                <w:sz w:val="16"/>
              </w:rPr>
            </w:pPr>
          </w:p>
        </w:tc>
      </w:tr>
      <w:tr w:rsidR="00223926" w:rsidRPr="00DF67E9" w:rsidTr="00A1171F">
        <w:tc>
          <w:tcPr>
            <w:tcW w:w="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w:t>
            </w:r>
            <w:r>
              <w:rPr>
                <w:rFonts w:ascii="Tahoma" w:eastAsia="Tahoma" w:hAnsi="Tahoma" w:cs="Tahoma"/>
                <w:color w:val="1D2828"/>
                <w:sz w:val="16"/>
                <w:szCs w:val="24"/>
                <w:lang w:eastAsia="en-GB"/>
              </w:rPr>
              <w:t xml:space="preserve">   </w:t>
            </w:r>
            <w:r w:rsidRPr="00DF67E9">
              <w:rPr>
                <w:rFonts w:ascii="Tahoma" w:eastAsia="Tahoma" w:hAnsi="Tahoma" w:cs="Tahoma"/>
                <w:color w:val="1D2828"/>
                <w:sz w:val="16"/>
                <w:szCs w:val="24"/>
                <w:lang w:eastAsia="en-GB"/>
              </w:rPr>
              <w:t>BAF.</w:t>
            </w:r>
            <w:r>
              <w:t xml:space="preserve"> </w:t>
            </w:r>
            <w:r w:rsidRPr="00223926">
              <w:rPr>
                <w:rFonts w:ascii="Tahoma" w:eastAsia="Tahoma" w:hAnsi="Tahoma" w:cs="Tahoma"/>
                <w:color w:val="1D2828"/>
                <w:sz w:val="16"/>
                <w:szCs w:val="24"/>
                <w:lang w:eastAsia="en-GB"/>
              </w:rPr>
              <w:t>3005</w:t>
            </w:r>
          </w:p>
        </w:tc>
        <w:tc>
          <w:tcPr>
            <w:tcW w:w="16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sidRPr="00223926">
              <w:rPr>
                <w:rFonts w:ascii="Tahoma" w:eastAsia="Tahoma" w:hAnsi="Tahoma" w:cs="Tahoma"/>
                <w:color w:val="1D2828"/>
                <w:sz w:val="16"/>
                <w:szCs w:val="24"/>
                <w:lang w:eastAsia="en-GB"/>
              </w:rPr>
              <w:t>Instability in partnership finances or services/costs leads to unaffordable consequences for the CCG  within the current year</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12</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16</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0F6058DB" wp14:editId="7E3D91A3">
                  <wp:extent cx="205740" cy="2057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Lucida Sans Unicode" w:eastAsia="Lucida Sans Unicode" w:hAnsi="Lucida Sans Unicode" w:cs="Lucida Sans Unicode"/>
                <w:color w:val="1D2828"/>
                <w:sz w:val="18"/>
                <w:szCs w:val="24"/>
                <w:lang w:eastAsia="en-GB"/>
              </w:rPr>
            </w:pPr>
            <w:r>
              <w:rPr>
                <w:rFonts w:ascii="Tahoma" w:eastAsia="Tahoma" w:hAnsi="Tahoma" w:cs="Tahoma"/>
                <w:color w:val="1D2828"/>
                <w:sz w:val="16"/>
                <w:szCs w:val="24"/>
                <w:lang w:eastAsia="en-GB"/>
              </w:rPr>
              <w:t>15 Feb 19</w:t>
            </w: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223926" w:rsidRDefault="00223926" w:rsidP="00223926">
            <w:pPr>
              <w:rPr>
                <w:rFonts w:ascii="Tahoma" w:eastAsia="Tahoma" w:hAnsi="Tahoma" w:cs="Tahoma"/>
                <w:color w:val="1D2828"/>
                <w:sz w:val="16"/>
              </w:rPr>
            </w:pPr>
            <w:r w:rsidRPr="00223926">
              <w:rPr>
                <w:rFonts w:ascii="Tahoma" w:eastAsia="Tahoma" w:hAnsi="Tahoma" w:cs="Tahoma"/>
                <w:color w:val="1D2828"/>
                <w:sz w:val="16"/>
              </w:rPr>
              <w:t>Routine financial reports to the Governing Body</w:t>
            </w:r>
          </w:p>
          <w:p w:rsidR="00223926" w:rsidRPr="00223926" w:rsidRDefault="00223926" w:rsidP="00223926">
            <w:pPr>
              <w:rPr>
                <w:rFonts w:ascii="Tahoma" w:eastAsia="Tahoma" w:hAnsi="Tahoma" w:cs="Tahoma"/>
                <w:color w:val="1D2828"/>
                <w:sz w:val="16"/>
              </w:rPr>
            </w:pPr>
            <w:r w:rsidRPr="00223926">
              <w:rPr>
                <w:rFonts w:ascii="Tahoma" w:eastAsia="Tahoma" w:hAnsi="Tahoma" w:cs="Tahoma"/>
                <w:color w:val="1D2828"/>
                <w:sz w:val="16"/>
              </w:rPr>
              <w:t xml:space="preserve">Delivery Assurance Committee scrutiny of financial plan delivery  </w:t>
            </w:r>
          </w:p>
          <w:p w:rsidR="00223926" w:rsidRPr="00223926" w:rsidRDefault="00223926" w:rsidP="00223926">
            <w:pPr>
              <w:rPr>
                <w:rFonts w:ascii="Tahoma" w:eastAsia="Tahoma" w:hAnsi="Tahoma" w:cs="Tahoma"/>
                <w:color w:val="1D2828"/>
                <w:sz w:val="16"/>
              </w:rPr>
            </w:pPr>
            <w:proofErr w:type="spellStart"/>
            <w:r w:rsidRPr="00223926">
              <w:rPr>
                <w:rFonts w:ascii="Tahoma" w:eastAsia="Tahoma" w:hAnsi="Tahoma" w:cs="Tahoma"/>
                <w:color w:val="1D2828"/>
                <w:sz w:val="16"/>
              </w:rPr>
              <w:t>QiPP</w:t>
            </w:r>
            <w:proofErr w:type="spellEnd"/>
            <w:r w:rsidRPr="00223926">
              <w:rPr>
                <w:rFonts w:ascii="Tahoma" w:eastAsia="Tahoma" w:hAnsi="Tahoma" w:cs="Tahoma"/>
                <w:color w:val="1D2828"/>
                <w:sz w:val="16"/>
              </w:rPr>
              <w:t xml:space="preserve"> monitoring</w:t>
            </w:r>
          </w:p>
          <w:p w:rsidR="00223926" w:rsidRDefault="00223926" w:rsidP="00223926">
            <w:pPr>
              <w:rPr>
                <w:rFonts w:ascii="Tahoma" w:eastAsia="Tahoma" w:hAnsi="Tahoma" w:cs="Tahoma"/>
                <w:color w:val="1D2828"/>
                <w:sz w:val="16"/>
              </w:rPr>
            </w:pPr>
            <w:r w:rsidRPr="00223926">
              <w:rPr>
                <w:rFonts w:ascii="Tahoma" w:eastAsia="Tahoma" w:hAnsi="Tahoma" w:cs="Tahoma"/>
                <w:color w:val="1D2828"/>
                <w:sz w:val="16"/>
              </w:rPr>
              <w:t>Local health community financial monitoring and reporting via the ICP finance group and STP Finance and Planning Group</w:t>
            </w:r>
          </w:p>
        </w:tc>
      </w:tr>
      <w:tr w:rsidR="00223926" w:rsidRPr="00DF67E9" w:rsidTr="00223926">
        <w:trPr>
          <w:trHeight w:val="277"/>
        </w:trPr>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163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223926">
            <w:pPr>
              <w:rPr>
                <w:rFonts w:ascii="Tahoma" w:eastAsia="Tahoma" w:hAnsi="Tahoma" w:cs="Tahoma"/>
                <w:color w:val="1D2828"/>
                <w:sz w:val="16"/>
                <w:szCs w:val="24"/>
                <w:lang w:eastAsia="en-GB"/>
              </w:rPr>
            </w:pPr>
            <w:r>
              <w:rPr>
                <w:rFonts w:ascii="Tahoma" w:eastAsia="Tahoma" w:hAnsi="Tahoma" w:cs="Tahoma"/>
                <w:color w:val="1D2828"/>
                <w:sz w:val="16"/>
              </w:rPr>
              <w:t>SIB (System Improvement Board) assurance</w:t>
            </w:r>
          </w:p>
        </w:tc>
      </w:tr>
      <w:tr w:rsidR="00223926" w:rsidRPr="00DF67E9" w:rsidTr="00A1171F">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163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None identified</w:t>
            </w:r>
          </w:p>
        </w:tc>
      </w:tr>
      <w:tr w:rsidR="00223926" w:rsidRPr="00DF67E9" w:rsidTr="00A1171F">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1638"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83"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22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3926" w:rsidRPr="00DF67E9" w:rsidRDefault="00223926" w:rsidP="00A1171F">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 xml:space="preserve">None identified. </w:t>
            </w:r>
          </w:p>
        </w:tc>
      </w:tr>
    </w:tbl>
    <w:p w:rsidR="00204D22" w:rsidRDefault="00204D22" w:rsidP="00204D22">
      <w:pPr>
        <w:rPr>
          <w:rFonts w:ascii="Calibri" w:eastAsia="MS Mincho" w:hAnsi="Calibri" w:cs="Calibri"/>
          <w:color w:val="000000"/>
          <w:sz w:val="20"/>
          <w:lang w:eastAsia="en-GB"/>
        </w:rPr>
      </w:pPr>
    </w:p>
    <w:p w:rsidR="00223926" w:rsidRDefault="00204D22" w:rsidP="00204D22">
      <w:pPr>
        <w:rPr>
          <w:rFonts w:ascii="Calibri" w:eastAsia="MS Mincho" w:hAnsi="Calibri" w:cs="Calibri"/>
          <w:color w:val="000000"/>
          <w:sz w:val="20"/>
          <w:lang w:eastAsia="en-GB"/>
        </w:rPr>
      </w:pPr>
      <w:r>
        <w:rPr>
          <w:rFonts w:ascii="Calibri" w:eastAsia="MS Mincho" w:hAnsi="Calibri" w:cs="Calibri"/>
          <w:color w:val="000000"/>
          <w:sz w:val="20"/>
          <w:lang w:eastAsia="en-GB"/>
        </w:rPr>
        <w:t xml:space="preserve">   </w:t>
      </w:r>
    </w:p>
    <w:p w:rsidR="00204D22" w:rsidRPr="007D260D" w:rsidRDefault="00204D22" w:rsidP="00204D22">
      <w:pPr>
        <w:rPr>
          <w:rFonts w:ascii="Calibri" w:eastAsia="MS Mincho" w:hAnsi="Calibri" w:cs="Calibri"/>
          <w:b/>
          <w:color w:val="000000"/>
          <w:szCs w:val="24"/>
          <w:lang w:eastAsia="en-GB"/>
        </w:rPr>
      </w:pPr>
      <w:r w:rsidRPr="007D260D">
        <w:rPr>
          <w:rFonts w:ascii="Calibri" w:eastAsia="MS Mincho" w:hAnsi="Calibri" w:cs="Calibri"/>
          <w:b/>
          <w:color w:val="000000"/>
          <w:szCs w:val="24"/>
          <w:lang w:eastAsia="en-GB"/>
        </w:rPr>
        <w:t xml:space="preserve">Recommendations </w:t>
      </w:r>
    </w:p>
    <w:p w:rsidR="00204D22" w:rsidRDefault="00223926" w:rsidP="00204D22">
      <w:pPr>
        <w:pStyle w:val="ListParagraph"/>
        <w:numPr>
          <w:ilvl w:val="0"/>
          <w:numId w:val="9"/>
        </w:numPr>
        <w:rPr>
          <w:rFonts w:eastAsia="MS Mincho" w:cs="Calibri"/>
          <w:color w:val="000000"/>
          <w:lang w:eastAsia="en-GB"/>
        </w:rPr>
      </w:pPr>
      <w:r>
        <w:rPr>
          <w:rFonts w:eastAsia="MS Mincho" w:cs="Calibri"/>
          <w:color w:val="000000"/>
          <w:lang w:eastAsia="en-GB"/>
        </w:rPr>
        <w:t xml:space="preserve">Governing Body Members </w:t>
      </w:r>
      <w:r w:rsidR="00204D22" w:rsidRPr="007D260D">
        <w:rPr>
          <w:rFonts w:eastAsia="MS Mincho" w:cs="Calibri"/>
          <w:color w:val="000000"/>
          <w:lang w:eastAsia="en-GB"/>
        </w:rPr>
        <w:t xml:space="preserve"> are asked to note:</w:t>
      </w:r>
    </w:p>
    <w:p w:rsidR="00223926" w:rsidRPr="00223926" w:rsidRDefault="00223926" w:rsidP="00223926">
      <w:pPr>
        <w:pStyle w:val="ListParagraph"/>
        <w:numPr>
          <w:ilvl w:val="0"/>
          <w:numId w:val="10"/>
        </w:numPr>
        <w:autoSpaceDE w:val="0"/>
        <w:autoSpaceDN w:val="0"/>
        <w:adjustRightInd w:val="0"/>
        <w:jc w:val="both"/>
        <w:rPr>
          <w:rFonts w:eastAsia="MS Mincho" w:cs="Calibri"/>
          <w:color w:val="000000"/>
          <w:lang w:eastAsia="en-GB"/>
        </w:rPr>
      </w:pPr>
      <w:r w:rsidRPr="00223926">
        <w:rPr>
          <w:rFonts w:eastAsia="MS Mincho" w:cs="Calibri"/>
          <w:color w:val="000000"/>
          <w:lang w:eastAsia="en-GB"/>
        </w:rPr>
        <w:t>The update provided;</w:t>
      </w:r>
    </w:p>
    <w:p w:rsidR="00223926" w:rsidRPr="00223926" w:rsidRDefault="00223926" w:rsidP="00223926">
      <w:pPr>
        <w:pStyle w:val="ListParagraph"/>
        <w:numPr>
          <w:ilvl w:val="0"/>
          <w:numId w:val="10"/>
        </w:numPr>
        <w:autoSpaceDE w:val="0"/>
        <w:autoSpaceDN w:val="0"/>
        <w:adjustRightInd w:val="0"/>
        <w:jc w:val="both"/>
        <w:rPr>
          <w:rFonts w:eastAsia="MS Mincho" w:cs="Calibri"/>
          <w:color w:val="000000"/>
          <w:lang w:eastAsia="en-GB"/>
        </w:rPr>
      </w:pPr>
      <w:r w:rsidRPr="00223926">
        <w:rPr>
          <w:rFonts w:eastAsia="MS Mincho" w:cs="Calibri"/>
          <w:color w:val="000000"/>
          <w:lang w:eastAsia="en-GB"/>
        </w:rPr>
        <w:t>Review the BAF and identify any gaps and;</w:t>
      </w:r>
    </w:p>
    <w:p w:rsidR="00204D22" w:rsidRDefault="00223926" w:rsidP="00223926">
      <w:pPr>
        <w:pStyle w:val="ListParagraph"/>
        <w:numPr>
          <w:ilvl w:val="0"/>
          <w:numId w:val="10"/>
        </w:numPr>
        <w:autoSpaceDE w:val="0"/>
        <w:autoSpaceDN w:val="0"/>
        <w:adjustRightInd w:val="0"/>
        <w:jc w:val="both"/>
        <w:rPr>
          <w:rFonts w:eastAsia="MS Mincho" w:cs="Calibri"/>
          <w:color w:val="000000"/>
          <w:lang w:eastAsia="en-GB"/>
        </w:rPr>
      </w:pPr>
      <w:r w:rsidRPr="00223926">
        <w:rPr>
          <w:rFonts w:eastAsia="MS Mincho" w:cs="Calibri"/>
          <w:color w:val="000000"/>
          <w:lang w:eastAsia="en-GB"/>
        </w:rPr>
        <w:t>The level of assurance received by the CCG, in relation to its strategic risks and comment where appropriate.</w:t>
      </w:r>
    </w:p>
    <w:sectPr w:rsidR="00204D22" w:rsidSect="00204D22">
      <w:pgSz w:w="16840" w:h="11900" w:orient="landscape"/>
      <w:pgMar w:top="567" w:right="567" w:bottom="567" w:left="567" w:header="0"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DF" w:rsidRDefault="00B904DF" w:rsidP="00E1284E">
      <w:r>
        <w:separator/>
      </w:r>
    </w:p>
  </w:endnote>
  <w:endnote w:type="continuationSeparator" w:id="0">
    <w:p w:rsidR="00B904DF" w:rsidRDefault="00B904D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061992">
      <w:rPr>
        <w:noProof/>
      </w:rPr>
      <w:t>5</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DF" w:rsidRDefault="00B904DF" w:rsidP="00E1284E">
      <w:r>
        <w:separator/>
      </w:r>
    </w:p>
  </w:footnote>
  <w:footnote w:type="continuationSeparator" w:id="0">
    <w:p w:rsidR="00B904DF" w:rsidRDefault="00B904D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E303A"/>
    <w:multiLevelType w:val="hybridMultilevel"/>
    <w:tmpl w:val="4B7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C28B8"/>
    <w:multiLevelType w:val="hybridMultilevel"/>
    <w:tmpl w:val="53FC72EE"/>
    <w:lvl w:ilvl="0" w:tplc="81CCD448">
      <w:start w:val="4"/>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BC7D6B"/>
    <w:multiLevelType w:val="hybridMultilevel"/>
    <w:tmpl w:val="B9B0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C2ABF"/>
    <w:multiLevelType w:val="multilevel"/>
    <w:tmpl w:val="4AC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5"/>
  </w:num>
  <w:num w:numId="5">
    <w:abstractNumId w:val="0"/>
  </w:num>
  <w:num w:numId="6">
    <w:abstractNumId w:val="7"/>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61992"/>
    <w:rsid w:val="0009052F"/>
    <w:rsid w:val="00096E41"/>
    <w:rsid w:val="000A554D"/>
    <w:rsid w:val="000A7EB7"/>
    <w:rsid w:val="000C4D3C"/>
    <w:rsid w:val="000C70E4"/>
    <w:rsid w:val="000D1426"/>
    <w:rsid w:val="000D1B0D"/>
    <w:rsid w:val="00107535"/>
    <w:rsid w:val="001139C9"/>
    <w:rsid w:val="00136B75"/>
    <w:rsid w:val="00144ED4"/>
    <w:rsid w:val="001556E0"/>
    <w:rsid w:val="00160986"/>
    <w:rsid w:val="0016479A"/>
    <w:rsid w:val="001824DB"/>
    <w:rsid w:val="001D2409"/>
    <w:rsid w:val="001E1C79"/>
    <w:rsid w:val="001E4A82"/>
    <w:rsid w:val="002044CF"/>
    <w:rsid w:val="00204D22"/>
    <w:rsid w:val="002054A0"/>
    <w:rsid w:val="00223926"/>
    <w:rsid w:val="00246A4E"/>
    <w:rsid w:val="00246EFA"/>
    <w:rsid w:val="0028419C"/>
    <w:rsid w:val="00290643"/>
    <w:rsid w:val="002F38A7"/>
    <w:rsid w:val="00306A1B"/>
    <w:rsid w:val="003D7845"/>
    <w:rsid w:val="004458C3"/>
    <w:rsid w:val="00453E4B"/>
    <w:rsid w:val="00462732"/>
    <w:rsid w:val="00473CC5"/>
    <w:rsid w:val="004E32B5"/>
    <w:rsid w:val="004F5317"/>
    <w:rsid w:val="004F6116"/>
    <w:rsid w:val="005310F1"/>
    <w:rsid w:val="0054308A"/>
    <w:rsid w:val="005A0D0A"/>
    <w:rsid w:val="005A4EC5"/>
    <w:rsid w:val="005A53D1"/>
    <w:rsid w:val="005B0C13"/>
    <w:rsid w:val="006006E6"/>
    <w:rsid w:val="006330C7"/>
    <w:rsid w:val="00663808"/>
    <w:rsid w:val="00681821"/>
    <w:rsid w:val="00697B0F"/>
    <w:rsid w:val="006A23CE"/>
    <w:rsid w:val="006C1307"/>
    <w:rsid w:val="006F3A4E"/>
    <w:rsid w:val="007017E0"/>
    <w:rsid w:val="00703268"/>
    <w:rsid w:val="0071072D"/>
    <w:rsid w:val="00734128"/>
    <w:rsid w:val="007405E7"/>
    <w:rsid w:val="00755446"/>
    <w:rsid w:val="007663C8"/>
    <w:rsid w:val="00793F90"/>
    <w:rsid w:val="007C526F"/>
    <w:rsid w:val="007D1C13"/>
    <w:rsid w:val="007E1C2F"/>
    <w:rsid w:val="007E2A23"/>
    <w:rsid w:val="008044FD"/>
    <w:rsid w:val="008336DE"/>
    <w:rsid w:val="00846301"/>
    <w:rsid w:val="00876931"/>
    <w:rsid w:val="00891F20"/>
    <w:rsid w:val="00893409"/>
    <w:rsid w:val="008C5A15"/>
    <w:rsid w:val="00901CC0"/>
    <w:rsid w:val="00911F40"/>
    <w:rsid w:val="009169E9"/>
    <w:rsid w:val="009245B1"/>
    <w:rsid w:val="0092546C"/>
    <w:rsid w:val="0098436E"/>
    <w:rsid w:val="00991A1C"/>
    <w:rsid w:val="00995A9E"/>
    <w:rsid w:val="009C783E"/>
    <w:rsid w:val="009D39DE"/>
    <w:rsid w:val="009D4EDC"/>
    <w:rsid w:val="009E329F"/>
    <w:rsid w:val="009E45D2"/>
    <w:rsid w:val="00A0148B"/>
    <w:rsid w:val="00A0236F"/>
    <w:rsid w:val="00A218A3"/>
    <w:rsid w:val="00A236EA"/>
    <w:rsid w:val="00A34173"/>
    <w:rsid w:val="00A66D55"/>
    <w:rsid w:val="00A9358C"/>
    <w:rsid w:val="00A977E0"/>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67DF1"/>
    <w:rsid w:val="00C81EF3"/>
    <w:rsid w:val="00CA0DE2"/>
    <w:rsid w:val="00CA348E"/>
    <w:rsid w:val="00CA4E8E"/>
    <w:rsid w:val="00CB1860"/>
    <w:rsid w:val="00CC2C55"/>
    <w:rsid w:val="00CF20A6"/>
    <w:rsid w:val="00CF347F"/>
    <w:rsid w:val="00CF395E"/>
    <w:rsid w:val="00D00012"/>
    <w:rsid w:val="00D3211A"/>
    <w:rsid w:val="00D42959"/>
    <w:rsid w:val="00D7667F"/>
    <w:rsid w:val="00DB37E5"/>
    <w:rsid w:val="00DE0BED"/>
    <w:rsid w:val="00DE185E"/>
    <w:rsid w:val="00E063AD"/>
    <w:rsid w:val="00E1284E"/>
    <w:rsid w:val="00E26D6F"/>
    <w:rsid w:val="00E402F3"/>
    <w:rsid w:val="00E52FDA"/>
    <w:rsid w:val="00E61AF0"/>
    <w:rsid w:val="00E72942"/>
    <w:rsid w:val="00E72F52"/>
    <w:rsid w:val="00E73B61"/>
    <w:rsid w:val="00E76606"/>
    <w:rsid w:val="00E86651"/>
    <w:rsid w:val="00E97305"/>
    <w:rsid w:val="00E97542"/>
    <w:rsid w:val="00EA4E01"/>
    <w:rsid w:val="00EB634A"/>
    <w:rsid w:val="00ED6CD2"/>
    <w:rsid w:val="00F300A1"/>
    <w:rsid w:val="00F54DEB"/>
    <w:rsid w:val="00F86062"/>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ED2818"/>
  <w15:docId w15:val="{5431D2C8-214F-41D0-A357-E376C063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808814417">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FB86-9472-49FE-8027-121EDCBD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5</cp:revision>
  <cp:lastPrinted>2015-02-05T14:14:00Z</cp:lastPrinted>
  <dcterms:created xsi:type="dcterms:W3CDTF">2019-03-15T13:36:00Z</dcterms:created>
  <dcterms:modified xsi:type="dcterms:W3CDTF">2019-03-22T15:04:00Z</dcterms:modified>
</cp:coreProperties>
</file>