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75" w:rsidRPr="00E73B61" w:rsidRDefault="001D2409" w:rsidP="00E73B61">
      <w:pPr>
        <w:ind w:left="5041"/>
        <w:jc w:val="right"/>
        <w:rPr>
          <w:noProof/>
          <w:lang w:eastAsia="en-GB"/>
        </w:rPr>
      </w:pPr>
      <w:bookmarkStart w:id="0" w:name="_GoBack"/>
      <w:bookmarkEnd w:id="0"/>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-86995</wp:posOffset>
                </wp:positionH>
                <wp:positionV relativeFrom="paragraph">
                  <wp:posOffset>393065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r w:rsidR="007901EF">
                              <w:rPr>
                                <w:rFonts w:ascii="Calibri" w:hAnsi="Calibri"/>
                                <w:b/>
                                <w:sz w:val="22"/>
                                <w:szCs w:val="22"/>
                              </w:rPr>
                              <w:t xml:space="preserve">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6.85pt;margin-top:30.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r w:rsidR="007901EF">
                        <w:rPr>
                          <w:rFonts w:ascii="Calibri" w:hAnsi="Calibri"/>
                          <w:b/>
                          <w:sz w:val="22"/>
                          <w:szCs w:val="22"/>
                        </w:rPr>
                        <w:t xml:space="preserve"> 10</w:t>
                      </w:r>
                    </w:p>
                  </w:txbxContent>
                </v:textbox>
              </v:rect>
            </w:pict>
          </mc:Fallback>
        </mc:AlternateContent>
      </w:r>
      <w:r w:rsidR="003D7845" w:rsidRPr="003D7845">
        <w:t xml:space="preserve"> </w:t>
      </w:r>
      <w:r>
        <w:rPr>
          <w:noProof/>
          <w:lang w:eastAsia="en-GB"/>
        </w:rPr>
        <w:drawing>
          <wp:inline distT="0" distB="0" distL="0" distR="0">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1D463DDB" wp14:editId="2ABFBC7F">
                <wp:simplePos x="0" y="0"/>
                <wp:positionH relativeFrom="column">
                  <wp:posOffset>-70485</wp:posOffset>
                </wp:positionH>
                <wp:positionV relativeFrom="paragraph">
                  <wp:posOffset>10795</wp:posOffset>
                </wp:positionV>
                <wp:extent cx="6911340" cy="1310640"/>
                <wp:effectExtent l="19050" t="19050" r="22860" b="2286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310640"/>
                        </a:xfrm>
                        <a:prstGeom prst="rect">
                          <a:avLst/>
                        </a:prstGeom>
                        <a:solidFill>
                          <a:srgbClr val="FFFFFF"/>
                        </a:solidFill>
                        <a:ln w="38100" cmpd="dbl">
                          <a:solidFill>
                            <a:srgbClr val="000000"/>
                          </a:solidFill>
                          <a:miter lim="800000"/>
                          <a:headEnd/>
                          <a:tailEnd/>
                        </a:ln>
                      </wps:spPr>
                      <wps:txb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4B444D">
                              <w:rPr>
                                <w:rFonts w:ascii="Calibri" w:hAnsi="Calibri"/>
                                <w:sz w:val="22"/>
                                <w:szCs w:val="22"/>
                              </w:rPr>
                              <w:t xml:space="preserve"> (Governing Body</w:t>
                            </w:r>
                            <w:r w:rsidR="0013341F">
                              <w:rPr>
                                <w:rFonts w:ascii="Calibri" w:hAnsi="Calibri"/>
                                <w:sz w:val="22"/>
                                <w:szCs w:val="22"/>
                              </w:rPr>
                              <w:t>/</w:t>
                            </w:r>
                            <w:r w:rsidR="00FB449C" w:rsidRPr="000D1B0D">
                              <w:rPr>
                                <w:rFonts w:ascii="Calibri" w:hAnsi="Calibri"/>
                                <w:sz w:val="22"/>
                                <w:szCs w:val="22"/>
                              </w:rPr>
                              <w:t>Committee)</w:t>
                            </w:r>
                            <w:r w:rsidRPr="000D1B0D">
                              <w:rPr>
                                <w:rFonts w:ascii="Calibri" w:hAnsi="Calibri"/>
                                <w:sz w:val="22"/>
                                <w:szCs w:val="22"/>
                              </w:rPr>
                              <w:t>:</w:t>
                            </w:r>
                            <w:r w:rsidR="00F47C8C">
                              <w:rPr>
                                <w:rFonts w:ascii="Calibri" w:hAnsi="Calibri"/>
                                <w:sz w:val="22"/>
                                <w:szCs w:val="22"/>
                              </w:rPr>
                              <w:t xml:space="preserve"> Governing Body</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F47C8C">
                              <w:rPr>
                                <w:rFonts w:ascii="Calibri" w:hAnsi="Calibri"/>
                                <w:sz w:val="22"/>
                                <w:szCs w:val="22"/>
                              </w:rPr>
                              <w:t xml:space="preserve"> 28</w:t>
                            </w:r>
                            <w:r w:rsidR="00F47C8C" w:rsidRPr="00F47C8C">
                              <w:rPr>
                                <w:rFonts w:ascii="Calibri" w:hAnsi="Calibri"/>
                                <w:sz w:val="22"/>
                                <w:szCs w:val="22"/>
                                <w:vertAlign w:val="superscript"/>
                              </w:rPr>
                              <w:t>th</w:t>
                            </w:r>
                            <w:r w:rsidR="00F47C8C">
                              <w:rPr>
                                <w:rFonts w:ascii="Calibri" w:hAnsi="Calibri"/>
                                <w:sz w:val="22"/>
                                <w:szCs w:val="22"/>
                              </w:rPr>
                              <w:t xml:space="preserve"> March 2019</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F47C8C">
                              <w:rPr>
                                <w:rFonts w:ascii="Calibri" w:hAnsi="Calibri"/>
                                <w:sz w:val="22"/>
                                <w:szCs w:val="22"/>
                              </w:rPr>
                              <w:t xml:space="preserve"> EU Exit Preparations </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F47C8C">
                              <w:rPr>
                                <w:rFonts w:ascii="Calibri" w:hAnsi="Calibri"/>
                                <w:sz w:val="22"/>
                                <w:szCs w:val="22"/>
                              </w:rPr>
                              <w:t xml:space="preserve"> Helen Kenyon </w:t>
                            </w:r>
                            <w:proofErr w:type="gramStart"/>
                            <w:r w:rsidR="00F47C8C">
                              <w:rPr>
                                <w:rFonts w:ascii="Calibri" w:hAnsi="Calibri"/>
                                <w:sz w:val="22"/>
                                <w:szCs w:val="22"/>
                              </w:rPr>
                              <w:t>-  EU</w:t>
                            </w:r>
                            <w:proofErr w:type="gramEnd"/>
                            <w:r w:rsidR="00F47C8C">
                              <w:rPr>
                                <w:rFonts w:ascii="Calibri" w:hAnsi="Calibri"/>
                                <w:sz w:val="22"/>
                                <w:szCs w:val="22"/>
                              </w:rPr>
                              <w:t xml:space="preserve"> Exit SRO.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63DDB" id="Rectangle 11" o:spid="_x0000_s1027" style="position:absolute;left:0;text-align:left;margin-left:-5.55pt;margin-top:.85pt;width:544.2pt;height:10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" strokeweight="3pt">
                <v:stroke linestyle="thinThin"/>
                <v:textbo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4B444D">
                        <w:rPr>
                          <w:rFonts w:ascii="Calibri" w:hAnsi="Calibri"/>
                          <w:sz w:val="22"/>
                          <w:szCs w:val="22"/>
                        </w:rPr>
                        <w:t xml:space="preserve"> (Governing Body</w:t>
                      </w:r>
                      <w:r w:rsidR="0013341F">
                        <w:rPr>
                          <w:rFonts w:ascii="Calibri" w:hAnsi="Calibri"/>
                          <w:sz w:val="22"/>
                          <w:szCs w:val="22"/>
                        </w:rPr>
                        <w:t>/</w:t>
                      </w:r>
                      <w:r w:rsidR="00FB449C" w:rsidRPr="000D1B0D">
                        <w:rPr>
                          <w:rFonts w:ascii="Calibri" w:hAnsi="Calibri"/>
                          <w:sz w:val="22"/>
                          <w:szCs w:val="22"/>
                        </w:rPr>
                        <w:t>Committee)</w:t>
                      </w:r>
                      <w:r w:rsidRPr="000D1B0D">
                        <w:rPr>
                          <w:rFonts w:ascii="Calibri" w:hAnsi="Calibri"/>
                          <w:sz w:val="22"/>
                          <w:szCs w:val="22"/>
                        </w:rPr>
                        <w:t>:</w:t>
                      </w:r>
                      <w:r w:rsidR="00F47C8C">
                        <w:rPr>
                          <w:rFonts w:ascii="Calibri" w:hAnsi="Calibri"/>
                          <w:sz w:val="22"/>
                          <w:szCs w:val="22"/>
                        </w:rPr>
                        <w:t xml:space="preserve"> Governing Body</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F47C8C">
                        <w:rPr>
                          <w:rFonts w:ascii="Calibri" w:hAnsi="Calibri"/>
                          <w:sz w:val="22"/>
                          <w:szCs w:val="22"/>
                        </w:rPr>
                        <w:t xml:space="preserve"> 28</w:t>
                      </w:r>
                      <w:r w:rsidR="00F47C8C" w:rsidRPr="00F47C8C">
                        <w:rPr>
                          <w:rFonts w:ascii="Calibri" w:hAnsi="Calibri"/>
                          <w:sz w:val="22"/>
                          <w:szCs w:val="22"/>
                          <w:vertAlign w:val="superscript"/>
                        </w:rPr>
                        <w:t>th</w:t>
                      </w:r>
                      <w:r w:rsidR="00F47C8C">
                        <w:rPr>
                          <w:rFonts w:ascii="Calibri" w:hAnsi="Calibri"/>
                          <w:sz w:val="22"/>
                          <w:szCs w:val="22"/>
                        </w:rPr>
                        <w:t xml:space="preserve"> March 2019</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F47C8C">
                        <w:rPr>
                          <w:rFonts w:ascii="Calibri" w:hAnsi="Calibri"/>
                          <w:sz w:val="22"/>
                          <w:szCs w:val="22"/>
                        </w:rPr>
                        <w:t xml:space="preserve"> EU Exit Preparations </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F47C8C">
                        <w:rPr>
                          <w:rFonts w:ascii="Calibri" w:hAnsi="Calibri"/>
                          <w:sz w:val="22"/>
                          <w:szCs w:val="22"/>
                        </w:rPr>
                        <w:t xml:space="preserve"> Helen Kenyon </w:t>
                      </w:r>
                      <w:proofErr w:type="gramStart"/>
                      <w:r w:rsidR="00F47C8C">
                        <w:rPr>
                          <w:rFonts w:ascii="Calibri" w:hAnsi="Calibri"/>
                          <w:sz w:val="22"/>
                          <w:szCs w:val="22"/>
                        </w:rPr>
                        <w:t>-  EU</w:t>
                      </w:r>
                      <w:proofErr w:type="gramEnd"/>
                      <w:r w:rsidR="00F47C8C">
                        <w:rPr>
                          <w:rFonts w:ascii="Calibri" w:hAnsi="Calibri"/>
                          <w:sz w:val="22"/>
                          <w:szCs w:val="22"/>
                        </w:rPr>
                        <w:t xml:space="preserve"> Exit SRO. </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25400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1"/>
                                  <w14:checkedState w14:val="2612" w14:font="MS Gothic"/>
                                  <w14:uncheckedState w14:val="2610" w14:font="MS Gothic"/>
                                </w14:checkbox>
                              </w:sdtPr>
                              <w:sdtEndPr/>
                              <w:sdtContent>
                                <w:r w:rsidR="00F47C8C">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sidR="00E402F3">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0"/>
                                  <w14:checkedState w14:val="2612" w14:font="MS Gothic"/>
                                  <w14:uncheckedState w14:val="2610" w14:font="MS Gothic"/>
                                </w14:checkbox>
                              </w:sdtPr>
                              <w:sdtEndPr/>
                              <w:sdtContent>
                                <w:r w:rsidR="00F47C8C">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1"/>
                                  <w14:checkedState w14:val="2612" w14:font="MS Gothic"/>
                                  <w14:uncheckedState w14:val="2610" w14:font="MS Gothic"/>
                                </w14:checkbox>
                              </w:sdtPr>
                              <w:sdtEndPr/>
                              <w:sdtContent>
                                <w:r w:rsidR="00F47C8C">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75pt;margin-top:2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">
                <v:textbo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1"/>
                            <w14:checkedState w14:val="2612" w14:font="MS Gothic"/>
                            <w14:uncheckedState w14:val="2610" w14:font="MS Gothic"/>
                          </w14:checkbox>
                        </w:sdtPr>
                        <w:sdtEndPr/>
                        <w:sdtContent>
                          <w:r w:rsidR="00F47C8C">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sidR="00E402F3">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0"/>
                            <w14:checkedState w14:val="2612" w14:font="MS Gothic"/>
                            <w14:uncheckedState w14:val="2610" w14:font="MS Gothic"/>
                          </w14:checkbox>
                        </w:sdtPr>
                        <w:sdtEndPr/>
                        <w:sdtContent>
                          <w:r w:rsidR="00F47C8C">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1"/>
                            <w14:checkedState w14:val="2612" w14:font="MS Gothic"/>
                            <w14:uncheckedState w14:val="2610" w14:font="MS Gothic"/>
                          </w14:checkbox>
                        </w:sdtPr>
                        <w:sdtEndPr/>
                        <w:sdtContent>
                          <w:r w:rsidR="00F47C8C">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6380"/>
        <w:gridCol w:w="1831"/>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856EE6">
            <w:pPr>
              <w:pStyle w:val="NoSpacing"/>
              <w:rPr>
                <w:rFonts w:cs="Calibri"/>
                <w:b/>
                <w:sz w:val="20"/>
                <w:szCs w:val="20"/>
              </w:rPr>
            </w:pPr>
          </w:p>
        </w:tc>
        <w:tc>
          <w:tcPr>
            <w:tcW w:w="3817" w:type="pct"/>
            <w:gridSpan w:val="2"/>
            <w:shd w:val="clear" w:color="auto" w:fill="auto"/>
          </w:tcPr>
          <w:p w:rsidR="00F47C8C" w:rsidRPr="00D86A91" w:rsidRDefault="002F27B3" w:rsidP="00F47C8C">
            <w:pPr>
              <w:jc w:val="both"/>
              <w:rPr>
                <w:rFonts w:ascii="Arial" w:hAnsi="Arial" w:cs="Arial"/>
                <w:color w:val="000000" w:themeColor="text1"/>
                <w:sz w:val="20"/>
                <w:szCs w:val="24"/>
              </w:rPr>
            </w:pPr>
            <w:r w:rsidRPr="00D86A91">
              <w:rPr>
                <w:rFonts w:ascii="Arial" w:hAnsi="Arial" w:cs="Arial"/>
                <w:color w:val="000000" w:themeColor="text1"/>
                <w:sz w:val="20"/>
                <w:szCs w:val="24"/>
              </w:rPr>
              <w:t>T</w:t>
            </w:r>
            <w:r w:rsidR="00D86A91" w:rsidRPr="00D86A91">
              <w:rPr>
                <w:rFonts w:ascii="Arial" w:hAnsi="Arial" w:cs="Arial"/>
                <w:color w:val="000000" w:themeColor="text1"/>
                <w:sz w:val="20"/>
                <w:szCs w:val="24"/>
              </w:rPr>
              <w:t>he purpose of the report is to</w:t>
            </w:r>
            <w:r w:rsidRPr="00D86A91">
              <w:rPr>
                <w:rFonts w:ascii="Arial" w:hAnsi="Arial" w:cs="Arial"/>
                <w:color w:val="000000" w:themeColor="text1"/>
                <w:sz w:val="20"/>
                <w:szCs w:val="24"/>
              </w:rPr>
              <w:t xml:space="preserve"> provide an update of the current EU Exit planning work </w:t>
            </w:r>
            <w:proofErr w:type="gramStart"/>
            <w:r w:rsidRPr="00D86A91">
              <w:rPr>
                <w:rFonts w:ascii="Arial" w:hAnsi="Arial" w:cs="Arial"/>
                <w:color w:val="000000" w:themeColor="text1"/>
                <w:sz w:val="20"/>
                <w:szCs w:val="24"/>
              </w:rPr>
              <w:t>being undertaken</w:t>
            </w:r>
            <w:proofErr w:type="gramEnd"/>
            <w:r w:rsidRPr="00D86A91">
              <w:rPr>
                <w:rFonts w:ascii="Arial" w:hAnsi="Arial" w:cs="Arial"/>
                <w:color w:val="000000" w:themeColor="text1"/>
                <w:sz w:val="20"/>
                <w:szCs w:val="24"/>
              </w:rPr>
              <w:t xml:space="preserve"> by the CCG</w:t>
            </w:r>
            <w:r w:rsidR="00D86A91" w:rsidRPr="00D86A91">
              <w:rPr>
                <w:rFonts w:ascii="Arial" w:hAnsi="Arial" w:cs="Arial"/>
                <w:color w:val="000000" w:themeColor="text1"/>
                <w:sz w:val="20"/>
                <w:szCs w:val="24"/>
              </w:rPr>
              <w:t>. NHS England have now also commenced daily situation reporting (SITREP); and have requested that the CCG also complete a separate assurance return by 25</w:t>
            </w:r>
            <w:r w:rsidR="00D86A91" w:rsidRPr="00D86A91">
              <w:rPr>
                <w:rFonts w:ascii="Arial" w:hAnsi="Arial" w:cs="Arial"/>
                <w:color w:val="000000" w:themeColor="text1"/>
                <w:sz w:val="20"/>
                <w:szCs w:val="24"/>
                <w:vertAlign w:val="superscript"/>
              </w:rPr>
              <w:t>th</w:t>
            </w:r>
            <w:r w:rsidR="00D86A91" w:rsidRPr="00D86A91">
              <w:rPr>
                <w:rFonts w:ascii="Arial" w:hAnsi="Arial" w:cs="Arial"/>
                <w:color w:val="000000" w:themeColor="text1"/>
                <w:sz w:val="20"/>
                <w:szCs w:val="24"/>
              </w:rPr>
              <w:t xml:space="preserve"> March 2019. Within those returns NHS England seeks assurance on the following points:</w:t>
            </w:r>
            <w:r w:rsidRPr="00D86A91">
              <w:rPr>
                <w:rFonts w:ascii="Arial" w:hAnsi="Arial" w:cs="Arial"/>
                <w:color w:val="000000" w:themeColor="text1"/>
                <w:sz w:val="20"/>
                <w:szCs w:val="24"/>
              </w:rPr>
              <w:t xml:space="preserve"> </w:t>
            </w:r>
          </w:p>
          <w:p w:rsidR="002F27B3" w:rsidRPr="00D86A91" w:rsidRDefault="002F27B3" w:rsidP="00F47C8C">
            <w:pPr>
              <w:jc w:val="both"/>
              <w:rPr>
                <w:rFonts w:ascii="Arial" w:hAnsi="Arial" w:cs="Arial"/>
                <w:color w:val="000000" w:themeColor="text1"/>
                <w:sz w:val="20"/>
                <w:szCs w:val="24"/>
              </w:rPr>
            </w:pPr>
          </w:p>
          <w:p w:rsidR="00F47C8C" w:rsidRPr="00D86A91" w:rsidRDefault="00F47C8C" w:rsidP="00F47C8C">
            <w:pPr>
              <w:pStyle w:val="ListParagraph"/>
              <w:numPr>
                <w:ilvl w:val="0"/>
                <w:numId w:val="7"/>
              </w:numPr>
              <w:spacing w:after="0" w:line="240" w:lineRule="auto"/>
              <w:contextualSpacing w:val="0"/>
              <w:jc w:val="both"/>
              <w:rPr>
                <w:rFonts w:ascii="Arial" w:hAnsi="Arial" w:cs="Arial"/>
                <w:color w:val="000000" w:themeColor="text1"/>
                <w:sz w:val="20"/>
                <w:szCs w:val="24"/>
              </w:rPr>
            </w:pPr>
            <w:r w:rsidRPr="00D86A91">
              <w:rPr>
                <w:rFonts w:ascii="Arial" w:hAnsi="Arial" w:cs="Arial"/>
                <w:color w:val="000000" w:themeColor="text1"/>
                <w:sz w:val="20"/>
                <w:szCs w:val="24"/>
              </w:rPr>
              <w:t>That the Board is sighted the operational guidance for EU Exit (published on 21</w:t>
            </w:r>
            <w:r w:rsidRPr="00D86A91">
              <w:rPr>
                <w:rFonts w:ascii="Arial" w:hAnsi="Arial" w:cs="Arial"/>
                <w:color w:val="000000" w:themeColor="text1"/>
                <w:sz w:val="20"/>
                <w:szCs w:val="24"/>
                <w:vertAlign w:val="superscript"/>
              </w:rPr>
              <w:t>st</w:t>
            </w:r>
            <w:r w:rsidRPr="00D86A91">
              <w:rPr>
                <w:rFonts w:ascii="Arial" w:hAnsi="Arial" w:cs="Arial"/>
                <w:color w:val="000000" w:themeColor="text1"/>
                <w:sz w:val="20"/>
                <w:szCs w:val="24"/>
              </w:rPr>
              <w:t xml:space="preserve"> December 2018) and subsequent publications and information shared at the recent national workshops. </w:t>
            </w:r>
          </w:p>
          <w:p w:rsidR="00F47C8C" w:rsidRPr="00D86A91" w:rsidRDefault="00F47C8C" w:rsidP="00F47C8C">
            <w:pPr>
              <w:pStyle w:val="ListParagraph"/>
              <w:jc w:val="both"/>
              <w:rPr>
                <w:rFonts w:ascii="Arial" w:hAnsi="Arial" w:cs="Arial"/>
                <w:color w:val="000000" w:themeColor="text1"/>
                <w:sz w:val="20"/>
                <w:szCs w:val="24"/>
              </w:rPr>
            </w:pPr>
          </w:p>
          <w:p w:rsidR="00F47C8C" w:rsidRPr="00D86A91" w:rsidRDefault="00F47C8C" w:rsidP="00F47C8C">
            <w:pPr>
              <w:pStyle w:val="ListParagraph"/>
              <w:numPr>
                <w:ilvl w:val="0"/>
                <w:numId w:val="7"/>
              </w:numPr>
              <w:spacing w:after="0" w:line="240" w:lineRule="auto"/>
              <w:contextualSpacing w:val="0"/>
              <w:jc w:val="both"/>
              <w:rPr>
                <w:rFonts w:ascii="Arial" w:hAnsi="Arial" w:cs="Arial"/>
                <w:color w:val="000000" w:themeColor="text1"/>
                <w:sz w:val="20"/>
                <w:szCs w:val="24"/>
              </w:rPr>
            </w:pPr>
            <w:proofErr w:type="gramStart"/>
            <w:r w:rsidRPr="00D86A91">
              <w:rPr>
                <w:rFonts w:ascii="Arial" w:hAnsi="Arial" w:cs="Arial"/>
                <w:color w:val="000000" w:themeColor="text1"/>
                <w:sz w:val="20"/>
                <w:szCs w:val="24"/>
              </w:rPr>
              <w:t>That assurance for EU Exit transition to manage and mitigate clinical risks has been agreed by the Board</w:t>
            </w:r>
            <w:proofErr w:type="gramEnd"/>
            <w:r w:rsidRPr="00D86A91">
              <w:rPr>
                <w:rFonts w:ascii="Arial" w:hAnsi="Arial" w:cs="Arial"/>
                <w:color w:val="000000" w:themeColor="text1"/>
                <w:sz w:val="20"/>
                <w:szCs w:val="24"/>
              </w:rPr>
              <w:t xml:space="preserve">. </w:t>
            </w:r>
          </w:p>
          <w:p w:rsidR="00F47C8C" w:rsidRPr="00D86A91" w:rsidRDefault="00F47C8C" w:rsidP="00F47C8C">
            <w:pPr>
              <w:pStyle w:val="ListParagraph"/>
              <w:rPr>
                <w:rFonts w:ascii="Arial" w:hAnsi="Arial" w:cs="Arial"/>
                <w:color w:val="000000" w:themeColor="text1"/>
                <w:sz w:val="20"/>
                <w:szCs w:val="24"/>
              </w:rPr>
            </w:pPr>
          </w:p>
          <w:p w:rsidR="00F47C8C" w:rsidRPr="00D86A91" w:rsidRDefault="00F47C8C" w:rsidP="00F47C8C">
            <w:pPr>
              <w:pStyle w:val="ListParagraph"/>
              <w:numPr>
                <w:ilvl w:val="0"/>
                <w:numId w:val="7"/>
              </w:numPr>
              <w:spacing w:after="0" w:line="240" w:lineRule="auto"/>
              <w:contextualSpacing w:val="0"/>
              <w:jc w:val="both"/>
              <w:rPr>
                <w:rFonts w:ascii="Arial" w:hAnsi="Arial" w:cs="Arial"/>
                <w:color w:val="000000" w:themeColor="text1"/>
                <w:sz w:val="20"/>
                <w:szCs w:val="24"/>
              </w:rPr>
            </w:pPr>
            <w:r w:rsidRPr="00D86A91">
              <w:rPr>
                <w:rFonts w:ascii="Arial" w:hAnsi="Arial" w:cs="Arial"/>
                <w:color w:val="000000" w:themeColor="text1"/>
                <w:sz w:val="20"/>
                <w:szCs w:val="24"/>
              </w:rPr>
              <w:t xml:space="preserve">That the CCG has undertaken a risk assessment of staffing pressures created by the departure of EU workers, and that this risk assessment </w:t>
            </w:r>
            <w:proofErr w:type="gramStart"/>
            <w:r w:rsidRPr="00D86A91">
              <w:rPr>
                <w:rFonts w:ascii="Arial" w:hAnsi="Arial" w:cs="Arial"/>
                <w:color w:val="000000" w:themeColor="text1"/>
                <w:sz w:val="20"/>
                <w:szCs w:val="24"/>
              </w:rPr>
              <w:t>has been discussed</w:t>
            </w:r>
            <w:proofErr w:type="gramEnd"/>
            <w:r w:rsidRPr="00D86A91">
              <w:rPr>
                <w:rFonts w:ascii="Arial" w:hAnsi="Arial" w:cs="Arial"/>
                <w:color w:val="000000" w:themeColor="text1"/>
                <w:sz w:val="20"/>
                <w:szCs w:val="24"/>
              </w:rPr>
              <w:t xml:space="preserve"> at Board level in the organisation. </w:t>
            </w:r>
          </w:p>
          <w:p w:rsidR="00F47C8C" w:rsidRPr="00D86A91" w:rsidRDefault="00F47C8C" w:rsidP="00F47C8C">
            <w:pPr>
              <w:jc w:val="both"/>
              <w:rPr>
                <w:rFonts w:ascii="Arial" w:hAnsi="Arial" w:cs="Arial"/>
                <w:color w:val="000000" w:themeColor="text1"/>
                <w:sz w:val="20"/>
                <w:szCs w:val="24"/>
              </w:rPr>
            </w:pPr>
            <w:r w:rsidRPr="00D86A91">
              <w:rPr>
                <w:rFonts w:ascii="Arial" w:hAnsi="Arial" w:cs="Arial"/>
                <w:color w:val="000000" w:themeColor="text1"/>
                <w:sz w:val="20"/>
                <w:szCs w:val="24"/>
              </w:rPr>
              <w:t xml:space="preserve"> </w:t>
            </w:r>
          </w:p>
          <w:p w:rsidR="00E76606" w:rsidRPr="00D86A91" w:rsidRDefault="00D86A91" w:rsidP="00856EE6">
            <w:pPr>
              <w:jc w:val="both"/>
              <w:rPr>
                <w:rFonts w:ascii="Calibri" w:hAnsi="Calibri" w:cs="Calibri"/>
                <w:sz w:val="20"/>
              </w:rPr>
            </w:pPr>
            <w:r w:rsidRPr="00D86A91">
              <w:rPr>
                <w:rFonts w:ascii="Arial" w:hAnsi="Arial" w:cs="Arial"/>
                <w:color w:val="000000" w:themeColor="text1"/>
                <w:sz w:val="20"/>
                <w:szCs w:val="24"/>
              </w:rPr>
              <w:t>T</w:t>
            </w:r>
            <w:r w:rsidR="00F47C8C" w:rsidRPr="00D86A91">
              <w:rPr>
                <w:rFonts w:ascii="Arial" w:hAnsi="Arial" w:cs="Arial"/>
                <w:color w:val="000000" w:themeColor="text1"/>
                <w:sz w:val="20"/>
                <w:szCs w:val="24"/>
              </w:rPr>
              <w:t>he Board is asked to consider the Annexes and confirm it is sighted on the Operational Guidance</w:t>
            </w:r>
            <w:r w:rsidRPr="00D86A91">
              <w:rPr>
                <w:rFonts w:ascii="Arial" w:hAnsi="Arial" w:cs="Arial"/>
                <w:color w:val="000000" w:themeColor="text1"/>
                <w:sz w:val="20"/>
                <w:szCs w:val="24"/>
              </w:rPr>
              <w:t xml:space="preserve"> in Annex A (updates on the actions taken by the CCG at Annex B)</w:t>
            </w:r>
            <w:r w:rsidR="00F47C8C" w:rsidRPr="00D86A91">
              <w:rPr>
                <w:rFonts w:ascii="Arial" w:hAnsi="Arial" w:cs="Arial"/>
                <w:color w:val="000000" w:themeColor="text1"/>
                <w:sz w:val="20"/>
                <w:szCs w:val="24"/>
              </w:rPr>
              <w:t xml:space="preserve"> and approves of the</w:t>
            </w:r>
            <w:r w:rsidRPr="00D86A91">
              <w:rPr>
                <w:rFonts w:ascii="Arial" w:hAnsi="Arial" w:cs="Arial"/>
                <w:color w:val="000000" w:themeColor="text1"/>
                <w:sz w:val="20"/>
                <w:szCs w:val="24"/>
              </w:rPr>
              <w:t xml:space="preserve"> general</w:t>
            </w:r>
            <w:r w:rsidR="00F47C8C" w:rsidRPr="00D86A91">
              <w:rPr>
                <w:rFonts w:ascii="Arial" w:hAnsi="Arial" w:cs="Arial"/>
                <w:color w:val="000000" w:themeColor="text1"/>
                <w:sz w:val="20"/>
                <w:szCs w:val="24"/>
              </w:rPr>
              <w:t xml:space="preserve"> action being taken</w:t>
            </w:r>
            <w:r w:rsidRPr="00D86A91">
              <w:rPr>
                <w:rFonts w:ascii="Arial" w:hAnsi="Arial" w:cs="Arial"/>
                <w:color w:val="000000" w:themeColor="text1"/>
                <w:sz w:val="20"/>
                <w:szCs w:val="24"/>
              </w:rPr>
              <w:t xml:space="preserve"> outlined in Annex C</w:t>
            </w:r>
            <w:r w:rsidR="00F47C8C" w:rsidRPr="00D86A91">
              <w:rPr>
                <w:rFonts w:ascii="Arial" w:hAnsi="Arial" w:cs="Arial"/>
                <w:color w:val="000000" w:themeColor="text1"/>
                <w:sz w:val="20"/>
                <w:szCs w:val="24"/>
              </w:rPr>
              <w:t xml:space="preserve"> to mitigate the risks posed by a potential “no deal” EU Exit. </w:t>
            </w:r>
          </w:p>
          <w:p w:rsidR="00DF7670" w:rsidRPr="00D86A91" w:rsidRDefault="00DF7670" w:rsidP="000D1B0D">
            <w:pPr>
              <w:pStyle w:val="Default"/>
              <w:jc w:val="both"/>
              <w:rPr>
                <w:rFonts w:ascii="Calibri" w:hAnsi="Calibri" w:cs="Calibri"/>
                <w:sz w:val="20"/>
                <w:szCs w:val="20"/>
              </w:rPr>
            </w:pPr>
          </w:p>
          <w:p w:rsidR="002054A0" w:rsidRPr="00D86A91" w:rsidRDefault="002054A0" w:rsidP="000D1B0D">
            <w:pPr>
              <w:pStyle w:val="Default"/>
              <w:jc w:val="both"/>
              <w:rPr>
                <w:rFonts w:ascii="Calibri" w:hAnsi="Calibri" w:cs="Calibri"/>
                <w:sz w:val="20"/>
                <w:szCs w:val="20"/>
              </w:rPr>
            </w:pP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gridSpan w:val="2"/>
            <w:shd w:val="clear" w:color="auto" w:fill="auto"/>
          </w:tcPr>
          <w:p w:rsidR="009D4EDC" w:rsidRPr="000D1B0D" w:rsidRDefault="00F47C8C" w:rsidP="000D1B0D">
            <w:pPr>
              <w:pStyle w:val="Default"/>
              <w:jc w:val="both"/>
              <w:rPr>
                <w:rFonts w:ascii="Calibri" w:hAnsi="Calibri" w:cs="Calibri"/>
                <w:sz w:val="20"/>
                <w:szCs w:val="20"/>
              </w:rPr>
            </w:pPr>
            <w:r>
              <w:rPr>
                <w:rFonts w:ascii="Calibri" w:hAnsi="Calibri" w:cs="Calibri"/>
                <w:sz w:val="20"/>
                <w:szCs w:val="20"/>
              </w:rPr>
              <w:t>That the Board notes the contents of the Operational Guidance</w:t>
            </w:r>
            <w:r w:rsidR="00D86A91">
              <w:rPr>
                <w:rFonts w:ascii="Calibri" w:hAnsi="Calibri" w:cs="Calibri"/>
                <w:sz w:val="20"/>
                <w:szCs w:val="20"/>
              </w:rPr>
              <w:t xml:space="preserve"> (Annex A)</w:t>
            </w:r>
            <w:r>
              <w:rPr>
                <w:rFonts w:ascii="Calibri" w:hAnsi="Calibri" w:cs="Calibri"/>
                <w:sz w:val="20"/>
                <w:szCs w:val="20"/>
              </w:rPr>
              <w:t xml:space="preserve"> relating to EU Exit and accompanying action plan</w:t>
            </w:r>
            <w:r w:rsidR="00D86A91">
              <w:rPr>
                <w:rFonts w:ascii="Calibri" w:hAnsi="Calibri" w:cs="Calibri"/>
                <w:sz w:val="20"/>
                <w:szCs w:val="20"/>
              </w:rPr>
              <w:t xml:space="preserve"> (Annex B)</w:t>
            </w:r>
            <w:r>
              <w:rPr>
                <w:rFonts w:ascii="Calibri" w:hAnsi="Calibri" w:cs="Calibri"/>
                <w:sz w:val="20"/>
                <w:szCs w:val="20"/>
              </w:rPr>
              <w:t xml:space="preserve">, and that the Board notes and approves the risks identified and action taken detailed at Annex C of the report. </w:t>
            </w:r>
          </w:p>
          <w:p w:rsidR="009D4EDC" w:rsidRPr="000D1B0D" w:rsidRDefault="009D4EDC" w:rsidP="000D1B0D">
            <w:pPr>
              <w:pStyle w:val="Default"/>
              <w:jc w:val="both"/>
              <w:rPr>
                <w:rFonts w:ascii="Calibri" w:hAnsi="Calibri" w:cs="Calibri"/>
                <w:sz w:val="20"/>
                <w:szCs w:val="20"/>
              </w:rPr>
            </w:pPr>
          </w:p>
          <w:p w:rsidR="009D4EDC" w:rsidRPr="000D1B0D" w:rsidRDefault="009D4EDC" w:rsidP="000D1B0D">
            <w:pPr>
              <w:pStyle w:val="Default"/>
              <w:jc w:val="both"/>
              <w:rPr>
                <w:rFonts w:ascii="Calibri" w:hAnsi="Calibri" w:cs="Calibri"/>
                <w:sz w:val="20"/>
                <w:szCs w:val="20"/>
              </w:rPr>
            </w:pPr>
          </w:p>
          <w:p w:rsidR="009D4EDC" w:rsidRPr="000D1B0D" w:rsidRDefault="009D4EDC" w:rsidP="000D1B0D">
            <w:pPr>
              <w:pStyle w:val="Default"/>
              <w:jc w:val="both"/>
              <w:rPr>
                <w:rFonts w:ascii="Calibri" w:hAnsi="Calibri" w:cs="Calibri"/>
                <w:sz w:val="20"/>
                <w:szCs w:val="20"/>
              </w:rPr>
            </w:pPr>
          </w:p>
        </w:tc>
      </w:tr>
      <w:tr w:rsidR="009D4EDC" w:rsidRPr="000D1B0D" w:rsidTr="00144ED4">
        <w:tc>
          <w:tcPr>
            <w:tcW w:w="1183" w:type="pct"/>
            <w:shd w:val="clear" w:color="auto" w:fill="auto"/>
          </w:tcPr>
          <w:p w:rsidR="009D4EDC" w:rsidRPr="000D1B0D" w:rsidRDefault="00711DA9" w:rsidP="009D4EDC">
            <w:pPr>
              <w:pStyle w:val="Default"/>
              <w:rPr>
                <w:rFonts w:ascii="Calibri" w:hAnsi="Calibri" w:cs="Calibri"/>
                <w:b/>
                <w:sz w:val="20"/>
                <w:szCs w:val="20"/>
              </w:rPr>
            </w:pPr>
            <w:r>
              <w:rPr>
                <w:rFonts w:ascii="Calibri" w:hAnsi="Calibri" w:cs="Calibri"/>
                <w:b/>
                <w:sz w:val="20"/>
                <w:szCs w:val="20"/>
              </w:rPr>
              <w:t>C</w:t>
            </w:r>
            <w:r w:rsidR="009D4EDC" w:rsidRPr="000D1B0D">
              <w:rPr>
                <w:rFonts w:ascii="Calibri" w:hAnsi="Calibri" w:cs="Calibri"/>
                <w:b/>
                <w:sz w:val="20"/>
                <w:szCs w:val="20"/>
              </w:rPr>
              <w:t>ommittee Process and Assurance:</w:t>
            </w:r>
          </w:p>
          <w:p w:rsidR="009D4EDC" w:rsidRPr="00046B77" w:rsidRDefault="009D4EDC" w:rsidP="00046B77">
            <w:pPr>
              <w:pStyle w:val="Default"/>
              <w:rPr>
                <w:rFonts w:ascii="Calibri" w:hAnsi="Calibri" w:cs="Calibri"/>
                <w:i/>
                <w:sz w:val="20"/>
                <w:szCs w:val="20"/>
              </w:rPr>
            </w:pPr>
          </w:p>
        </w:tc>
        <w:tc>
          <w:tcPr>
            <w:tcW w:w="3817" w:type="pct"/>
            <w:gridSpan w:val="2"/>
            <w:shd w:val="clear" w:color="auto" w:fill="auto"/>
          </w:tcPr>
          <w:p w:rsidR="00246EFA" w:rsidRDefault="00F47C8C" w:rsidP="000D1B0D">
            <w:pPr>
              <w:pStyle w:val="Default"/>
              <w:jc w:val="both"/>
              <w:rPr>
                <w:rFonts w:ascii="Calibri" w:hAnsi="Calibri" w:cs="Calibri"/>
                <w:sz w:val="20"/>
                <w:szCs w:val="20"/>
              </w:rPr>
            </w:pPr>
            <w:r>
              <w:rPr>
                <w:rFonts w:ascii="Calibri" w:hAnsi="Calibri" w:cs="Calibri"/>
                <w:sz w:val="20"/>
                <w:szCs w:val="20"/>
              </w:rPr>
              <w:t xml:space="preserve">N/A – paper is for Board approval. </w:t>
            </w:r>
          </w:p>
          <w:p w:rsidR="00246EFA" w:rsidRDefault="00246EFA" w:rsidP="000D1B0D">
            <w:pPr>
              <w:pStyle w:val="Default"/>
              <w:jc w:val="both"/>
              <w:rPr>
                <w:rFonts w:ascii="Calibri" w:hAnsi="Calibri" w:cs="Calibri"/>
                <w:sz w:val="20"/>
                <w:szCs w:val="20"/>
              </w:rPr>
            </w:pPr>
          </w:p>
          <w:p w:rsidR="00144ED4" w:rsidRDefault="00144ED4" w:rsidP="000D1B0D">
            <w:pPr>
              <w:pStyle w:val="Default"/>
              <w:jc w:val="both"/>
              <w:rPr>
                <w:rFonts w:ascii="Calibri" w:hAnsi="Calibri" w:cs="Calibri"/>
                <w:sz w:val="20"/>
                <w:szCs w:val="20"/>
              </w:rPr>
            </w:pPr>
          </w:p>
          <w:p w:rsidR="00144ED4" w:rsidRPr="000D1B0D" w:rsidRDefault="00144ED4" w:rsidP="000D1B0D">
            <w:pPr>
              <w:pStyle w:val="Default"/>
              <w:jc w:val="both"/>
              <w:rPr>
                <w:rFonts w:ascii="Calibri" w:hAnsi="Calibri" w:cs="Calibri"/>
                <w:sz w:val="20"/>
                <w:szCs w:val="20"/>
              </w:rPr>
            </w:pP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gridSpan w:val="2"/>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4458C3">
        <w:trPr>
          <w:trHeight w:val="928"/>
        </w:trPr>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lastRenderedPageBreak/>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p w:rsidR="007E1C2F" w:rsidRPr="00E73B61" w:rsidRDefault="007E1C2F" w:rsidP="009D4EDC">
            <w:pPr>
              <w:pStyle w:val="Default"/>
              <w:rPr>
                <w:rFonts w:ascii="Calibri" w:hAnsi="Calibri" w:cs="Calibri"/>
                <w:i/>
                <w:sz w:val="20"/>
                <w:szCs w:val="20"/>
              </w:rPr>
            </w:pPr>
          </w:p>
        </w:tc>
        <w:tc>
          <w:tcPr>
            <w:tcW w:w="3817" w:type="pct"/>
            <w:gridSpan w:val="2"/>
            <w:shd w:val="clear" w:color="auto" w:fill="auto"/>
          </w:tcPr>
          <w:p w:rsidR="00246EFA" w:rsidRDefault="00F47C8C" w:rsidP="000D1B0D">
            <w:pPr>
              <w:pStyle w:val="Default"/>
              <w:jc w:val="both"/>
              <w:rPr>
                <w:rFonts w:ascii="Calibri" w:hAnsi="Calibri" w:cs="Calibri"/>
                <w:sz w:val="20"/>
                <w:szCs w:val="20"/>
              </w:rPr>
            </w:pPr>
            <w:r>
              <w:rPr>
                <w:sz w:val="20"/>
              </w:rPr>
              <w:t xml:space="preserve">The CCG manages risk in line with the Humber Community Risk Register, which </w:t>
            </w:r>
            <w:proofErr w:type="gramStart"/>
            <w:r>
              <w:rPr>
                <w:sz w:val="20"/>
              </w:rPr>
              <w:t>has been updated</w:t>
            </w:r>
            <w:proofErr w:type="gramEnd"/>
            <w:r>
              <w:rPr>
                <w:sz w:val="20"/>
              </w:rPr>
              <w:t xml:space="preserve"> in accordance with the emerging EU Exit risks. The CCG’s has considered the Operational Guidance and key areas of risk therein. The CCG continues to work through the actions set out in the Operational Guidance  and work with its providers and Local Authority partners to create mitigating actions.</w:t>
            </w:r>
          </w:p>
          <w:p w:rsidR="00246EFA" w:rsidRDefault="00246EFA" w:rsidP="000D1B0D">
            <w:pPr>
              <w:pStyle w:val="Default"/>
              <w:jc w:val="both"/>
              <w:rPr>
                <w:rFonts w:ascii="Calibri" w:hAnsi="Calibri" w:cs="Calibri"/>
                <w:sz w:val="20"/>
                <w:szCs w:val="20"/>
              </w:rPr>
            </w:pPr>
          </w:p>
          <w:p w:rsidR="00246EFA" w:rsidRDefault="00246EFA" w:rsidP="000D1B0D">
            <w:pPr>
              <w:pStyle w:val="Default"/>
              <w:jc w:val="both"/>
              <w:rPr>
                <w:rFonts w:ascii="Calibri" w:hAnsi="Calibri" w:cs="Calibri"/>
                <w:sz w:val="20"/>
                <w:szCs w:val="20"/>
              </w:rPr>
            </w:pPr>
          </w:p>
          <w:p w:rsidR="00144ED4" w:rsidRPr="000D1B0D" w:rsidRDefault="00144ED4"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rsidR="00D42959" w:rsidRPr="00E73B61" w:rsidRDefault="00D42959" w:rsidP="004458C3">
            <w:pPr>
              <w:pStyle w:val="Default"/>
              <w:rPr>
                <w:rFonts w:ascii="Calibri" w:hAnsi="Calibri" w:cs="Calibri"/>
                <w:i/>
                <w:sz w:val="20"/>
                <w:szCs w:val="20"/>
              </w:rPr>
            </w:pPr>
          </w:p>
        </w:tc>
        <w:tc>
          <w:tcPr>
            <w:tcW w:w="3817" w:type="pct"/>
            <w:gridSpan w:val="2"/>
            <w:shd w:val="clear" w:color="auto" w:fill="auto"/>
          </w:tcPr>
          <w:p w:rsidR="00246EFA" w:rsidRDefault="00F47C8C" w:rsidP="000D1B0D">
            <w:pPr>
              <w:pStyle w:val="Default"/>
              <w:jc w:val="both"/>
              <w:rPr>
                <w:rFonts w:ascii="Calibri" w:hAnsi="Calibri" w:cs="Calibri"/>
                <w:sz w:val="20"/>
                <w:szCs w:val="20"/>
              </w:rPr>
            </w:pPr>
            <w:r>
              <w:rPr>
                <w:rFonts w:ascii="Calibri" w:hAnsi="Calibri" w:cs="Calibri"/>
                <w:sz w:val="20"/>
                <w:szCs w:val="20"/>
              </w:rPr>
              <w:t>N/A</w:t>
            </w:r>
          </w:p>
          <w:p w:rsidR="002054A0" w:rsidRPr="000D1B0D" w:rsidRDefault="002054A0" w:rsidP="000D1B0D">
            <w:pPr>
              <w:pStyle w:val="Default"/>
              <w:jc w:val="both"/>
              <w:rPr>
                <w:rFonts w:ascii="Calibri" w:hAnsi="Calibri" w:cs="Calibri"/>
                <w:sz w:val="20"/>
                <w:szCs w:val="20"/>
              </w:rPr>
            </w:pPr>
          </w:p>
        </w:tc>
      </w:tr>
      <w:tr w:rsidR="002C32CC" w:rsidRPr="000D1B0D" w:rsidTr="002C32CC">
        <w:trPr>
          <w:trHeight w:val="123"/>
        </w:trPr>
        <w:tc>
          <w:tcPr>
            <w:tcW w:w="1183" w:type="pct"/>
            <w:vMerge w:val="restart"/>
            <w:shd w:val="clear" w:color="auto" w:fill="auto"/>
          </w:tcPr>
          <w:p w:rsidR="002C32CC" w:rsidRPr="000D1B0D" w:rsidRDefault="002C32CC" w:rsidP="009D4EDC">
            <w:pPr>
              <w:pStyle w:val="Default"/>
              <w:rPr>
                <w:rFonts w:ascii="Calibri" w:hAnsi="Calibri" w:cs="Calibri"/>
                <w:b/>
                <w:sz w:val="20"/>
                <w:szCs w:val="20"/>
              </w:rPr>
            </w:pPr>
            <w:r>
              <w:rPr>
                <w:rFonts w:ascii="Calibri" w:hAnsi="Calibri" w:cs="Calibri"/>
                <w:b/>
                <w:sz w:val="20"/>
                <w:szCs w:val="20"/>
              </w:rPr>
              <w:t>Data Protection Impact Assessment implications</w:t>
            </w:r>
            <w:r w:rsidR="00DA7A50">
              <w:rPr>
                <w:rFonts w:ascii="Calibri" w:hAnsi="Calibri" w:cs="Calibri"/>
                <w:b/>
                <w:sz w:val="20"/>
                <w:szCs w:val="20"/>
              </w:rPr>
              <w:t xml:space="preserve"> (DPIA)</w:t>
            </w:r>
            <w:r>
              <w:rPr>
                <w:rFonts w:ascii="Calibri" w:hAnsi="Calibri" w:cs="Calibri"/>
                <w:b/>
                <w:sz w:val="20"/>
                <w:szCs w:val="20"/>
              </w:rPr>
              <w:t>:</w:t>
            </w:r>
          </w:p>
        </w:tc>
        <w:tc>
          <w:tcPr>
            <w:tcW w:w="2966" w:type="pct"/>
            <w:shd w:val="clear" w:color="auto" w:fill="auto"/>
          </w:tcPr>
          <w:p w:rsidR="002C32CC" w:rsidRPr="002C32CC" w:rsidRDefault="002C32CC" w:rsidP="00AB4FF6">
            <w:pPr>
              <w:pStyle w:val="Default"/>
              <w:rPr>
                <w:rFonts w:ascii="Calibri" w:hAnsi="Calibri" w:cs="Calibri"/>
                <w:sz w:val="20"/>
                <w:szCs w:val="20"/>
              </w:rPr>
            </w:pPr>
            <w:r>
              <w:rPr>
                <w:rFonts w:ascii="Calibri" w:hAnsi="Calibri" w:cs="Calibri"/>
                <w:sz w:val="20"/>
                <w:szCs w:val="20"/>
              </w:rPr>
              <w:t xml:space="preserve">Are you implementing a new system, data sharing arrangement, project, </w:t>
            </w:r>
            <w:proofErr w:type="gramStart"/>
            <w:r>
              <w:rPr>
                <w:rFonts w:ascii="Calibri" w:hAnsi="Calibri" w:cs="Calibri"/>
                <w:sz w:val="20"/>
                <w:szCs w:val="20"/>
              </w:rPr>
              <w:t>service</w:t>
            </w:r>
            <w:proofErr w:type="gramEnd"/>
            <w:r>
              <w:rPr>
                <w:rFonts w:ascii="Calibri" w:hAnsi="Calibri" w:cs="Calibri"/>
                <w:sz w:val="20"/>
                <w:szCs w:val="20"/>
              </w:rPr>
              <w:t xml:space="preserve"> redesign or changing the way you work?</w:t>
            </w:r>
          </w:p>
        </w:tc>
        <w:sdt>
          <w:sdtPr>
            <w:rPr>
              <w:rFonts w:ascii="Calibri" w:hAnsi="Calibri" w:cs="Calibri"/>
              <w:b/>
              <w:sz w:val="20"/>
              <w:szCs w:val="20"/>
            </w:rPr>
            <w:alias w:val="Auto check"/>
            <w:tag w:val="Auto check"/>
            <w:id w:val="-2029327276"/>
            <w:placeholder>
              <w:docPart w:val="0146071C1414426F925DEB63060F4E98"/>
            </w:placeholder>
            <w:dropDownList>
              <w:listItem w:value="Choose an item."/>
              <w:listItem w:displayText="Yes" w:value="Yes"/>
              <w:listItem w:displayText="No" w:value="No"/>
            </w:dropDownList>
          </w:sdtPr>
          <w:sdtEndPr/>
          <w:sdtContent>
            <w:tc>
              <w:tcPr>
                <w:tcW w:w="851" w:type="pct"/>
                <w:shd w:val="clear" w:color="auto" w:fill="auto"/>
              </w:tcPr>
              <w:p w:rsidR="002C32CC" w:rsidRPr="00AB4FF6" w:rsidRDefault="00F47C8C"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DA7A50" w:rsidRDefault="00DA7A50" w:rsidP="00AB4FF6">
            <w:pPr>
              <w:pStyle w:val="Default"/>
              <w:rPr>
                <w:rFonts w:ascii="Calibri" w:hAnsi="Calibri" w:cs="Calibri"/>
                <w:sz w:val="20"/>
                <w:szCs w:val="20"/>
              </w:rPr>
            </w:pPr>
            <w:r w:rsidRPr="00DA7A50">
              <w:rPr>
                <w:rFonts w:ascii="Calibri" w:hAnsi="Calibri" w:cs="Calibri"/>
                <w:sz w:val="20"/>
                <w:szCs w:val="20"/>
              </w:rPr>
              <w:t xml:space="preserve">If yes to </w:t>
            </w:r>
            <w:r w:rsidR="00E763D6">
              <w:rPr>
                <w:rFonts w:ascii="Calibri" w:hAnsi="Calibri" w:cs="Calibri"/>
                <w:sz w:val="20"/>
                <w:szCs w:val="20"/>
              </w:rPr>
              <w:t xml:space="preserve">the </w:t>
            </w:r>
            <w:r w:rsidRPr="00DA7A50">
              <w:rPr>
                <w:rFonts w:ascii="Calibri" w:hAnsi="Calibri" w:cs="Calibri"/>
                <w:sz w:val="20"/>
                <w:szCs w:val="20"/>
              </w:rPr>
              <w:t xml:space="preserve">above – </w:t>
            </w:r>
            <w:proofErr w:type="gramStart"/>
            <w:r w:rsidRPr="00DA7A50">
              <w:rPr>
                <w:rFonts w:ascii="Calibri" w:hAnsi="Calibri" w:cs="Calibri"/>
                <w:sz w:val="20"/>
                <w:szCs w:val="20"/>
              </w:rPr>
              <w:t xml:space="preserve">have the </w:t>
            </w:r>
            <w:r>
              <w:rPr>
                <w:rFonts w:ascii="Calibri" w:hAnsi="Calibri" w:cs="Calibri"/>
                <w:sz w:val="20"/>
                <w:szCs w:val="20"/>
              </w:rPr>
              <w:t xml:space="preserve">DPIA </w:t>
            </w:r>
            <w:r w:rsidRPr="00DA7A50">
              <w:rPr>
                <w:rFonts w:ascii="Calibri" w:hAnsi="Calibri" w:cs="Calibri"/>
                <w:sz w:val="20"/>
                <w:szCs w:val="20"/>
              </w:rPr>
              <w:t>screening questions been completed</w:t>
            </w:r>
            <w:proofErr w:type="gramEnd"/>
            <w:r w:rsidRPr="00DA7A50">
              <w:rPr>
                <w:rFonts w:ascii="Calibri" w:hAnsi="Calibri" w:cs="Calibri"/>
                <w:sz w:val="20"/>
                <w:szCs w:val="20"/>
              </w:rPr>
              <w:t>?</w:t>
            </w:r>
          </w:p>
        </w:tc>
        <w:sdt>
          <w:sdtPr>
            <w:rPr>
              <w:rFonts w:ascii="Calibri" w:hAnsi="Calibri" w:cs="Calibri"/>
              <w:b/>
              <w:sz w:val="20"/>
              <w:szCs w:val="20"/>
            </w:rPr>
            <w:alias w:val="Auto check"/>
            <w:tag w:val="Auto check"/>
            <w:id w:val="1962377035"/>
            <w:placeholder>
              <w:docPart w:val="5E948EC5DC984D49BFFBB0750303DE04"/>
            </w:placeholder>
            <w:comboBox>
              <w:listItem w:value="Choose an item."/>
              <w:listItem w:displayText="Yes" w:value="Yes"/>
              <w:listItem w:displayText="No" w:value="No"/>
            </w:comboBox>
          </w:sdtPr>
          <w:sdtEndPr/>
          <w:sdtContent>
            <w:tc>
              <w:tcPr>
                <w:tcW w:w="851" w:type="pct"/>
                <w:shd w:val="clear" w:color="auto" w:fill="auto"/>
              </w:tcPr>
              <w:p w:rsidR="002C32CC" w:rsidRPr="00AB4FF6" w:rsidRDefault="00F47C8C"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DA7A50" w:rsidP="00AB4FF6">
            <w:pPr>
              <w:pStyle w:val="Default"/>
              <w:rPr>
                <w:rFonts w:ascii="Calibri" w:hAnsi="Calibri" w:cs="Calibri"/>
                <w:sz w:val="20"/>
                <w:szCs w:val="20"/>
              </w:rPr>
            </w:pPr>
            <w:r w:rsidRPr="00E763D6">
              <w:rPr>
                <w:rFonts w:ascii="Calibri" w:hAnsi="Calibri" w:cs="Calibri"/>
                <w:sz w:val="20"/>
                <w:szCs w:val="20"/>
              </w:rPr>
              <w:t xml:space="preserve">Does this project involve the processing </w:t>
            </w:r>
            <w:r w:rsidR="00E763D6">
              <w:rPr>
                <w:rFonts w:ascii="Calibri" w:hAnsi="Calibri" w:cs="Calibri"/>
                <w:sz w:val="20"/>
                <w:szCs w:val="20"/>
              </w:rPr>
              <w:t xml:space="preserve">of personally identifiable or other </w:t>
            </w:r>
            <w:proofErr w:type="gramStart"/>
            <w:r w:rsidR="00E763D6">
              <w:rPr>
                <w:rFonts w:ascii="Calibri" w:hAnsi="Calibri" w:cs="Calibri"/>
                <w:sz w:val="20"/>
                <w:szCs w:val="20"/>
              </w:rPr>
              <w:t>high risk</w:t>
            </w:r>
            <w:proofErr w:type="gramEnd"/>
            <w:r w:rsidR="00E763D6">
              <w:rPr>
                <w:rFonts w:ascii="Calibri" w:hAnsi="Calibri" w:cs="Calibri"/>
                <w:sz w:val="20"/>
                <w:szCs w:val="20"/>
              </w:rPr>
              <w:t xml:space="preserve"> data?</w:t>
            </w:r>
          </w:p>
        </w:tc>
        <w:sdt>
          <w:sdtPr>
            <w:rPr>
              <w:rFonts w:ascii="Calibri" w:hAnsi="Calibri" w:cs="Calibri"/>
              <w:b/>
              <w:sz w:val="20"/>
              <w:szCs w:val="20"/>
            </w:rPr>
            <w:alias w:val="Auto check"/>
            <w:tag w:val="Auto check"/>
            <w:id w:val="-1097321276"/>
            <w:placeholder>
              <w:docPart w:val="C4AB961EECCF4A3AA4054559838E24CC"/>
            </w:placeholder>
            <w:comboBox>
              <w:listItem w:value="Choose an item."/>
              <w:listItem w:displayText="Yes" w:value="Yes"/>
              <w:listItem w:displayText="No" w:value="No"/>
            </w:comboBox>
          </w:sdtPr>
          <w:sdtEndPr/>
          <w:sdtContent>
            <w:tc>
              <w:tcPr>
                <w:tcW w:w="851" w:type="pct"/>
                <w:shd w:val="clear" w:color="auto" w:fill="auto"/>
              </w:tcPr>
              <w:p w:rsidR="002C32CC" w:rsidRPr="00AB4FF6" w:rsidRDefault="00F47C8C"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E763D6" w:rsidP="00AB4FF6">
            <w:pPr>
              <w:pStyle w:val="Default"/>
              <w:rPr>
                <w:rFonts w:ascii="Calibri" w:hAnsi="Calibri" w:cs="Calibri"/>
                <w:sz w:val="20"/>
                <w:szCs w:val="20"/>
              </w:rPr>
            </w:pPr>
            <w:r w:rsidRPr="00E763D6">
              <w:rPr>
                <w:rFonts w:ascii="Calibri" w:hAnsi="Calibri" w:cs="Calibri"/>
                <w:sz w:val="20"/>
                <w:szCs w:val="20"/>
              </w:rPr>
              <w:t xml:space="preserve">If yes to the </w:t>
            </w:r>
            <w:proofErr w:type="gramStart"/>
            <w:r w:rsidRPr="00E763D6">
              <w:rPr>
                <w:rFonts w:ascii="Calibri" w:hAnsi="Calibri" w:cs="Calibri"/>
                <w:sz w:val="20"/>
                <w:szCs w:val="20"/>
              </w:rPr>
              <w:t>above</w:t>
            </w:r>
            <w:proofErr w:type="gramEnd"/>
            <w:r w:rsidR="00E912FC">
              <w:rPr>
                <w:rFonts w:ascii="Calibri" w:hAnsi="Calibri" w:cs="Calibri"/>
                <w:sz w:val="20"/>
                <w:szCs w:val="20"/>
              </w:rPr>
              <w:t xml:space="preserve"> has a DPIA been completed and approved?</w:t>
            </w:r>
          </w:p>
        </w:tc>
        <w:sdt>
          <w:sdtPr>
            <w:rPr>
              <w:rFonts w:ascii="Calibri" w:hAnsi="Calibri" w:cs="Calibri"/>
              <w:b/>
              <w:sz w:val="20"/>
              <w:szCs w:val="20"/>
            </w:rPr>
            <w:alias w:val="Auto check"/>
            <w:tag w:val="Auto check"/>
            <w:id w:val="-622075150"/>
            <w:placeholder>
              <w:docPart w:val="DefaultPlaceholder_-1854013439"/>
            </w:placeholder>
            <w:comboBox>
              <w:listItem w:value="Choose an item."/>
              <w:listItem w:displayText="Yes" w:value="Yes"/>
              <w:listItem w:displayText="No" w:value="No"/>
            </w:comboBox>
          </w:sdtPr>
          <w:sdtEndPr/>
          <w:sdtContent>
            <w:tc>
              <w:tcPr>
                <w:tcW w:w="851" w:type="pct"/>
                <w:shd w:val="clear" w:color="auto" w:fill="auto"/>
              </w:tcPr>
              <w:p w:rsidR="002C32CC" w:rsidRPr="00AB4FF6" w:rsidRDefault="00F47C8C" w:rsidP="00AB4FF6">
                <w:pPr>
                  <w:pStyle w:val="Default"/>
                  <w:rPr>
                    <w:rFonts w:ascii="Calibri" w:hAnsi="Calibri" w:cs="Calibri"/>
                    <w:b/>
                    <w:sz w:val="20"/>
                    <w:szCs w:val="20"/>
                  </w:rPr>
                </w:pPr>
                <w:r>
                  <w:rPr>
                    <w:rFonts w:ascii="Calibri" w:hAnsi="Calibri" w:cs="Calibri"/>
                    <w:b/>
                    <w:sz w:val="20"/>
                    <w:szCs w:val="20"/>
                  </w:rPr>
                  <w:t>No</w:t>
                </w:r>
              </w:p>
            </w:tc>
          </w:sdtContent>
        </w:sdt>
      </w:tr>
      <w:tr w:rsidR="007E1C2F" w:rsidRPr="000D1B0D" w:rsidTr="00144ED4">
        <w:tc>
          <w:tcPr>
            <w:tcW w:w="1183" w:type="pct"/>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473CC5" w:rsidRPr="00E73B61" w:rsidRDefault="00473CC5" w:rsidP="009D4EDC">
            <w:pPr>
              <w:pStyle w:val="Default"/>
              <w:rPr>
                <w:rFonts w:ascii="Calibri" w:hAnsi="Calibri" w:cs="Calibri"/>
                <w:sz w:val="20"/>
                <w:szCs w:val="20"/>
              </w:rPr>
            </w:pPr>
          </w:p>
        </w:tc>
        <w:tc>
          <w:tcPr>
            <w:tcW w:w="3817" w:type="pct"/>
            <w:gridSpan w:val="2"/>
            <w:shd w:val="clear" w:color="auto" w:fill="auto"/>
          </w:tcPr>
          <w:p w:rsidR="00AB645B" w:rsidRDefault="00AB645B" w:rsidP="00E73B61">
            <w:pPr>
              <w:pStyle w:val="Default"/>
              <w:jc w:val="both"/>
              <w:rPr>
                <w:rFonts w:ascii="Calibri" w:hAnsi="Calibri" w:cs="Calibri"/>
                <w:sz w:val="20"/>
                <w:szCs w:val="20"/>
              </w:rPr>
            </w:pPr>
          </w:p>
          <w:p w:rsidR="007405E7" w:rsidRPr="007405E7"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F47C8C">
                  <w:rPr>
                    <w:rFonts w:ascii="MS Gothic" w:eastAsia="MS Gothic" w:hAnsi="MS Gothic" w:cs="Calibri" w:hint="eastAsia"/>
                    <w:sz w:val="20"/>
                    <w:szCs w:val="20"/>
                  </w:rPr>
                  <w:t>☒</w:t>
                </w:r>
              </w:sdtContent>
            </w:sdt>
          </w:p>
          <w:p w:rsidR="00F97DC2" w:rsidRDefault="00F97DC2"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has been completed and approved by the EIA </w:t>
            </w: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Panel.  As a result of performing the analysis/assessment there are no actions arising                        </w:t>
            </w:r>
            <w:sdt>
              <w:sdtPr>
                <w:rPr>
                  <w:rFonts w:ascii="Calibri" w:hAnsi="Calibri" w:cs="Calibri"/>
                  <w:sz w:val="20"/>
                  <w:szCs w:val="20"/>
                </w:rPr>
                <w:id w:val="-1189671615"/>
                <w14:checkbox>
                  <w14:checked w14:val="0"/>
                  <w14:checkedState w14:val="2612" w14:font="MS Gothic"/>
                  <w14:uncheckedState w14:val="2610" w14:font="MS Gothic"/>
                </w14:checkbox>
              </w:sdtPr>
              <w:sdtEndPr/>
              <w:sdtContent>
                <w:r w:rsidR="00D42959">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w:t>
            </w:r>
          </w:p>
          <w:p w:rsidR="00AB645B" w:rsidRDefault="00AB645B"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An Equality Impact Analysis/Assessment has been completed a</w:t>
            </w:r>
            <w:r w:rsidR="006C1307">
              <w:rPr>
                <w:rFonts w:ascii="Calibri" w:hAnsi="Calibri" w:cs="Calibri"/>
                <w:sz w:val="20"/>
                <w:szCs w:val="20"/>
              </w:rPr>
              <w:t xml:space="preserve">nd there are actions arising   </w:t>
            </w:r>
            <w:r>
              <w:rPr>
                <w:rFonts w:ascii="Calibri" w:hAnsi="Calibri" w:cs="Calibri"/>
                <w:sz w:val="20"/>
                <w:szCs w:val="20"/>
              </w:rPr>
              <w:t xml:space="preserve">           </w:t>
            </w:r>
            <w:sdt>
              <w:sdtPr>
                <w:rPr>
                  <w:rFonts w:ascii="Calibri" w:hAnsi="Calibri" w:cs="Calibri"/>
                  <w:sz w:val="20"/>
                  <w:szCs w:val="20"/>
                </w:rPr>
                <w:id w:val="-88001142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P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 and these are included in section ____ of the enclosed report</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Finance Implications:</w:t>
            </w:r>
          </w:p>
          <w:p w:rsidR="00473CC5" w:rsidRPr="00F300A1" w:rsidRDefault="00473CC5" w:rsidP="009D4EDC">
            <w:pPr>
              <w:pStyle w:val="Default"/>
              <w:rPr>
                <w:rFonts w:ascii="Calibri" w:hAnsi="Calibri" w:cs="Calibri"/>
                <w:i/>
                <w:sz w:val="20"/>
                <w:szCs w:val="20"/>
              </w:rPr>
            </w:pPr>
          </w:p>
        </w:tc>
        <w:tc>
          <w:tcPr>
            <w:tcW w:w="3817" w:type="pct"/>
            <w:gridSpan w:val="2"/>
            <w:shd w:val="clear" w:color="auto" w:fill="auto"/>
          </w:tcPr>
          <w:p w:rsidR="00246EFA" w:rsidRDefault="00F47C8C" w:rsidP="000D1B0D">
            <w:pPr>
              <w:pStyle w:val="Default"/>
              <w:jc w:val="both"/>
              <w:rPr>
                <w:rFonts w:ascii="Calibri" w:hAnsi="Calibri" w:cs="Calibri"/>
                <w:sz w:val="20"/>
                <w:szCs w:val="20"/>
              </w:rPr>
            </w:pPr>
            <w:r>
              <w:rPr>
                <w:rFonts w:ascii="Calibri" w:hAnsi="Calibri" w:cs="Calibri"/>
                <w:sz w:val="20"/>
                <w:szCs w:val="20"/>
              </w:rPr>
              <w:t>Annex C of the report considers the financial risks to the CCG posed by a “no deal” EU Exit. There are not currently any identifiable financial risks; and any costs associated with EU E</w:t>
            </w:r>
            <w:r w:rsidR="00D86A91">
              <w:rPr>
                <w:rFonts w:ascii="Calibri" w:hAnsi="Calibri" w:cs="Calibri"/>
                <w:sz w:val="20"/>
                <w:szCs w:val="20"/>
              </w:rPr>
              <w:t xml:space="preserve">xit </w:t>
            </w:r>
            <w:proofErr w:type="gramStart"/>
            <w:r w:rsidR="00D86A91">
              <w:rPr>
                <w:rFonts w:ascii="Calibri" w:hAnsi="Calibri" w:cs="Calibri"/>
                <w:sz w:val="20"/>
                <w:szCs w:val="20"/>
              </w:rPr>
              <w:t xml:space="preserve">will </w:t>
            </w:r>
            <w:r>
              <w:rPr>
                <w:rFonts w:ascii="Calibri" w:hAnsi="Calibri" w:cs="Calibri"/>
                <w:sz w:val="20"/>
                <w:szCs w:val="20"/>
              </w:rPr>
              <w:t>be appropriately recorded</w:t>
            </w:r>
            <w:proofErr w:type="gramEnd"/>
            <w:r>
              <w:rPr>
                <w:rFonts w:ascii="Calibri" w:hAnsi="Calibri" w:cs="Calibri"/>
                <w:sz w:val="20"/>
                <w:szCs w:val="20"/>
              </w:rPr>
              <w:t xml:space="preserve"> and a budget code assigned. </w:t>
            </w:r>
          </w:p>
          <w:p w:rsidR="00246EFA" w:rsidRPr="000D1B0D" w:rsidRDefault="00246EFA" w:rsidP="000D1B0D">
            <w:pPr>
              <w:pStyle w:val="Default"/>
              <w:jc w:val="both"/>
              <w:rPr>
                <w:rFonts w:ascii="Calibri" w:hAnsi="Calibri" w:cs="Calibri"/>
                <w:sz w:val="20"/>
                <w:szCs w:val="20"/>
              </w:rPr>
            </w:pP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Quality Implications:</w:t>
            </w:r>
          </w:p>
          <w:p w:rsidR="00473CC5" w:rsidRPr="00D42959" w:rsidRDefault="00473CC5" w:rsidP="009D4EDC">
            <w:pPr>
              <w:pStyle w:val="Default"/>
              <w:rPr>
                <w:rFonts w:ascii="Calibri" w:hAnsi="Calibri" w:cs="Calibri"/>
                <w:i/>
                <w:sz w:val="20"/>
                <w:szCs w:val="20"/>
              </w:rPr>
            </w:pPr>
          </w:p>
        </w:tc>
        <w:tc>
          <w:tcPr>
            <w:tcW w:w="3817" w:type="pct"/>
            <w:gridSpan w:val="2"/>
            <w:shd w:val="clear" w:color="auto" w:fill="auto"/>
          </w:tcPr>
          <w:p w:rsidR="00D42959" w:rsidRPr="00D42959" w:rsidRDefault="00D42959" w:rsidP="00D42959">
            <w:pPr>
              <w:pStyle w:val="Default"/>
              <w:rPr>
                <w:rFonts w:ascii="Calibri" w:hAnsi="Calibri" w:cs="Calibri"/>
                <w:sz w:val="20"/>
                <w:szCs w:val="20"/>
              </w:rPr>
            </w:pPr>
            <w:r w:rsidRPr="00D42959">
              <w:rPr>
                <w:rFonts w:ascii="Calibri" w:hAnsi="Calibri" w:cs="Calibri"/>
                <w:sz w:val="20"/>
                <w:szCs w:val="20"/>
              </w:rPr>
              <w:t>This report details a positive impact on quality</w:t>
            </w:r>
            <w:r>
              <w:rPr>
                <w:rFonts w:ascii="Calibri" w:hAnsi="Calibri" w:cs="Calibri"/>
                <w:sz w:val="20"/>
                <w:szCs w:val="20"/>
              </w:rPr>
              <w:t xml:space="preserve">.    </w:t>
            </w:r>
            <w:r w:rsidR="008D2FFA">
              <w:rPr>
                <w:rFonts w:ascii="Calibri" w:hAnsi="Calibri" w:cs="Calibri"/>
                <w:sz w:val="20"/>
                <w:szCs w:val="20"/>
              </w:rPr>
              <w:t xml:space="preserve">                             </w:t>
            </w:r>
            <w:r>
              <w:rPr>
                <w:rFonts w:ascii="Calibri" w:hAnsi="Calibri" w:cs="Calibri"/>
                <w:sz w:val="20"/>
                <w:szCs w:val="20"/>
              </w:rPr>
              <w:t xml:space="preserve">                                                       </w:t>
            </w:r>
            <w:sdt>
              <w:sdtPr>
                <w:rPr>
                  <w:rFonts w:ascii="Calibri" w:hAnsi="Calibri" w:cs="Calibri"/>
                  <w:sz w:val="20"/>
                  <w:szCs w:val="20"/>
                </w:rPr>
                <w:id w:val="-1643108502"/>
                <w14:checkbox>
                  <w14:checked w14:val="0"/>
                  <w14:checkedState w14:val="2612" w14:font="MS Gothic"/>
                  <w14:uncheckedState w14:val="2610" w14:font="MS Gothic"/>
                </w14:checkbox>
              </w:sdtPr>
              <w:sdtEndPr/>
              <w:sdtContent>
                <w:r w:rsidR="002F27B3">
                  <w:rPr>
                    <w:rFonts w:ascii="MS Gothic" w:eastAsia="MS Gothic" w:hAnsi="MS Gothic" w:cs="Calibri" w:hint="eastAsia"/>
                    <w:sz w:val="20"/>
                    <w:szCs w:val="20"/>
                  </w:rPr>
                  <w:t>☐</w:t>
                </w:r>
              </w:sdtContent>
            </w:sdt>
          </w:p>
          <w:p w:rsidR="00246EFA"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proposal put forwards, if agreed, would have a positive impact in terms of enabling providers to meet safe staffing targets.  Retention and recruitment </w:t>
            </w:r>
            <w:proofErr w:type="gramStart"/>
            <w:r w:rsidRPr="00D42959">
              <w:rPr>
                <w:rFonts w:ascii="Calibri" w:hAnsi="Calibri" w:cs="Calibri"/>
                <w:sz w:val="20"/>
                <w:szCs w:val="20"/>
              </w:rPr>
              <w:t>is forecast to be improved</w:t>
            </w:r>
            <w:proofErr w:type="gramEnd"/>
            <w:r w:rsidRPr="00D42959">
              <w:rPr>
                <w:rFonts w:ascii="Calibri" w:hAnsi="Calibri" w:cs="Calibri"/>
                <w:sz w:val="20"/>
                <w:szCs w:val="20"/>
              </w:rPr>
              <w:t>, which would have a positive impact on the safe delivery of local services</w:t>
            </w:r>
            <w:r>
              <w:rPr>
                <w:rFonts w:ascii="Calibri" w:hAnsi="Calibri" w:cs="Calibri"/>
                <w:sz w:val="20"/>
                <w:szCs w:val="20"/>
              </w:rPr>
              <w:t>.</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neutral impact on quality. </w:t>
            </w:r>
            <w:r>
              <w:rPr>
                <w:rFonts w:ascii="Calibri" w:hAnsi="Calibri" w:cs="Calibri"/>
                <w:sz w:val="20"/>
                <w:szCs w:val="20"/>
              </w:rPr>
              <w:t xml:space="preserve">                                                                                           </w:t>
            </w:r>
            <w:sdt>
              <w:sdtPr>
                <w:rPr>
                  <w:rFonts w:ascii="Calibri" w:hAnsi="Calibri" w:cs="Calibri"/>
                  <w:sz w:val="20"/>
                  <w:szCs w:val="20"/>
                </w:rPr>
                <w:id w:val="1480650251"/>
                <w14:checkbox>
                  <w14:checked w14:val="1"/>
                  <w14:checkedState w14:val="2612" w14:font="MS Gothic"/>
                  <w14:uncheckedState w14:val="2610" w14:font="MS Gothic"/>
                </w14:checkbox>
              </w:sdtPr>
              <w:sdtEndPr/>
              <w:sdtContent>
                <w:r w:rsidR="002F27B3">
                  <w:rPr>
                    <w:rFonts w:ascii="MS Gothic" w:eastAsia="MS Gothic" w:hAnsi="MS Gothic" w:cs="Calibri" w:hint="eastAsia"/>
                    <w:sz w:val="20"/>
                    <w:szCs w:val="20"/>
                  </w:rPr>
                  <w:t>☒</w:t>
                </w:r>
              </w:sdtContent>
            </w:sdt>
          </w:p>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report will not make any impact on experience, safety or effectiveness.  </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negative impact on quality. </w:t>
            </w:r>
            <w:r>
              <w:rPr>
                <w:rFonts w:ascii="Calibri" w:hAnsi="Calibri" w:cs="Calibri"/>
                <w:sz w:val="20"/>
                <w:szCs w:val="20"/>
              </w:rPr>
              <w:t xml:space="preserve">                                                                                        </w:t>
            </w:r>
            <w:sdt>
              <w:sdtPr>
                <w:rPr>
                  <w:rFonts w:ascii="Calibri" w:hAnsi="Calibri" w:cs="Calibri"/>
                  <w:sz w:val="20"/>
                  <w:szCs w:val="20"/>
                </w:rPr>
                <w:id w:val="1671059544"/>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246EFA" w:rsidRPr="000D1B0D"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report details the need for budgets to </w:t>
            </w:r>
            <w:proofErr w:type="gramStart"/>
            <w:r w:rsidRPr="00D42959">
              <w:rPr>
                <w:rFonts w:ascii="Calibri" w:hAnsi="Calibri" w:cs="Calibri"/>
                <w:sz w:val="20"/>
                <w:szCs w:val="20"/>
              </w:rPr>
              <w:t>be significantly reduced</w:t>
            </w:r>
            <w:proofErr w:type="gramEnd"/>
            <w:r w:rsidRPr="00D42959">
              <w:rPr>
                <w:rFonts w:ascii="Calibri" w:hAnsi="Calibri" w:cs="Calibri"/>
                <w:sz w:val="20"/>
                <w:szCs w:val="20"/>
              </w:rPr>
              <w:t xml:space="preserve">.  It is clear that the report summarises that quality will be negatively impacted by this  as decisions to remove services/provide a lower level of provision to solely meet the ‘must do’s’ of provision in terms of meeting people’s needs has to be made.  It </w:t>
            </w:r>
            <w:proofErr w:type="gramStart"/>
            <w:r w:rsidRPr="00D42959">
              <w:rPr>
                <w:rFonts w:ascii="Calibri" w:hAnsi="Calibri" w:cs="Calibri"/>
                <w:sz w:val="20"/>
                <w:szCs w:val="20"/>
              </w:rPr>
              <w:t>is forecast</w:t>
            </w:r>
            <w:proofErr w:type="gramEnd"/>
            <w:r w:rsidRPr="00D42959">
              <w:rPr>
                <w:rFonts w:ascii="Calibri" w:hAnsi="Calibri" w:cs="Calibri"/>
                <w:sz w:val="20"/>
                <w:szCs w:val="20"/>
              </w:rPr>
              <w:t xml:space="preserve"> that service user experience will be negatively impacted by this position</w:t>
            </w:r>
            <w:r>
              <w:rPr>
                <w:rFonts w:ascii="Calibri" w:hAnsi="Calibri" w:cs="Calibri"/>
                <w:sz w:val="20"/>
                <w:szCs w:val="20"/>
              </w:rPr>
              <w:t>.</w:t>
            </w:r>
          </w:p>
        </w:tc>
      </w:tr>
      <w:tr w:rsidR="009D4EDC" w:rsidRPr="000D1B0D" w:rsidTr="00144ED4">
        <w:tc>
          <w:tcPr>
            <w:tcW w:w="1183" w:type="pct"/>
            <w:shd w:val="clear" w:color="auto" w:fill="auto"/>
          </w:tcPr>
          <w:p w:rsidR="009D4EDC" w:rsidRPr="000D1B0D" w:rsidRDefault="009D4EDC" w:rsidP="00E76606">
            <w:pPr>
              <w:pStyle w:val="Default"/>
              <w:rPr>
                <w:rFonts w:ascii="Calibri" w:hAnsi="Calibri" w:cs="Calibri"/>
                <w:b/>
                <w:sz w:val="20"/>
                <w:szCs w:val="20"/>
              </w:rPr>
            </w:pPr>
            <w:r w:rsidRPr="000D1B0D">
              <w:rPr>
                <w:rFonts w:ascii="Calibri" w:hAnsi="Calibri" w:cs="Calibri"/>
                <w:b/>
                <w:sz w:val="20"/>
                <w:szCs w:val="20"/>
              </w:rPr>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p w:rsidR="009D4EDC" w:rsidRPr="000D1B0D" w:rsidRDefault="009D4EDC" w:rsidP="00F300A1">
            <w:pPr>
              <w:pStyle w:val="Default"/>
              <w:rPr>
                <w:rFonts w:ascii="Calibri" w:hAnsi="Calibri" w:cs="Calibri"/>
                <w:b/>
                <w:sz w:val="20"/>
                <w:szCs w:val="20"/>
              </w:rPr>
            </w:pPr>
          </w:p>
        </w:tc>
        <w:tc>
          <w:tcPr>
            <w:tcW w:w="3817" w:type="pct"/>
            <w:gridSpan w:val="2"/>
            <w:shd w:val="clear" w:color="auto" w:fill="auto"/>
          </w:tcPr>
          <w:p w:rsidR="00246EFA" w:rsidRPr="00901CC0" w:rsidRDefault="002F27B3" w:rsidP="00E61AF0">
            <w:pPr>
              <w:pStyle w:val="Default"/>
              <w:jc w:val="both"/>
              <w:rPr>
                <w:rFonts w:ascii="Calibri" w:hAnsi="Calibri" w:cs="Calibri"/>
                <w:sz w:val="20"/>
                <w:szCs w:val="20"/>
              </w:rPr>
            </w:pPr>
            <w:r>
              <w:rPr>
                <w:rFonts w:ascii="Calibri" w:hAnsi="Calibri" w:cs="Calibri"/>
                <w:sz w:val="20"/>
                <w:szCs w:val="20"/>
              </w:rPr>
              <w:t>N/A</w:t>
            </w:r>
          </w:p>
        </w:tc>
      </w:tr>
      <w:tr w:rsidR="00473CC5" w:rsidRPr="000D1B0D" w:rsidTr="00144ED4">
        <w:tc>
          <w:tcPr>
            <w:tcW w:w="1183" w:type="pct"/>
            <w:shd w:val="clear" w:color="auto" w:fill="auto"/>
          </w:tcPr>
          <w:p w:rsidR="00473CC5" w:rsidRPr="00F300A1" w:rsidRDefault="00473CC5" w:rsidP="00856EE6">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3817" w:type="pct"/>
            <w:gridSpan w:val="2"/>
            <w:shd w:val="clear" w:color="auto" w:fill="auto"/>
          </w:tcPr>
          <w:p w:rsidR="00246EFA" w:rsidRDefault="002F27B3" w:rsidP="000D1B0D">
            <w:pPr>
              <w:pStyle w:val="Default"/>
              <w:jc w:val="both"/>
              <w:rPr>
                <w:rFonts w:ascii="Calibri" w:hAnsi="Calibri" w:cs="Calibri"/>
                <w:sz w:val="20"/>
                <w:szCs w:val="20"/>
              </w:rPr>
            </w:pPr>
            <w:r>
              <w:rPr>
                <w:rFonts w:ascii="Calibri" w:hAnsi="Calibri" w:cs="Calibri"/>
                <w:sz w:val="20"/>
                <w:szCs w:val="20"/>
              </w:rPr>
              <w:t>Engagement with NHS England through daily SITREP’s, LHRP attendance and calls as required. Engagement with providers through the Emergency Preparedness Group. Engagement with staff through staff briefing delivered 19</w:t>
            </w:r>
            <w:r w:rsidRPr="002F27B3">
              <w:rPr>
                <w:rFonts w:ascii="Calibri" w:hAnsi="Calibri" w:cs="Calibri"/>
                <w:sz w:val="20"/>
                <w:szCs w:val="20"/>
                <w:vertAlign w:val="superscript"/>
              </w:rPr>
              <w:t>th</w:t>
            </w:r>
            <w:r>
              <w:rPr>
                <w:rFonts w:ascii="Calibri" w:hAnsi="Calibri" w:cs="Calibri"/>
                <w:sz w:val="20"/>
                <w:szCs w:val="20"/>
              </w:rPr>
              <w:t xml:space="preserve"> March 2019.</w:t>
            </w:r>
          </w:p>
          <w:p w:rsidR="00246EFA" w:rsidRDefault="00246EFA" w:rsidP="000D1B0D">
            <w:pPr>
              <w:pStyle w:val="Default"/>
              <w:jc w:val="both"/>
              <w:rPr>
                <w:rFonts w:ascii="Calibri" w:hAnsi="Calibri" w:cs="Calibri"/>
                <w:sz w:val="20"/>
                <w:szCs w:val="20"/>
              </w:rPr>
            </w:pPr>
          </w:p>
          <w:p w:rsidR="00246EFA" w:rsidRPr="000D1B0D" w:rsidRDefault="00246EFA" w:rsidP="000D1B0D">
            <w:pPr>
              <w:pStyle w:val="Default"/>
              <w:jc w:val="both"/>
              <w:rPr>
                <w:rFonts w:ascii="Calibri" w:hAnsi="Calibri" w:cs="Calibri"/>
                <w:sz w:val="20"/>
                <w:szCs w:val="20"/>
              </w:rPr>
            </w:pPr>
          </w:p>
        </w:tc>
      </w:tr>
      <w:tr w:rsidR="00246EFA" w:rsidRPr="000D1B0D" w:rsidTr="00144ED4">
        <w:trPr>
          <w:trHeight w:val="86"/>
        </w:trPr>
        <w:tc>
          <w:tcPr>
            <w:tcW w:w="1183" w:type="pct"/>
            <w:shd w:val="clear" w:color="auto" w:fill="D9D9D9"/>
          </w:tcPr>
          <w:p w:rsidR="00246EFA" w:rsidRPr="000D1B0D" w:rsidRDefault="00246EFA" w:rsidP="000D1B0D">
            <w:pPr>
              <w:pStyle w:val="Default"/>
              <w:jc w:val="both"/>
              <w:rPr>
                <w:rFonts w:ascii="Calibri" w:hAnsi="Calibri" w:cs="Calibri"/>
                <w:b/>
                <w:sz w:val="20"/>
                <w:szCs w:val="20"/>
              </w:rPr>
            </w:pPr>
          </w:p>
        </w:tc>
        <w:tc>
          <w:tcPr>
            <w:tcW w:w="3817" w:type="pct"/>
            <w:gridSpan w:val="2"/>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C450D4" w:rsidRDefault="007E1C2F" w:rsidP="007E1C2F">
            <w:pPr>
              <w:pStyle w:val="Default"/>
              <w:rPr>
                <w:rFonts w:ascii="Calibri" w:hAnsi="Calibri" w:cs="Calibri"/>
                <w:i/>
                <w:sz w:val="20"/>
                <w:szCs w:val="20"/>
              </w:rPr>
            </w:pPr>
          </w:p>
        </w:tc>
        <w:tc>
          <w:tcPr>
            <w:tcW w:w="3817" w:type="pct"/>
            <w:gridSpan w:val="2"/>
            <w:shd w:val="clear" w:color="auto" w:fill="auto"/>
          </w:tcPr>
          <w:p w:rsidR="00C450D4" w:rsidRDefault="00E61AF0" w:rsidP="000D1B0D">
            <w:pPr>
              <w:pStyle w:val="Default"/>
              <w:jc w:val="both"/>
              <w:rPr>
                <w:rFonts w:ascii="Calibri" w:hAnsi="Calibri" w:cs="Calibri"/>
                <w:i/>
                <w:sz w:val="20"/>
                <w:szCs w:val="20"/>
              </w:rPr>
            </w:pPr>
            <w:r w:rsidRPr="00E61AF0">
              <w:rPr>
                <w:rFonts w:ascii="Calibri" w:hAnsi="Calibri" w:cs="Calibri"/>
                <w:i/>
                <w:sz w:val="20"/>
                <w:szCs w:val="20"/>
              </w:rPr>
              <w:t xml:space="preserve">Have all conflicts and potential conflicts of interest been appropriately declared and entered in </w:t>
            </w:r>
            <w:proofErr w:type="gramStart"/>
            <w:r w:rsidRPr="00E61AF0">
              <w:rPr>
                <w:rFonts w:ascii="Calibri" w:hAnsi="Calibri" w:cs="Calibri"/>
                <w:i/>
                <w:sz w:val="20"/>
                <w:szCs w:val="20"/>
              </w:rPr>
              <w:t>registers which</w:t>
            </w:r>
            <w:proofErr w:type="gramEnd"/>
            <w:r w:rsidRPr="00E61AF0">
              <w:rPr>
                <w:rFonts w:ascii="Calibri" w:hAnsi="Calibri" w:cs="Calibri"/>
                <w:i/>
                <w:sz w:val="20"/>
                <w:szCs w:val="20"/>
              </w:rPr>
              <w:t xml:space="preserve"> are publicly available?</w:t>
            </w:r>
            <w:r w:rsidR="00006E07">
              <w:rPr>
                <w:rFonts w:ascii="Calibri" w:hAnsi="Calibri" w:cs="Calibri"/>
                <w:i/>
                <w:sz w:val="20"/>
                <w:szCs w:val="20"/>
              </w:rPr>
              <w:t xml:space="preserve"> </w:t>
            </w:r>
            <w:r w:rsidR="006006E6">
              <w:rPr>
                <w:rFonts w:ascii="Calibri" w:hAnsi="Calibri" w:cs="Calibri"/>
                <w:i/>
                <w:sz w:val="20"/>
                <w:szCs w:val="20"/>
              </w:rPr>
              <w:t xml:space="preserve">  </w:t>
            </w:r>
          </w:p>
          <w:p w:rsidR="00006E07" w:rsidRDefault="00006E07" w:rsidP="000D1B0D">
            <w:pPr>
              <w:pStyle w:val="Default"/>
              <w:jc w:val="both"/>
              <w:rPr>
                <w:rFonts w:ascii="Calibri" w:hAnsi="Calibri" w:cs="Calibri"/>
                <w:b/>
                <w:sz w:val="20"/>
                <w:szCs w:val="20"/>
              </w:rPr>
            </w:pPr>
          </w:p>
          <w:p w:rsidR="00006E07" w:rsidRDefault="007901EF" w:rsidP="00D42959">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0"/>
                  <w14:checkedState w14:val="2612" w14:font="MS Gothic"/>
                  <w14:uncheckedState w14:val="2610" w14:font="MS Gothic"/>
                </w14:checkbox>
              </w:sdtPr>
              <w:sdtEndPr/>
              <w:sdtContent>
                <w:r w:rsidR="006C1307">
                  <w:rPr>
                    <w:rFonts w:ascii="MS Gothic" w:eastAsia="MS Gothic" w:hAnsi="MS Gothic" w:cs="Calibri" w:hint="eastAsia"/>
                    <w:sz w:val="20"/>
                    <w:szCs w:val="20"/>
                  </w:rPr>
                  <w:t>☐</w:t>
                </w:r>
              </w:sdtContent>
            </w:sdt>
            <w:r w:rsidR="006C1307" w:rsidRPr="006C1307">
              <w:rPr>
                <w:rFonts w:ascii="Calibri" w:hAnsi="Calibri" w:cs="Calibri"/>
                <w:sz w:val="20"/>
                <w:szCs w:val="20"/>
              </w:rPr>
              <w:t xml:space="preserve">  Yes</w:t>
            </w:r>
            <w:r w:rsidR="006C1307">
              <w:rPr>
                <w:rFonts w:ascii="Calibri" w:hAnsi="Calibri" w:cs="Calibri"/>
                <w:sz w:val="20"/>
                <w:szCs w:val="20"/>
              </w:rPr>
              <w:t xml:space="preserve">            </w:t>
            </w:r>
            <w:sdt>
              <w:sdtPr>
                <w:rPr>
                  <w:rFonts w:ascii="Calibri" w:hAnsi="Calibri" w:cs="Calibri"/>
                  <w:sz w:val="20"/>
                  <w:szCs w:val="20"/>
                </w:rPr>
                <w:id w:val="1133061687"/>
                <w14:checkbox>
                  <w14:checked w14:val="1"/>
                  <w14:checkedState w14:val="2612" w14:font="MS Gothic"/>
                  <w14:uncheckedState w14:val="2610" w14:font="MS Gothic"/>
                </w14:checkbox>
              </w:sdtPr>
              <w:sdtEndPr/>
              <w:sdtContent>
                <w:r w:rsidR="002F27B3">
                  <w:rPr>
                    <w:rFonts w:ascii="MS Gothic" w:eastAsia="MS Gothic" w:hAnsi="MS Gothic" w:cs="Calibri" w:hint="eastAsia"/>
                    <w:sz w:val="20"/>
                    <w:szCs w:val="20"/>
                  </w:rPr>
                  <w:t>☒</w:t>
                </w:r>
              </w:sdtContent>
            </w:sdt>
            <w:r w:rsidR="006C1307">
              <w:rPr>
                <w:rFonts w:ascii="Calibri" w:hAnsi="Calibri" w:cs="Calibri"/>
                <w:sz w:val="20"/>
                <w:szCs w:val="20"/>
              </w:rPr>
              <w:t xml:space="preserve">  No</w:t>
            </w:r>
          </w:p>
          <w:p w:rsidR="00246EFA" w:rsidRPr="000D1B0D" w:rsidRDefault="00246EFA" w:rsidP="000D1B0D">
            <w:pPr>
              <w:pStyle w:val="Default"/>
              <w:jc w:val="both"/>
              <w:rPr>
                <w:rFonts w:ascii="Calibri" w:hAnsi="Calibri" w:cs="Calibri"/>
                <w:sz w:val="20"/>
                <w:szCs w:val="20"/>
              </w:rPr>
            </w:pPr>
          </w:p>
        </w:tc>
      </w:tr>
      <w:tr w:rsidR="007663C8" w:rsidRPr="000D1B0D" w:rsidTr="00144ED4">
        <w:tc>
          <w:tcPr>
            <w:tcW w:w="1183"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lastRenderedPageBreak/>
              <w:t xml:space="preserve">Links to CCG’s </w:t>
            </w:r>
            <w:r w:rsidR="007663C8">
              <w:rPr>
                <w:rFonts w:ascii="Calibri" w:hAnsi="Calibri" w:cs="Calibri"/>
                <w:b/>
                <w:sz w:val="20"/>
                <w:szCs w:val="20"/>
              </w:rPr>
              <w:t>Strategic Objectives</w:t>
            </w:r>
          </w:p>
        </w:tc>
        <w:tc>
          <w:tcPr>
            <w:tcW w:w="3817" w:type="pct"/>
            <w:gridSpan w:val="2"/>
            <w:shd w:val="clear" w:color="auto" w:fill="auto"/>
          </w:tcPr>
          <w:p w:rsidR="006330C7" w:rsidRDefault="007901EF"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1"/>
                  <w14:checkedState w14:val="2612" w14:font="MS Gothic"/>
                  <w14:uncheckedState w14:val="2610" w14:font="MS Gothic"/>
                </w14:checkbox>
              </w:sdtPr>
              <w:sdtEndPr/>
              <w:sdtContent>
                <w:r w:rsidR="002F27B3">
                  <w:rPr>
                    <w:rFonts w:ascii="MS Gothic" w:eastAsia="MS Gothic" w:hAnsi="MS Gothic" w:cs="Calibri" w:hint="eastAsia"/>
                    <w:sz w:val="22"/>
                    <w:szCs w:val="22"/>
                  </w:rPr>
                  <w:t>☒</w:t>
                </w:r>
              </w:sdtContent>
            </w:sdt>
            <w:r w:rsidR="006330C7">
              <w:rPr>
                <w:rFonts w:ascii="Calibri" w:hAnsi="Calibri" w:cs="Calibri"/>
                <w:sz w:val="22"/>
                <w:szCs w:val="22"/>
              </w:rPr>
              <w:t xml:space="preserve"> Sustainable services                                       </w:t>
            </w:r>
            <w:sdt>
              <w:sdtPr>
                <w:rPr>
                  <w:rFonts w:ascii="Calibri" w:hAnsi="Calibri" w:cs="Calibri"/>
                  <w:sz w:val="22"/>
                  <w:szCs w:val="22"/>
                </w:rPr>
                <w:id w:val="-225378782"/>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Empowering people</w:t>
            </w:r>
          </w:p>
          <w:p w:rsidR="006330C7" w:rsidRDefault="007901EF" w:rsidP="00D42959">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1"/>
                  <w14:checkedState w14:val="2612" w14:font="MS Gothic"/>
                  <w14:uncheckedState w14:val="2610" w14:font="MS Gothic"/>
                </w14:checkbox>
              </w:sdtPr>
              <w:sdtEndPr/>
              <w:sdtContent>
                <w:r w:rsidR="002F27B3">
                  <w:rPr>
                    <w:rFonts w:ascii="MS Gothic" w:eastAsia="MS Gothic" w:hAnsi="MS Gothic" w:cs="Calibri" w:hint="eastAsia"/>
                    <w:sz w:val="22"/>
                    <w:szCs w:val="22"/>
                  </w:rPr>
                  <w:t>☒</w:t>
                </w:r>
              </w:sdtContent>
            </w:sdt>
            <w:r w:rsidR="006330C7">
              <w:rPr>
                <w:rFonts w:ascii="Calibri" w:hAnsi="Calibri" w:cs="Calibri"/>
                <w:sz w:val="22"/>
                <w:szCs w:val="22"/>
              </w:rPr>
              <w:t xml:space="preserve"> Supporting communities</w:t>
            </w:r>
            <w:r w:rsidR="00144ED4">
              <w:rPr>
                <w:rFonts w:ascii="Calibri" w:hAnsi="Calibri" w:cs="Calibri"/>
                <w:sz w:val="22"/>
                <w:szCs w:val="22"/>
              </w:rPr>
              <w:t xml:space="preserve">                               </w:t>
            </w:r>
            <w:sdt>
              <w:sdtPr>
                <w:rPr>
                  <w:rFonts w:ascii="Calibri" w:hAnsi="Calibri" w:cs="Calibri"/>
                  <w:sz w:val="22"/>
                  <w:szCs w:val="22"/>
                </w:rPr>
                <w:id w:val="-690685341"/>
                <w14:checkbox>
                  <w14:checked w14:val="1"/>
                  <w14:checkedState w14:val="2612" w14:font="MS Gothic"/>
                  <w14:uncheckedState w14:val="2610" w14:font="MS Gothic"/>
                </w14:checkbox>
              </w:sdtPr>
              <w:sdtEndPr/>
              <w:sdtContent>
                <w:r w:rsidR="002F27B3">
                  <w:rPr>
                    <w:rFonts w:ascii="MS Gothic" w:eastAsia="MS Gothic" w:hAnsi="MS Gothic" w:cs="Calibri" w:hint="eastAsia"/>
                    <w:sz w:val="22"/>
                    <w:szCs w:val="22"/>
                  </w:rPr>
                  <w:t>☒</w:t>
                </w:r>
              </w:sdtContent>
            </w:sdt>
            <w:r w:rsidR="00144ED4">
              <w:rPr>
                <w:rFonts w:ascii="Calibri" w:hAnsi="Calibri" w:cs="Calibri"/>
                <w:sz w:val="22"/>
                <w:szCs w:val="22"/>
              </w:rPr>
              <w:t xml:space="preserve"> Delivering a fit for purpose organisation</w:t>
            </w:r>
          </w:p>
          <w:p w:rsidR="00220DF9" w:rsidRPr="006330C7" w:rsidRDefault="00220DF9" w:rsidP="00D42959">
            <w:pPr>
              <w:tabs>
                <w:tab w:val="left" w:pos="1656"/>
                <w:tab w:val="left" w:pos="5364"/>
              </w:tabs>
              <w:autoSpaceDE w:val="0"/>
              <w:autoSpaceDN w:val="0"/>
              <w:rPr>
                <w:rFonts w:ascii="Calibri" w:hAnsi="Calibri" w:cs="Calibri"/>
                <w:sz w:val="22"/>
                <w:szCs w:val="22"/>
              </w:rPr>
            </w:pPr>
          </w:p>
        </w:tc>
      </w:tr>
      <w:tr w:rsidR="00473CC5" w:rsidRPr="000D1B0D" w:rsidTr="00144ED4">
        <w:tc>
          <w:tcPr>
            <w:tcW w:w="1183" w:type="pct"/>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473CC5" w:rsidRPr="0009052F" w:rsidRDefault="00473CC5" w:rsidP="0009052F">
            <w:pPr>
              <w:pStyle w:val="Default"/>
              <w:rPr>
                <w:rFonts w:ascii="Calibri" w:hAnsi="Calibri" w:cs="Calibri"/>
                <w:i/>
                <w:sz w:val="20"/>
                <w:szCs w:val="20"/>
              </w:rPr>
            </w:pPr>
          </w:p>
        </w:tc>
        <w:tc>
          <w:tcPr>
            <w:tcW w:w="3817" w:type="pct"/>
            <w:gridSpan w:val="2"/>
            <w:shd w:val="clear" w:color="auto" w:fill="auto"/>
          </w:tcPr>
          <w:p w:rsidR="00144ED4" w:rsidRDefault="007901EF" w:rsidP="000D1B0D">
            <w:pPr>
              <w:pStyle w:val="Default"/>
              <w:jc w:val="both"/>
              <w:rPr>
                <w:rFonts w:ascii="Calibri" w:hAnsi="Calibri" w:cs="Calibri"/>
                <w:sz w:val="20"/>
                <w:szCs w:val="20"/>
              </w:rPr>
            </w:pPr>
            <w:hyperlink r:id="rId9" w:history="1">
              <w:r w:rsidR="00160986" w:rsidRPr="009D45D5">
                <w:rPr>
                  <w:rStyle w:val="Hyperlink"/>
                  <w:rFonts w:ascii="Calibri" w:hAnsi="Calibri" w:cs="Calibri"/>
                  <w:sz w:val="20"/>
                  <w:szCs w:val="20"/>
                </w:rPr>
                <w:t>https://www.gov.uk/government/publications/the-nhs-constitution-for-england</w:t>
              </w:r>
            </w:hyperlink>
          </w:p>
          <w:p w:rsidR="00034CF6" w:rsidRDefault="00034CF6" w:rsidP="000D1B0D">
            <w:pPr>
              <w:pStyle w:val="Default"/>
              <w:jc w:val="both"/>
              <w:rPr>
                <w:rFonts w:ascii="Calibri" w:hAnsi="Calibri" w:cs="Calibri"/>
                <w:sz w:val="20"/>
                <w:szCs w:val="20"/>
              </w:rPr>
            </w:pPr>
          </w:p>
          <w:p w:rsidR="00006E07" w:rsidRPr="000D1B0D" w:rsidRDefault="002F27B3" w:rsidP="0009052F">
            <w:pPr>
              <w:pStyle w:val="Default"/>
              <w:jc w:val="both"/>
              <w:rPr>
                <w:rFonts w:ascii="Calibri" w:hAnsi="Calibri" w:cs="Calibri"/>
                <w:sz w:val="20"/>
                <w:szCs w:val="20"/>
              </w:rPr>
            </w:pPr>
            <w:r>
              <w:rPr>
                <w:rFonts w:ascii="Calibri" w:hAnsi="Calibri" w:cs="Calibri"/>
                <w:sz w:val="20"/>
              </w:rPr>
              <w:t xml:space="preserve">The CCG is required to adequately plan and prepare for incidents and emergencies and ensure commissioned services have appropriate business continuity plans in place to provide resilience in the event of an incident or emergency. </w:t>
            </w:r>
          </w:p>
        </w:tc>
      </w:tr>
      <w:tr w:rsidR="00E402F3" w:rsidRPr="000D1B0D" w:rsidTr="00144ED4">
        <w:tc>
          <w:tcPr>
            <w:tcW w:w="1183" w:type="pct"/>
            <w:shd w:val="clear" w:color="auto" w:fill="auto"/>
          </w:tcPr>
          <w:p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t>Appendices / attachments</w:t>
            </w:r>
          </w:p>
          <w:p w:rsidR="00E402F3" w:rsidRPr="000D1B0D" w:rsidRDefault="00E402F3" w:rsidP="00E402F3">
            <w:pPr>
              <w:pStyle w:val="Default"/>
              <w:rPr>
                <w:rFonts w:ascii="Calibri" w:hAnsi="Calibri" w:cs="Calibri"/>
                <w:b/>
                <w:sz w:val="20"/>
                <w:szCs w:val="20"/>
              </w:rPr>
            </w:pPr>
          </w:p>
        </w:tc>
        <w:tc>
          <w:tcPr>
            <w:tcW w:w="3817" w:type="pct"/>
            <w:gridSpan w:val="2"/>
            <w:shd w:val="clear" w:color="auto" w:fill="auto"/>
          </w:tcPr>
          <w:p w:rsidR="00E402F3" w:rsidRPr="000D1B0D" w:rsidRDefault="00D86A91" w:rsidP="000D1B0D">
            <w:pPr>
              <w:pStyle w:val="Default"/>
              <w:jc w:val="both"/>
              <w:rPr>
                <w:rFonts w:ascii="Calibri" w:hAnsi="Calibri" w:cs="Calibri"/>
                <w:sz w:val="20"/>
                <w:szCs w:val="20"/>
              </w:rPr>
            </w:pPr>
            <w:r>
              <w:rPr>
                <w:rFonts w:ascii="Calibri" w:hAnsi="Calibri" w:cs="Calibri"/>
                <w:sz w:val="20"/>
                <w:szCs w:val="20"/>
              </w:rPr>
              <w:object w:dxaOrig="1537"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49.85pt" o:ole="">
                  <v:imagedata r:id="rId10" o:title=""/>
                </v:shape>
                <o:OLEObject Type="Embed" ProgID="AcroExch.Document.DC" ShapeID="_x0000_i1025" DrawAspect="Icon" ObjectID="_1615180939" r:id="rId11"/>
              </w:object>
            </w:r>
            <w:r>
              <w:rPr>
                <w:rFonts w:ascii="Calibri" w:hAnsi="Calibri" w:cs="Calibri"/>
                <w:sz w:val="20"/>
                <w:szCs w:val="20"/>
              </w:rPr>
              <w:object w:dxaOrig="1537" w:dyaOrig="997">
                <v:shape id="_x0000_i1026" type="#_x0000_t75" style="width:76.85pt;height:49.85pt" o:ole="">
                  <v:imagedata r:id="rId12" o:title=""/>
                </v:shape>
                <o:OLEObject Type="Embed" ProgID="Excel.Sheet.12" ShapeID="_x0000_i1026" DrawAspect="Icon" ObjectID="_1615180940" r:id="rId13"/>
              </w:object>
            </w:r>
            <w:bookmarkStart w:id="1" w:name="_MON_1614685315"/>
            <w:bookmarkEnd w:id="1"/>
            <w:r>
              <w:rPr>
                <w:rFonts w:ascii="Calibri" w:hAnsi="Calibri" w:cs="Calibri"/>
                <w:sz w:val="20"/>
                <w:szCs w:val="20"/>
              </w:rPr>
              <w:object w:dxaOrig="1537" w:dyaOrig="997">
                <v:shape id="_x0000_i1027" type="#_x0000_t75" style="width:76.85pt;height:49.85pt" o:ole="">
                  <v:imagedata r:id="rId14" o:title=""/>
                </v:shape>
                <o:OLEObject Type="Embed" ProgID="Word.Document.12" ShapeID="_x0000_i1027" DrawAspect="Icon" ObjectID="_1615180941" r:id="rId15">
                  <o:FieldCodes>\s</o:FieldCodes>
                </o:OLEObject>
              </w:object>
            </w:r>
          </w:p>
        </w:tc>
      </w:tr>
    </w:tbl>
    <w:p w:rsidR="009D4EDC" w:rsidRDefault="009D4EDC" w:rsidP="00D3211A">
      <w:pPr>
        <w:pStyle w:val="Default"/>
        <w:jc w:val="both"/>
        <w:rPr>
          <w:rFonts w:ascii="Calibri" w:hAnsi="Calibri" w:cs="Calibri"/>
          <w:sz w:val="20"/>
          <w:szCs w:val="20"/>
        </w:rPr>
      </w:pPr>
    </w:p>
    <w:p w:rsidR="00893409" w:rsidRDefault="00893409" w:rsidP="00D3211A">
      <w:pPr>
        <w:pStyle w:val="Default"/>
        <w:jc w:val="both"/>
        <w:rPr>
          <w:rFonts w:ascii="Calibri" w:hAnsi="Calibri" w:cs="Calibri"/>
          <w:sz w:val="20"/>
          <w:szCs w:val="20"/>
        </w:rPr>
      </w:pPr>
    </w:p>
    <w:p w:rsidR="002F27B3" w:rsidRPr="00D86A91" w:rsidRDefault="002F27B3" w:rsidP="002F27B3">
      <w:pPr>
        <w:jc w:val="both"/>
        <w:rPr>
          <w:rFonts w:ascii="Arial" w:hAnsi="Arial" w:cs="Arial"/>
          <w:b/>
          <w:color w:val="000000" w:themeColor="text1"/>
          <w:szCs w:val="24"/>
          <w:u w:val="single"/>
        </w:rPr>
      </w:pPr>
      <w:r w:rsidRPr="00D86A91">
        <w:rPr>
          <w:rFonts w:ascii="Arial" w:hAnsi="Arial" w:cs="Arial"/>
          <w:b/>
          <w:color w:val="000000" w:themeColor="text1"/>
          <w:szCs w:val="24"/>
          <w:u w:val="single"/>
        </w:rPr>
        <w:t>Update on North East Lincolnshire CCG EU Exit Preparations</w:t>
      </w:r>
    </w:p>
    <w:p w:rsidR="002F27B3" w:rsidRPr="00D86A91" w:rsidRDefault="002F27B3" w:rsidP="002F27B3">
      <w:pPr>
        <w:jc w:val="both"/>
        <w:rPr>
          <w:rFonts w:ascii="Arial" w:hAnsi="Arial" w:cs="Arial"/>
          <w:color w:val="000000" w:themeColor="text1"/>
          <w:szCs w:val="24"/>
          <w:u w:val="single"/>
        </w:rPr>
      </w:pPr>
    </w:p>
    <w:p w:rsidR="002F27B3" w:rsidRPr="00D86A91" w:rsidRDefault="002F27B3" w:rsidP="002F27B3">
      <w:pPr>
        <w:jc w:val="both"/>
        <w:rPr>
          <w:rFonts w:ascii="Arial" w:hAnsi="Arial" w:cs="Arial"/>
          <w:color w:val="000000" w:themeColor="text1"/>
          <w:szCs w:val="24"/>
        </w:rPr>
      </w:pPr>
      <w:r w:rsidRPr="00D86A91">
        <w:rPr>
          <w:rFonts w:ascii="Arial" w:hAnsi="Arial" w:cs="Arial"/>
          <w:color w:val="000000" w:themeColor="text1"/>
          <w:szCs w:val="24"/>
        </w:rPr>
        <w:t xml:space="preserve">The UK </w:t>
      </w:r>
      <w:proofErr w:type="gramStart"/>
      <w:r w:rsidRPr="00D86A91">
        <w:rPr>
          <w:rFonts w:ascii="Arial" w:hAnsi="Arial" w:cs="Arial"/>
          <w:color w:val="000000" w:themeColor="text1"/>
          <w:szCs w:val="24"/>
        </w:rPr>
        <w:t>is scheduled</w:t>
      </w:r>
      <w:proofErr w:type="gramEnd"/>
      <w:r w:rsidRPr="00D86A91">
        <w:rPr>
          <w:rFonts w:ascii="Arial" w:hAnsi="Arial" w:cs="Arial"/>
          <w:color w:val="000000" w:themeColor="text1"/>
          <w:szCs w:val="24"/>
        </w:rPr>
        <w:t xml:space="preserve"> to leave the EU on 29</w:t>
      </w:r>
      <w:r w:rsidRPr="00D86A91">
        <w:rPr>
          <w:rFonts w:ascii="Arial" w:hAnsi="Arial" w:cs="Arial"/>
          <w:color w:val="000000" w:themeColor="text1"/>
          <w:szCs w:val="24"/>
          <w:vertAlign w:val="superscript"/>
        </w:rPr>
        <w:t>th</w:t>
      </w:r>
      <w:r w:rsidRPr="00D86A91">
        <w:rPr>
          <w:rFonts w:ascii="Arial" w:hAnsi="Arial" w:cs="Arial"/>
          <w:color w:val="000000" w:themeColor="text1"/>
          <w:szCs w:val="24"/>
        </w:rPr>
        <w:t xml:space="preserve"> March 2019. Although a deal </w:t>
      </w:r>
      <w:proofErr w:type="gramStart"/>
      <w:r w:rsidRPr="00D86A91">
        <w:rPr>
          <w:rFonts w:ascii="Arial" w:hAnsi="Arial" w:cs="Arial"/>
          <w:color w:val="000000" w:themeColor="text1"/>
          <w:szCs w:val="24"/>
        </w:rPr>
        <w:t>might be concluded</w:t>
      </w:r>
      <w:proofErr w:type="gramEnd"/>
      <w:r w:rsidRPr="00D86A91">
        <w:rPr>
          <w:rFonts w:ascii="Arial" w:hAnsi="Arial" w:cs="Arial"/>
          <w:color w:val="000000" w:themeColor="text1"/>
          <w:szCs w:val="24"/>
        </w:rPr>
        <w:t xml:space="preserve">, the NHS as a whole is putting plans in place to mitigate the “worst case scenario” which is a “no deal EU Exit”. </w:t>
      </w:r>
    </w:p>
    <w:p w:rsidR="002F27B3" w:rsidRPr="00D86A91" w:rsidRDefault="002F27B3" w:rsidP="002F27B3">
      <w:pPr>
        <w:jc w:val="both"/>
        <w:rPr>
          <w:rFonts w:ascii="Arial" w:hAnsi="Arial" w:cs="Arial"/>
          <w:color w:val="000000" w:themeColor="text1"/>
          <w:szCs w:val="24"/>
        </w:rPr>
      </w:pPr>
    </w:p>
    <w:p w:rsidR="002F27B3" w:rsidRPr="00D86A91" w:rsidRDefault="002F27B3" w:rsidP="002F27B3">
      <w:pPr>
        <w:jc w:val="both"/>
        <w:rPr>
          <w:rFonts w:ascii="Arial" w:hAnsi="Arial" w:cs="Arial"/>
          <w:color w:val="000000" w:themeColor="text1"/>
          <w:szCs w:val="24"/>
        </w:rPr>
      </w:pPr>
      <w:r w:rsidRPr="00D86A91">
        <w:rPr>
          <w:rFonts w:ascii="Arial" w:hAnsi="Arial" w:cs="Arial"/>
          <w:color w:val="000000" w:themeColor="text1"/>
          <w:szCs w:val="24"/>
        </w:rPr>
        <w:t>Through a “Temperature Check” call held on 5</w:t>
      </w:r>
      <w:r w:rsidRPr="00D86A91">
        <w:rPr>
          <w:rFonts w:ascii="Arial" w:hAnsi="Arial" w:cs="Arial"/>
          <w:color w:val="000000" w:themeColor="text1"/>
          <w:szCs w:val="24"/>
          <w:vertAlign w:val="superscript"/>
        </w:rPr>
        <w:t>th</w:t>
      </w:r>
      <w:r w:rsidRPr="00D86A91">
        <w:rPr>
          <w:rFonts w:ascii="Arial" w:hAnsi="Arial" w:cs="Arial"/>
          <w:color w:val="000000" w:themeColor="text1"/>
          <w:szCs w:val="24"/>
        </w:rPr>
        <w:t xml:space="preserve"> March 2019, an Assurance Return requested by 25</w:t>
      </w:r>
      <w:r w:rsidRPr="00D86A91">
        <w:rPr>
          <w:rFonts w:ascii="Arial" w:hAnsi="Arial" w:cs="Arial"/>
          <w:color w:val="000000" w:themeColor="text1"/>
          <w:szCs w:val="24"/>
          <w:vertAlign w:val="superscript"/>
        </w:rPr>
        <w:t>th</w:t>
      </w:r>
      <w:r w:rsidRPr="00D86A91">
        <w:rPr>
          <w:rFonts w:ascii="Arial" w:hAnsi="Arial" w:cs="Arial"/>
          <w:color w:val="000000" w:themeColor="text1"/>
          <w:szCs w:val="24"/>
        </w:rPr>
        <w:t xml:space="preserve"> March 2019, and the daily situation reports required by NHS England; CCG’s </w:t>
      </w:r>
      <w:proofErr w:type="gramStart"/>
      <w:r w:rsidRPr="00D86A91">
        <w:rPr>
          <w:rFonts w:ascii="Arial" w:hAnsi="Arial" w:cs="Arial"/>
          <w:color w:val="000000" w:themeColor="text1"/>
          <w:szCs w:val="24"/>
        </w:rPr>
        <w:t>are being asked</w:t>
      </w:r>
      <w:proofErr w:type="gramEnd"/>
      <w:r w:rsidRPr="00D86A91">
        <w:rPr>
          <w:rFonts w:ascii="Arial" w:hAnsi="Arial" w:cs="Arial"/>
          <w:color w:val="000000" w:themeColor="text1"/>
          <w:szCs w:val="24"/>
        </w:rPr>
        <w:t xml:space="preserve"> to confirm the following:</w:t>
      </w:r>
    </w:p>
    <w:p w:rsidR="002F27B3" w:rsidRPr="00D86A91" w:rsidRDefault="002F27B3" w:rsidP="002F27B3">
      <w:pPr>
        <w:jc w:val="both"/>
        <w:rPr>
          <w:rFonts w:ascii="Arial" w:hAnsi="Arial" w:cs="Arial"/>
          <w:color w:val="000000" w:themeColor="text1"/>
          <w:szCs w:val="24"/>
        </w:rPr>
      </w:pPr>
    </w:p>
    <w:p w:rsidR="002F27B3" w:rsidRPr="00D86A91" w:rsidRDefault="002F27B3" w:rsidP="002F27B3">
      <w:pPr>
        <w:pStyle w:val="ListParagraph"/>
        <w:numPr>
          <w:ilvl w:val="0"/>
          <w:numId w:val="9"/>
        </w:numPr>
        <w:jc w:val="both"/>
        <w:rPr>
          <w:rFonts w:ascii="Arial" w:hAnsi="Arial" w:cs="Arial"/>
          <w:color w:val="000000" w:themeColor="text1"/>
          <w:sz w:val="24"/>
          <w:szCs w:val="24"/>
        </w:rPr>
      </w:pPr>
      <w:r w:rsidRPr="00D86A91">
        <w:rPr>
          <w:rFonts w:ascii="Arial" w:hAnsi="Arial" w:cs="Arial"/>
          <w:color w:val="000000" w:themeColor="text1"/>
          <w:sz w:val="24"/>
          <w:szCs w:val="24"/>
        </w:rPr>
        <w:t>That the Board is sighted the operational guidance for EU Exit (published on 21</w:t>
      </w:r>
      <w:r w:rsidRPr="00D86A91">
        <w:rPr>
          <w:rFonts w:ascii="Arial" w:hAnsi="Arial" w:cs="Arial"/>
          <w:color w:val="000000" w:themeColor="text1"/>
          <w:sz w:val="24"/>
          <w:szCs w:val="24"/>
          <w:vertAlign w:val="superscript"/>
        </w:rPr>
        <w:t>st</w:t>
      </w:r>
      <w:r w:rsidRPr="00D86A91">
        <w:rPr>
          <w:rFonts w:ascii="Arial" w:hAnsi="Arial" w:cs="Arial"/>
          <w:color w:val="000000" w:themeColor="text1"/>
          <w:sz w:val="24"/>
          <w:szCs w:val="24"/>
        </w:rPr>
        <w:t xml:space="preserve"> December 2018) and subsequent publications and information shared at the recent national workshops. </w:t>
      </w:r>
    </w:p>
    <w:p w:rsidR="002F27B3" w:rsidRPr="00D86A91" w:rsidRDefault="002F27B3" w:rsidP="002F27B3">
      <w:pPr>
        <w:pStyle w:val="ListParagraph"/>
        <w:jc w:val="both"/>
        <w:rPr>
          <w:rFonts w:ascii="Arial" w:hAnsi="Arial" w:cs="Arial"/>
          <w:color w:val="000000" w:themeColor="text1"/>
          <w:sz w:val="24"/>
          <w:szCs w:val="24"/>
        </w:rPr>
      </w:pPr>
    </w:p>
    <w:p w:rsidR="002F27B3" w:rsidRPr="00D86A91" w:rsidRDefault="002F27B3" w:rsidP="002F27B3">
      <w:pPr>
        <w:pStyle w:val="ListParagraph"/>
        <w:numPr>
          <w:ilvl w:val="0"/>
          <w:numId w:val="9"/>
        </w:numPr>
        <w:spacing w:after="0" w:line="240" w:lineRule="auto"/>
        <w:contextualSpacing w:val="0"/>
        <w:jc w:val="both"/>
        <w:rPr>
          <w:rFonts w:ascii="Arial" w:hAnsi="Arial" w:cs="Arial"/>
          <w:color w:val="000000" w:themeColor="text1"/>
          <w:sz w:val="24"/>
          <w:szCs w:val="24"/>
        </w:rPr>
      </w:pPr>
      <w:proofErr w:type="gramStart"/>
      <w:r w:rsidRPr="00D86A91">
        <w:rPr>
          <w:rFonts w:ascii="Arial" w:hAnsi="Arial" w:cs="Arial"/>
          <w:color w:val="000000" w:themeColor="text1"/>
          <w:sz w:val="24"/>
          <w:szCs w:val="24"/>
        </w:rPr>
        <w:t>That assurance for EU Exit transition to manage and mitigate clinical risks has been agreed by the Board</w:t>
      </w:r>
      <w:proofErr w:type="gramEnd"/>
      <w:r w:rsidRPr="00D86A91">
        <w:rPr>
          <w:rFonts w:ascii="Arial" w:hAnsi="Arial" w:cs="Arial"/>
          <w:color w:val="000000" w:themeColor="text1"/>
          <w:sz w:val="24"/>
          <w:szCs w:val="24"/>
        </w:rPr>
        <w:t xml:space="preserve">. </w:t>
      </w:r>
    </w:p>
    <w:p w:rsidR="002F27B3" w:rsidRPr="00D86A91" w:rsidRDefault="002F27B3" w:rsidP="002F27B3">
      <w:pPr>
        <w:pStyle w:val="ListParagraph"/>
        <w:rPr>
          <w:rFonts w:ascii="Arial" w:hAnsi="Arial" w:cs="Arial"/>
          <w:color w:val="000000" w:themeColor="text1"/>
          <w:sz w:val="24"/>
          <w:szCs w:val="24"/>
        </w:rPr>
      </w:pPr>
    </w:p>
    <w:p w:rsidR="002F27B3" w:rsidRPr="00D86A91" w:rsidRDefault="002F27B3" w:rsidP="002F27B3">
      <w:pPr>
        <w:pStyle w:val="ListParagraph"/>
        <w:numPr>
          <w:ilvl w:val="0"/>
          <w:numId w:val="9"/>
        </w:numPr>
        <w:spacing w:after="0" w:line="240" w:lineRule="auto"/>
        <w:contextualSpacing w:val="0"/>
        <w:jc w:val="both"/>
        <w:rPr>
          <w:rFonts w:ascii="Arial" w:hAnsi="Arial" w:cs="Arial"/>
          <w:color w:val="000000" w:themeColor="text1"/>
          <w:sz w:val="24"/>
          <w:szCs w:val="24"/>
        </w:rPr>
      </w:pPr>
      <w:r w:rsidRPr="00D86A91">
        <w:rPr>
          <w:rFonts w:ascii="Arial" w:hAnsi="Arial" w:cs="Arial"/>
          <w:color w:val="000000" w:themeColor="text1"/>
          <w:sz w:val="24"/>
          <w:szCs w:val="24"/>
        </w:rPr>
        <w:t xml:space="preserve">That the CCG has undertaken a risk assessment of staffing pressures created by the departure of EU workers, and that this risk assessment </w:t>
      </w:r>
      <w:proofErr w:type="gramStart"/>
      <w:r w:rsidRPr="00D86A91">
        <w:rPr>
          <w:rFonts w:ascii="Arial" w:hAnsi="Arial" w:cs="Arial"/>
          <w:color w:val="000000" w:themeColor="text1"/>
          <w:sz w:val="24"/>
          <w:szCs w:val="24"/>
        </w:rPr>
        <w:t>has been discussed</w:t>
      </w:r>
      <w:proofErr w:type="gramEnd"/>
      <w:r w:rsidRPr="00D86A91">
        <w:rPr>
          <w:rFonts w:ascii="Arial" w:hAnsi="Arial" w:cs="Arial"/>
          <w:color w:val="000000" w:themeColor="text1"/>
          <w:sz w:val="24"/>
          <w:szCs w:val="24"/>
        </w:rPr>
        <w:t xml:space="preserve"> at Board level in the organisation. </w:t>
      </w:r>
    </w:p>
    <w:p w:rsidR="002F27B3" w:rsidRPr="00D86A91" w:rsidRDefault="002F27B3" w:rsidP="002F27B3">
      <w:pPr>
        <w:jc w:val="both"/>
        <w:rPr>
          <w:rFonts w:ascii="Arial" w:hAnsi="Arial" w:cs="Arial"/>
          <w:color w:val="000000" w:themeColor="text1"/>
          <w:szCs w:val="24"/>
        </w:rPr>
      </w:pPr>
      <w:r w:rsidRPr="00D86A91">
        <w:rPr>
          <w:rFonts w:ascii="Arial" w:hAnsi="Arial" w:cs="Arial"/>
          <w:color w:val="000000" w:themeColor="text1"/>
          <w:szCs w:val="24"/>
        </w:rPr>
        <w:t xml:space="preserve"> </w:t>
      </w:r>
    </w:p>
    <w:p w:rsidR="002F27B3" w:rsidRPr="00D86A91" w:rsidRDefault="002F27B3" w:rsidP="002F27B3">
      <w:pPr>
        <w:jc w:val="both"/>
        <w:rPr>
          <w:rFonts w:ascii="Arial" w:hAnsi="Arial" w:cs="Arial"/>
          <w:color w:val="000000" w:themeColor="text1"/>
          <w:szCs w:val="24"/>
        </w:rPr>
      </w:pPr>
      <w:r w:rsidRPr="00D86A91">
        <w:rPr>
          <w:rFonts w:ascii="Arial" w:hAnsi="Arial" w:cs="Arial"/>
          <w:color w:val="000000" w:themeColor="text1"/>
          <w:szCs w:val="24"/>
        </w:rPr>
        <w:t xml:space="preserve">This paper </w:t>
      </w:r>
      <w:proofErr w:type="gramStart"/>
      <w:r w:rsidRPr="00D86A91">
        <w:rPr>
          <w:rFonts w:ascii="Arial" w:hAnsi="Arial" w:cs="Arial"/>
          <w:color w:val="000000" w:themeColor="text1"/>
          <w:szCs w:val="24"/>
        </w:rPr>
        <w:t>is being presented</w:t>
      </w:r>
      <w:proofErr w:type="gramEnd"/>
      <w:r w:rsidRPr="00D86A91">
        <w:rPr>
          <w:rFonts w:ascii="Arial" w:hAnsi="Arial" w:cs="Arial"/>
          <w:color w:val="000000" w:themeColor="text1"/>
          <w:szCs w:val="24"/>
        </w:rPr>
        <w:t xml:space="preserve"> in order to meet these requirements, and includes:</w:t>
      </w:r>
    </w:p>
    <w:p w:rsidR="002F27B3" w:rsidRPr="00D86A91" w:rsidRDefault="002F27B3" w:rsidP="002F27B3">
      <w:pPr>
        <w:jc w:val="both"/>
        <w:rPr>
          <w:rFonts w:ascii="Arial" w:hAnsi="Arial" w:cs="Arial"/>
          <w:color w:val="000000" w:themeColor="text1"/>
          <w:szCs w:val="24"/>
        </w:rPr>
      </w:pPr>
    </w:p>
    <w:p w:rsidR="002F27B3" w:rsidRPr="00D86A91" w:rsidRDefault="002F27B3" w:rsidP="002F27B3">
      <w:pPr>
        <w:pStyle w:val="ListParagraph"/>
        <w:numPr>
          <w:ilvl w:val="0"/>
          <w:numId w:val="8"/>
        </w:numPr>
        <w:spacing w:after="0" w:line="240" w:lineRule="auto"/>
        <w:contextualSpacing w:val="0"/>
        <w:jc w:val="both"/>
        <w:rPr>
          <w:rFonts w:ascii="Arial" w:hAnsi="Arial" w:cs="Arial"/>
          <w:color w:val="000000" w:themeColor="text1"/>
          <w:sz w:val="24"/>
          <w:szCs w:val="24"/>
        </w:rPr>
      </w:pPr>
      <w:r w:rsidRPr="00D86A91">
        <w:rPr>
          <w:rFonts w:ascii="Arial" w:hAnsi="Arial" w:cs="Arial"/>
          <w:color w:val="000000" w:themeColor="text1"/>
          <w:sz w:val="24"/>
          <w:szCs w:val="24"/>
        </w:rPr>
        <w:t>Annex A – Operational Guidance published 21</w:t>
      </w:r>
      <w:r w:rsidRPr="00D86A91">
        <w:rPr>
          <w:rFonts w:ascii="Arial" w:hAnsi="Arial" w:cs="Arial"/>
          <w:color w:val="000000" w:themeColor="text1"/>
          <w:sz w:val="24"/>
          <w:szCs w:val="24"/>
          <w:vertAlign w:val="superscript"/>
        </w:rPr>
        <w:t>st</w:t>
      </w:r>
      <w:r w:rsidRPr="00D86A91">
        <w:rPr>
          <w:rFonts w:ascii="Arial" w:hAnsi="Arial" w:cs="Arial"/>
          <w:color w:val="000000" w:themeColor="text1"/>
          <w:sz w:val="24"/>
          <w:szCs w:val="24"/>
        </w:rPr>
        <w:t xml:space="preserve"> December 2018.</w:t>
      </w:r>
    </w:p>
    <w:p w:rsidR="002F27B3" w:rsidRPr="00D86A91" w:rsidRDefault="002F27B3" w:rsidP="002F27B3">
      <w:pPr>
        <w:pStyle w:val="ListParagraph"/>
        <w:spacing w:after="0" w:line="240" w:lineRule="auto"/>
        <w:contextualSpacing w:val="0"/>
        <w:jc w:val="both"/>
        <w:rPr>
          <w:rFonts w:ascii="Arial" w:hAnsi="Arial" w:cs="Arial"/>
          <w:color w:val="000000" w:themeColor="text1"/>
          <w:sz w:val="24"/>
          <w:szCs w:val="24"/>
        </w:rPr>
      </w:pPr>
      <w:r w:rsidRPr="00D86A91">
        <w:rPr>
          <w:rFonts w:ascii="Arial" w:hAnsi="Arial" w:cs="Arial"/>
          <w:color w:val="000000" w:themeColor="text1"/>
          <w:sz w:val="24"/>
          <w:szCs w:val="24"/>
        </w:rPr>
        <w:t xml:space="preserve"> </w:t>
      </w:r>
    </w:p>
    <w:p w:rsidR="002F27B3" w:rsidRPr="00D86A91" w:rsidRDefault="002F27B3" w:rsidP="002F27B3">
      <w:pPr>
        <w:pStyle w:val="ListParagraph"/>
        <w:numPr>
          <w:ilvl w:val="0"/>
          <w:numId w:val="8"/>
        </w:numPr>
        <w:spacing w:after="0" w:line="240" w:lineRule="auto"/>
        <w:contextualSpacing w:val="0"/>
        <w:jc w:val="both"/>
        <w:rPr>
          <w:rFonts w:ascii="Arial" w:hAnsi="Arial" w:cs="Arial"/>
          <w:color w:val="000000" w:themeColor="text1"/>
          <w:sz w:val="24"/>
          <w:szCs w:val="24"/>
        </w:rPr>
      </w:pPr>
      <w:r w:rsidRPr="00D86A91">
        <w:rPr>
          <w:rFonts w:ascii="Arial" w:hAnsi="Arial" w:cs="Arial"/>
          <w:color w:val="000000" w:themeColor="text1"/>
          <w:sz w:val="24"/>
          <w:szCs w:val="24"/>
        </w:rPr>
        <w:t xml:space="preserve">Annex B – RAG ratings of all actions for CCG’s produced from the Operational Guidance with current progress updates. </w:t>
      </w:r>
    </w:p>
    <w:p w:rsidR="002F27B3" w:rsidRPr="00D86A91" w:rsidRDefault="002F27B3" w:rsidP="002F27B3">
      <w:pPr>
        <w:pStyle w:val="ListParagraph"/>
        <w:rPr>
          <w:rFonts w:ascii="Arial" w:hAnsi="Arial" w:cs="Arial"/>
          <w:color w:val="000000" w:themeColor="text1"/>
          <w:sz w:val="24"/>
          <w:szCs w:val="24"/>
        </w:rPr>
      </w:pPr>
    </w:p>
    <w:p w:rsidR="002F27B3" w:rsidRDefault="002F27B3" w:rsidP="002F27B3">
      <w:pPr>
        <w:pStyle w:val="ListParagraph"/>
        <w:numPr>
          <w:ilvl w:val="0"/>
          <w:numId w:val="8"/>
        </w:numPr>
        <w:spacing w:after="0" w:line="240" w:lineRule="auto"/>
        <w:contextualSpacing w:val="0"/>
        <w:jc w:val="both"/>
        <w:rPr>
          <w:rFonts w:ascii="Arial" w:hAnsi="Arial" w:cs="Arial"/>
          <w:color w:val="000000" w:themeColor="text1"/>
          <w:sz w:val="24"/>
          <w:szCs w:val="24"/>
        </w:rPr>
      </w:pPr>
      <w:r w:rsidRPr="00D86A91">
        <w:rPr>
          <w:rFonts w:ascii="Arial" w:hAnsi="Arial" w:cs="Arial"/>
          <w:color w:val="000000" w:themeColor="text1"/>
          <w:sz w:val="24"/>
          <w:szCs w:val="24"/>
        </w:rPr>
        <w:t xml:space="preserve">Annex C - is a list of the questions posed in the Temperature Check (in bold) with up to date answers (in italics). </w:t>
      </w:r>
      <w:r w:rsidR="00D86A91">
        <w:rPr>
          <w:rFonts w:ascii="Arial" w:hAnsi="Arial" w:cs="Arial"/>
          <w:color w:val="000000" w:themeColor="text1"/>
          <w:sz w:val="24"/>
          <w:szCs w:val="24"/>
        </w:rPr>
        <w:t xml:space="preserve">These questions </w:t>
      </w:r>
      <w:proofErr w:type="gramStart"/>
      <w:r w:rsidR="00D86A91">
        <w:rPr>
          <w:rFonts w:ascii="Arial" w:hAnsi="Arial" w:cs="Arial"/>
          <w:color w:val="000000" w:themeColor="text1"/>
          <w:sz w:val="24"/>
          <w:szCs w:val="24"/>
        </w:rPr>
        <w:t>were used</w:t>
      </w:r>
      <w:proofErr w:type="gramEnd"/>
      <w:r w:rsidR="00D86A91">
        <w:rPr>
          <w:rFonts w:ascii="Arial" w:hAnsi="Arial" w:cs="Arial"/>
          <w:color w:val="000000" w:themeColor="text1"/>
          <w:sz w:val="24"/>
          <w:szCs w:val="24"/>
        </w:rPr>
        <w:t xml:space="preserve"> not only for the temperature check call held on 5</w:t>
      </w:r>
      <w:r w:rsidR="00D86A91" w:rsidRPr="00D86A91">
        <w:rPr>
          <w:rFonts w:ascii="Arial" w:hAnsi="Arial" w:cs="Arial"/>
          <w:color w:val="000000" w:themeColor="text1"/>
          <w:sz w:val="24"/>
          <w:szCs w:val="24"/>
          <w:vertAlign w:val="superscript"/>
        </w:rPr>
        <w:t>th</w:t>
      </w:r>
      <w:r w:rsidR="00D86A91">
        <w:rPr>
          <w:rFonts w:ascii="Arial" w:hAnsi="Arial" w:cs="Arial"/>
          <w:color w:val="000000" w:themeColor="text1"/>
          <w:sz w:val="24"/>
          <w:szCs w:val="24"/>
        </w:rPr>
        <w:t xml:space="preserve"> March; but also for the assurance return requested by Keith Willet due on 25</w:t>
      </w:r>
      <w:r w:rsidR="00D86A91" w:rsidRPr="00D86A91">
        <w:rPr>
          <w:rFonts w:ascii="Arial" w:hAnsi="Arial" w:cs="Arial"/>
          <w:color w:val="000000" w:themeColor="text1"/>
          <w:sz w:val="24"/>
          <w:szCs w:val="24"/>
          <w:vertAlign w:val="superscript"/>
        </w:rPr>
        <w:t>th</w:t>
      </w:r>
      <w:r w:rsidR="00D86A91">
        <w:rPr>
          <w:rFonts w:ascii="Arial" w:hAnsi="Arial" w:cs="Arial"/>
          <w:color w:val="000000" w:themeColor="text1"/>
          <w:sz w:val="24"/>
          <w:szCs w:val="24"/>
        </w:rPr>
        <w:t xml:space="preserve"> March. </w:t>
      </w:r>
      <w:r w:rsidRPr="00D86A91">
        <w:rPr>
          <w:rFonts w:ascii="Arial" w:hAnsi="Arial" w:cs="Arial"/>
          <w:color w:val="000000" w:themeColor="text1"/>
          <w:sz w:val="24"/>
          <w:szCs w:val="24"/>
        </w:rPr>
        <w:t xml:space="preserve">This document includes information on the work undertaken by the CCG to risk assess the key areas of concern included in the Operational Guidance, and any mitigating actions taken. </w:t>
      </w:r>
    </w:p>
    <w:p w:rsidR="00856EE6" w:rsidRPr="00856EE6" w:rsidRDefault="00856EE6" w:rsidP="00856EE6">
      <w:pPr>
        <w:jc w:val="both"/>
        <w:rPr>
          <w:rFonts w:ascii="Arial" w:hAnsi="Arial" w:cs="Arial"/>
          <w:color w:val="000000" w:themeColor="text1"/>
          <w:szCs w:val="24"/>
        </w:rPr>
      </w:pPr>
    </w:p>
    <w:p w:rsidR="002F27B3" w:rsidRPr="00D86A91" w:rsidRDefault="002F27B3" w:rsidP="002F27B3">
      <w:pPr>
        <w:ind w:left="360"/>
        <w:jc w:val="both"/>
        <w:rPr>
          <w:rFonts w:ascii="Arial" w:hAnsi="Arial" w:cs="Arial"/>
          <w:color w:val="000000" w:themeColor="text1"/>
          <w:szCs w:val="24"/>
        </w:rPr>
      </w:pPr>
      <w:r w:rsidRPr="00D86A91">
        <w:rPr>
          <w:rFonts w:ascii="Arial" w:hAnsi="Arial" w:cs="Arial"/>
          <w:color w:val="000000" w:themeColor="text1"/>
          <w:szCs w:val="24"/>
        </w:rPr>
        <w:t xml:space="preserve">The Board is asked to consider the Annexes and confirm it is sighted on the Operational Guidance, and approves of the action being taken to mitigate the risks posed by a potential “no deal” EU Exit. </w:t>
      </w:r>
    </w:p>
    <w:p w:rsidR="002F27B3" w:rsidRDefault="002F27B3" w:rsidP="00D3211A">
      <w:pPr>
        <w:pStyle w:val="Default"/>
        <w:jc w:val="both"/>
        <w:rPr>
          <w:rFonts w:ascii="Calibri" w:hAnsi="Calibri" w:cs="Calibri"/>
          <w:sz w:val="20"/>
          <w:szCs w:val="20"/>
        </w:rPr>
      </w:pPr>
    </w:p>
    <w:sectPr w:rsidR="002F27B3" w:rsidSect="00144ED4">
      <w:headerReference w:type="default" r:id="rId16"/>
      <w:footerReference w:type="default" r:id="rId17"/>
      <w:pgSz w:w="11900" w:h="16840"/>
      <w:pgMar w:top="567" w:right="567" w:bottom="567" w:left="567"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A77" w:rsidRDefault="00A67A77" w:rsidP="00E1284E">
      <w:r>
        <w:separator/>
      </w:r>
    </w:p>
  </w:endnote>
  <w:endnote w:type="continuationSeparator" w:id="0">
    <w:p w:rsidR="00A67A77" w:rsidRDefault="00A67A77"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9C" w:rsidRDefault="0028419C">
    <w:pPr>
      <w:pStyle w:val="Footer"/>
    </w:pPr>
    <w:r>
      <w:fldChar w:fldCharType="begin"/>
    </w:r>
    <w:r>
      <w:instrText xml:space="preserve"> PAGE   \* MERGEFORMAT </w:instrText>
    </w:r>
    <w:r>
      <w:fldChar w:fldCharType="separate"/>
    </w:r>
    <w:r w:rsidR="007901EF">
      <w:rPr>
        <w:noProof/>
      </w:rPr>
      <w:t>3</w:t>
    </w:r>
    <w:r>
      <w:rPr>
        <w:noProof/>
      </w:rPr>
      <w:fldChar w:fldCharType="end"/>
    </w:r>
  </w:p>
  <w:p w:rsidR="0028419C" w:rsidRDefault="0028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A77" w:rsidRDefault="00A67A77" w:rsidP="00E1284E">
      <w:r>
        <w:separator/>
      </w:r>
    </w:p>
  </w:footnote>
  <w:footnote w:type="continuationSeparator" w:id="0">
    <w:p w:rsidR="00A67A77" w:rsidRDefault="00A67A77"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0A828D"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C0CBE"/>
    <w:multiLevelType w:val="hybridMultilevel"/>
    <w:tmpl w:val="04EA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0C7447"/>
    <w:multiLevelType w:val="hybridMultilevel"/>
    <w:tmpl w:val="96BAD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3159D0"/>
    <w:multiLevelType w:val="hybridMultilevel"/>
    <w:tmpl w:val="22403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3"/>
  </w:num>
  <w:num w:numId="5">
    <w:abstractNumId w:val="0"/>
  </w:num>
  <w:num w:numId="6">
    <w:abstractNumId w:val="6"/>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2546C"/>
    <w:rsid w:val="00005BBC"/>
    <w:rsid w:val="00006E07"/>
    <w:rsid w:val="00034CF6"/>
    <w:rsid w:val="000350E4"/>
    <w:rsid w:val="00046B77"/>
    <w:rsid w:val="0009052F"/>
    <w:rsid w:val="00096E41"/>
    <w:rsid w:val="000A554D"/>
    <w:rsid w:val="000A7EB7"/>
    <w:rsid w:val="000C4D3C"/>
    <w:rsid w:val="000C70E4"/>
    <w:rsid w:val="000D1426"/>
    <w:rsid w:val="000D1B0D"/>
    <w:rsid w:val="00107535"/>
    <w:rsid w:val="001139C9"/>
    <w:rsid w:val="0013341F"/>
    <w:rsid w:val="00136B75"/>
    <w:rsid w:val="00144ED4"/>
    <w:rsid w:val="001556E0"/>
    <w:rsid w:val="00160986"/>
    <w:rsid w:val="0016479A"/>
    <w:rsid w:val="001D2409"/>
    <w:rsid w:val="002044CF"/>
    <w:rsid w:val="002054A0"/>
    <w:rsid w:val="00220DF9"/>
    <w:rsid w:val="00246A4E"/>
    <w:rsid w:val="00246EFA"/>
    <w:rsid w:val="0028419C"/>
    <w:rsid w:val="002C32CC"/>
    <w:rsid w:val="002F27B3"/>
    <w:rsid w:val="002F38A7"/>
    <w:rsid w:val="00306A1B"/>
    <w:rsid w:val="0036733E"/>
    <w:rsid w:val="003B7B5D"/>
    <w:rsid w:val="003D7845"/>
    <w:rsid w:val="004458C3"/>
    <w:rsid w:val="00453E4B"/>
    <w:rsid w:val="00462732"/>
    <w:rsid w:val="00473CC5"/>
    <w:rsid w:val="004767D8"/>
    <w:rsid w:val="004A417D"/>
    <w:rsid w:val="004B444D"/>
    <w:rsid w:val="004E32B5"/>
    <w:rsid w:val="004F5317"/>
    <w:rsid w:val="004F6116"/>
    <w:rsid w:val="005310F1"/>
    <w:rsid w:val="0054308A"/>
    <w:rsid w:val="005A0D0A"/>
    <w:rsid w:val="005A4EC5"/>
    <w:rsid w:val="005A53D1"/>
    <w:rsid w:val="005B0C13"/>
    <w:rsid w:val="006006E6"/>
    <w:rsid w:val="006330C7"/>
    <w:rsid w:val="00663808"/>
    <w:rsid w:val="00697B0F"/>
    <w:rsid w:val="006A23CE"/>
    <w:rsid w:val="006C1307"/>
    <w:rsid w:val="006F3A4E"/>
    <w:rsid w:val="00703268"/>
    <w:rsid w:val="0071072D"/>
    <w:rsid w:val="00711DA9"/>
    <w:rsid w:val="00734128"/>
    <w:rsid w:val="007405E7"/>
    <w:rsid w:val="00755446"/>
    <w:rsid w:val="007663C8"/>
    <w:rsid w:val="007901EF"/>
    <w:rsid w:val="00793F90"/>
    <w:rsid w:val="007C526F"/>
    <w:rsid w:val="007D1C13"/>
    <w:rsid w:val="007E1C2F"/>
    <w:rsid w:val="007E2A23"/>
    <w:rsid w:val="008044FD"/>
    <w:rsid w:val="0081494F"/>
    <w:rsid w:val="008336DE"/>
    <w:rsid w:val="00842CBF"/>
    <w:rsid w:val="00846301"/>
    <w:rsid w:val="00856EE6"/>
    <w:rsid w:val="00876931"/>
    <w:rsid w:val="00893409"/>
    <w:rsid w:val="008A1D10"/>
    <w:rsid w:val="008C5A15"/>
    <w:rsid w:val="008D2FFA"/>
    <w:rsid w:val="00901CC0"/>
    <w:rsid w:val="00911F40"/>
    <w:rsid w:val="009169E9"/>
    <w:rsid w:val="009245B1"/>
    <w:rsid w:val="0092546C"/>
    <w:rsid w:val="0098436E"/>
    <w:rsid w:val="00991A1C"/>
    <w:rsid w:val="00995A9E"/>
    <w:rsid w:val="009D39DE"/>
    <w:rsid w:val="009D4EDC"/>
    <w:rsid w:val="009E45D2"/>
    <w:rsid w:val="00A0148B"/>
    <w:rsid w:val="00A218A3"/>
    <w:rsid w:val="00A34173"/>
    <w:rsid w:val="00A66D55"/>
    <w:rsid w:val="00A67A77"/>
    <w:rsid w:val="00A9358C"/>
    <w:rsid w:val="00A977E0"/>
    <w:rsid w:val="00AB1B69"/>
    <w:rsid w:val="00AB4FF6"/>
    <w:rsid w:val="00AB645B"/>
    <w:rsid w:val="00AF4A4F"/>
    <w:rsid w:val="00B24425"/>
    <w:rsid w:val="00B62F45"/>
    <w:rsid w:val="00B658DC"/>
    <w:rsid w:val="00B76E57"/>
    <w:rsid w:val="00B904DF"/>
    <w:rsid w:val="00B96B78"/>
    <w:rsid w:val="00B971B9"/>
    <w:rsid w:val="00BB0439"/>
    <w:rsid w:val="00BB40A8"/>
    <w:rsid w:val="00BE2870"/>
    <w:rsid w:val="00BE53CE"/>
    <w:rsid w:val="00BE727A"/>
    <w:rsid w:val="00BE7CCE"/>
    <w:rsid w:val="00C41576"/>
    <w:rsid w:val="00C450D4"/>
    <w:rsid w:val="00C52984"/>
    <w:rsid w:val="00C64AF0"/>
    <w:rsid w:val="00C81EF3"/>
    <w:rsid w:val="00CA348E"/>
    <w:rsid w:val="00CA4E8E"/>
    <w:rsid w:val="00CB1860"/>
    <w:rsid w:val="00CC2C55"/>
    <w:rsid w:val="00CF20A6"/>
    <w:rsid w:val="00CF347F"/>
    <w:rsid w:val="00CF395E"/>
    <w:rsid w:val="00D00012"/>
    <w:rsid w:val="00D3211A"/>
    <w:rsid w:val="00D42959"/>
    <w:rsid w:val="00D7667F"/>
    <w:rsid w:val="00D86A91"/>
    <w:rsid w:val="00DA7A50"/>
    <w:rsid w:val="00DB37E5"/>
    <w:rsid w:val="00DE0BED"/>
    <w:rsid w:val="00DE185E"/>
    <w:rsid w:val="00DF7670"/>
    <w:rsid w:val="00E1284E"/>
    <w:rsid w:val="00E26D6F"/>
    <w:rsid w:val="00E402F3"/>
    <w:rsid w:val="00E52FDA"/>
    <w:rsid w:val="00E61AF0"/>
    <w:rsid w:val="00E72942"/>
    <w:rsid w:val="00E72F52"/>
    <w:rsid w:val="00E73B61"/>
    <w:rsid w:val="00E763D6"/>
    <w:rsid w:val="00E76606"/>
    <w:rsid w:val="00E86651"/>
    <w:rsid w:val="00E912FC"/>
    <w:rsid w:val="00E97542"/>
    <w:rsid w:val="00EA4E01"/>
    <w:rsid w:val="00EB634A"/>
    <w:rsid w:val="00F300A1"/>
    <w:rsid w:val="00F47C8C"/>
    <w:rsid w:val="00F54DEB"/>
    <w:rsid w:val="00F953D5"/>
    <w:rsid w:val="00F97DC2"/>
    <w:rsid w:val="00FB44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2A2FFE8"/>
  <w15:docId w15:val="{DD5ED089-3349-43DF-9DC3-F2C854F4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 w:type="character" w:styleId="PlaceholderText">
    <w:name w:val="Placeholder Text"/>
    <w:basedOn w:val="DefaultParagraphFont"/>
    <w:uiPriority w:val="99"/>
    <w:unhideWhenUsed/>
    <w:rsid w:val="00842C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Excel_Worksheet.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1CDB5E33-01EF-45F0-8040-BAA899DFA7F9}"/>
      </w:docPartPr>
      <w:docPartBody>
        <w:p w:rsidR="00D64D66" w:rsidRDefault="005F57D8">
          <w:r w:rsidRPr="005E21EC">
            <w:rPr>
              <w:rStyle w:val="PlaceholderText"/>
            </w:rPr>
            <w:t>Choose an item.</w:t>
          </w:r>
        </w:p>
      </w:docPartBody>
    </w:docPart>
    <w:docPart>
      <w:docPartPr>
        <w:name w:val="0146071C1414426F925DEB63060F4E98"/>
        <w:category>
          <w:name w:val="General"/>
          <w:gallery w:val="placeholder"/>
        </w:category>
        <w:types>
          <w:type w:val="bbPlcHdr"/>
        </w:types>
        <w:behaviors>
          <w:behavior w:val="content"/>
        </w:behaviors>
        <w:guid w:val="{236ABD40-5FA7-445A-B776-B955F209EE84}"/>
      </w:docPartPr>
      <w:docPartBody>
        <w:p w:rsidR="00D64D66" w:rsidRDefault="005F57D8" w:rsidP="005F57D8">
          <w:pPr>
            <w:pStyle w:val="0146071C1414426F925DEB63060F4E982"/>
          </w:pPr>
          <w:r w:rsidRPr="005E21EC">
            <w:rPr>
              <w:rStyle w:val="PlaceholderText"/>
            </w:rPr>
            <w:t>Choose an item.</w:t>
          </w:r>
        </w:p>
      </w:docPartBody>
    </w:docPart>
    <w:docPart>
      <w:docPartPr>
        <w:name w:val="5E948EC5DC984D49BFFBB0750303DE04"/>
        <w:category>
          <w:name w:val="General"/>
          <w:gallery w:val="placeholder"/>
        </w:category>
        <w:types>
          <w:type w:val="bbPlcHdr"/>
        </w:types>
        <w:behaviors>
          <w:behavior w:val="content"/>
        </w:behaviors>
        <w:guid w:val="{123A594D-5F9D-42BA-AD9D-771264C83704}"/>
      </w:docPartPr>
      <w:docPartBody>
        <w:p w:rsidR="00D64D66" w:rsidRDefault="005F57D8" w:rsidP="005F57D8">
          <w:pPr>
            <w:pStyle w:val="5E948EC5DC984D49BFFBB0750303DE041"/>
          </w:pPr>
          <w:r w:rsidRPr="005E21EC">
            <w:rPr>
              <w:rStyle w:val="PlaceholderText"/>
            </w:rPr>
            <w:t>Choose an item.</w:t>
          </w:r>
        </w:p>
      </w:docPartBody>
    </w:docPart>
    <w:docPart>
      <w:docPartPr>
        <w:name w:val="C4AB961EECCF4A3AA4054559838E24CC"/>
        <w:category>
          <w:name w:val="General"/>
          <w:gallery w:val="placeholder"/>
        </w:category>
        <w:types>
          <w:type w:val="bbPlcHdr"/>
        </w:types>
        <w:behaviors>
          <w:behavior w:val="content"/>
        </w:behaviors>
        <w:guid w:val="{4C31FBCE-A5AB-4C35-8E2C-AAA1338FA4EC}"/>
      </w:docPartPr>
      <w:docPartBody>
        <w:p w:rsidR="00D64D66" w:rsidRDefault="005F57D8" w:rsidP="005F57D8">
          <w:pPr>
            <w:pStyle w:val="C4AB961EECCF4A3AA4054559838E24CC"/>
          </w:pPr>
          <w:r w:rsidRPr="005E21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D8"/>
    <w:rsid w:val="004A779D"/>
    <w:rsid w:val="005F57D8"/>
    <w:rsid w:val="00D64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F57D8"/>
    <w:rPr>
      <w:color w:val="808080"/>
    </w:rPr>
  </w:style>
  <w:style w:type="paragraph" w:customStyle="1" w:styleId="0146071C1414426F925DEB63060F4E98">
    <w:name w:val="0146071C1414426F925DEB63060F4E98"/>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1">
    <w:name w:val="0146071C1414426F925DEB63060F4E98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
    <w:name w:val="5E948EC5DC984D49BFFBB0750303DE04"/>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2">
    <w:name w:val="0146071C1414426F925DEB63060F4E982"/>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1">
    <w:name w:val="5E948EC5DC984D49BFFBB0750303DE04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C4AB961EECCF4A3AA4054559838E24CC">
    <w:name w:val="C4AB961EECCF4A3AA4054559838E24CC"/>
    <w:rsid w:val="005F57D8"/>
    <w:pPr>
      <w:autoSpaceDE w:val="0"/>
      <w:autoSpaceDN w:val="0"/>
      <w:adjustRightInd w:val="0"/>
      <w:spacing w:after="0" w:line="240" w:lineRule="auto"/>
    </w:pPr>
    <w:rPr>
      <w:rFonts w:ascii="Arial" w:eastAsia="MS Mincho"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0A1CD-4284-4102-8403-F3296F22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Helen Askham (CCG)</cp:lastModifiedBy>
  <cp:revision>6</cp:revision>
  <cp:lastPrinted>2015-02-05T14:14:00Z</cp:lastPrinted>
  <dcterms:created xsi:type="dcterms:W3CDTF">2019-03-21T14:28:00Z</dcterms:created>
  <dcterms:modified xsi:type="dcterms:W3CDTF">2019-03-27T08:36:00Z</dcterms:modified>
</cp:coreProperties>
</file>