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C0" w:rsidRDefault="006759C0" w:rsidP="00CA348E">
      <w:pPr>
        <w:ind w:left="5041"/>
        <w:jc w:val="right"/>
      </w:pPr>
    </w:p>
    <w:p w:rsidR="00E72F52" w:rsidRDefault="0069784F" w:rsidP="00CA348E">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393065</wp:posOffset>
                </wp:positionV>
                <wp:extent cx="1958340" cy="297180"/>
                <wp:effectExtent l="6985" t="12065" r="6350" b="5080"/>
                <wp:wrapNone/>
                <wp:docPr id="8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297180"/>
                        </a:xfrm>
                        <a:prstGeom prst="rect">
                          <a:avLst/>
                        </a:prstGeom>
                        <a:solidFill>
                          <a:srgbClr val="FFFFFF"/>
                        </a:solidFill>
                        <a:ln w="9525">
                          <a:solidFill>
                            <a:srgbClr val="000000"/>
                          </a:solidFill>
                          <a:miter lim="800000"/>
                          <a:headEnd/>
                          <a:tailEnd/>
                        </a:ln>
                      </wps:spPr>
                      <wps:txbx>
                        <w:txbxContent>
                          <w:p w:rsidR="007C3E46" w:rsidRPr="000D1B0D" w:rsidRDefault="007C3E46">
                            <w:pPr>
                              <w:rPr>
                                <w:rFonts w:ascii="Calibri" w:hAnsi="Calibri"/>
                                <w:b/>
                                <w:sz w:val="22"/>
                                <w:szCs w:val="22"/>
                              </w:rPr>
                            </w:pPr>
                            <w:r w:rsidRPr="000D1B0D">
                              <w:rPr>
                                <w:rFonts w:ascii="Calibri" w:hAnsi="Calibri"/>
                                <w:b/>
                                <w:sz w:val="22"/>
                                <w:szCs w:val="22"/>
                              </w:rPr>
                              <w:t>Agenda Item</w:t>
                            </w:r>
                            <w:r w:rsidR="00D245CD">
                              <w:rPr>
                                <w:rFonts w:ascii="Calibri" w:hAnsi="Calibri"/>
                                <w:b/>
                                <w:sz w:val="22"/>
                                <w:szCs w:val="22"/>
                              </w:rPr>
                              <w:t xml:space="preserve">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pt;margin-top:30.95pt;width:154.2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">
                <v:textbox>
                  <w:txbxContent>
                    <w:p w:rsidR="007C3E46" w:rsidRPr="000D1B0D" w:rsidRDefault="007C3E46">
                      <w:pPr>
                        <w:rPr>
                          <w:rFonts w:ascii="Calibri" w:hAnsi="Calibri"/>
                          <w:b/>
                          <w:sz w:val="22"/>
                          <w:szCs w:val="22"/>
                        </w:rPr>
                      </w:pPr>
                      <w:r w:rsidRPr="000D1B0D">
                        <w:rPr>
                          <w:rFonts w:ascii="Calibri" w:hAnsi="Calibri"/>
                          <w:b/>
                          <w:sz w:val="22"/>
                          <w:szCs w:val="22"/>
                        </w:rPr>
                        <w:t>Agenda Item</w:t>
                      </w:r>
                      <w:r w:rsidR="00D245CD">
                        <w:rPr>
                          <w:rFonts w:ascii="Calibri" w:hAnsi="Calibri"/>
                          <w:b/>
                          <w:sz w:val="22"/>
                          <w:szCs w:val="22"/>
                        </w:rPr>
                        <w:t xml:space="preserve"> 13</w:t>
                      </w:r>
                    </w:p>
                  </w:txbxContent>
                </v:textbox>
              </v:rect>
            </w:pict>
          </mc:Fallback>
        </mc:AlternateContent>
      </w:r>
      <w:r w:rsidR="003D7845" w:rsidRPr="003D7845">
        <w:t xml:space="preserve"> </w:t>
      </w:r>
      <w:r>
        <w:rPr>
          <w:noProof/>
          <w:lang w:eastAsia="en-GB"/>
        </w:rPr>
        <w:drawing>
          <wp:inline distT="0" distB="0" distL="0" distR="0">
            <wp:extent cx="2006600" cy="520700"/>
            <wp:effectExtent l="0" t="0" r="0" b="0"/>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r w:rsidR="00A977E0" w:rsidRPr="00A977E0">
        <w:rPr>
          <w:noProof/>
          <w:lang w:eastAsia="en-GB"/>
        </w:rPr>
        <w:t xml:space="preserve"> </w: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69784F"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4144" behindDoc="0" locked="0" layoutInCell="1" allowOverlap="1">
                <wp:simplePos x="0" y="0"/>
                <wp:positionH relativeFrom="column">
                  <wp:posOffset>-2540</wp:posOffset>
                </wp:positionH>
                <wp:positionV relativeFrom="paragraph">
                  <wp:posOffset>-6350</wp:posOffset>
                </wp:positionV>
                <wp:extent cx="6393180" cy="1494790"/>
                <wp:effectExtent l="26035" t="22225" r="19685" b="26035"/>
                <wp:wrapNone/>
                <wp:docPr id="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1494790"/>
                        </a:xfrm>
                        <a:prstGeom prst="rect">
                          <a:avLst/>
                        </a:prstGeom>
                        <a:solidFill>
                          <a:srgbClr val="FFFFFF"/>
                        </a:solidFill>
                        <a:ln w="38100" cmpd="dbl">
                          <a:solidFill>
                            <a:srgbClr val="000000"/>
                          </a:solidFill>
                          <a:miter lim="800000"/>
                          <a:headEnd/>
                          <a:tailEnd/>
                        </a:ln>
                      </wps:spPr>
                      <wps:txbx>
                        <w:txbxContent>
                          <w:p w:rsidR="007C3E46" w:rsidRPr="000D1B0D" w:rsidRDefault="007C3E46">
                            <w:pPr>
                              <w:rPr>
                                <w:rFonts w:ascii="Calibri" w:hAnsi="Calibri"/>
                                <w:sz w:val="22"/>
                                <w:szCs w:val="22"/>
                              </w:rPr>
                            </w:pPr>
                            <w:r w:rsidRPr="000D1B0D">
                              <w:rPr>
                                <w:rFonts w:ascii="Calibri" w:hAnsi="Calibri"/>
                                <w:sz w:val="22"/>
                                <w:szCs w:val="22"/>
                              </w:rPr>
                              <w:t>Report to (Board/Sub-Committee):</w:t>
                            </w:r>
                            <w:r>
                              <w:rPr>
                                <w:rFonts w:ascii="Calibri" w:hAnsi="Calibri"/>
                                <w:sz w:val="22"/>
                                <w:szCs w:val="22"/>
                              </w:rPr>
                              <w:t xml:space="preserve"> </w:t>
                            </w:r>
                            <w:r w:rsidRPr="00EA2734">
                              <w:rPr>
                                <w:rFonts w:ascii="Calibri" w:hAnsi="Calibri" w:cs="Calibri"/>
                                <w:bCs/>
                                <w:sz w:val="22"/>
                                <w:szCs w:val="22"/>
                              </w:rPr>
                              <w:t xml:space="preserve">NEL CCG </w:t>
                            </w:r>
                            <w:r>
                              <w:rPr>
                                <w:rFonts w:ascii="Calibri" w:hAnsi="Calibri" w:cs="Calibri"/>
                                <w:bCs/>
                                <w:sz w:val="22"/>
                                <w:szCs w:val="22"/>
                              </w:rPr>
                              <w:t>Governing Body</w:t>
                            </w:r>
                          </w:p>
                          <w:p w:rsidR="007C3E46" w:rsidRPr="000D1B0D" w:rsidRDefault="007C3E46">
                            <w:pPr>
                              <w:rPr>
                                <w:rFonts w:ascii="Calibri" w:hAnsi="Calibri"/>
                                <w:sz w:val="22"/>
                                <w:szCs w:val="22"/>
                              </w:rPr>
                            </w:pPr>
                          </w:p>
                          <w:p w:rsidR="007C3E46" w:rsidRPr="000D1B0D" w:rsidRDefault="007C3E46">
                            <w:pPr>
                              <w:rPr>
                                <w:rFonts w:ascii="Calibri" w:hAnsi="Calibri"/>
                                <w:sz w:val="22"/>
                                <w:szCs w:val="22"/>
                              </w:rPr>
                            </w:pPr>
                            <w:r w:rsidRPr="000D1B0D">
                              <w:rPr>
                                <w:rFonts w:ascii="Calibri" w:hAnsi="Calibri"/>
                                <w:sz w:val="22"/>
                                <w:szCs w:val="22"/>
                              </w:rPr>
                              <w:t>Date of Meeting:</w:t>
                            </w:r>
                            <w:r>
                              <w:rPr>
                                <w:rFonts w:ascii="Calibri" w:hAnsi="Calibri"/>
                                <w:sz w:val="22"/>
                                <w:szCs w:val="22"/>
                              </w:rPr>
                              <w:t xml:space="preserve"> </w:t>
                            </w:r>
                            <w:r>
                              <w:rPr>
                                <w:rFonts w:ascii="Calibri" w:hAnsi="Calibri" w:cs="Calibri"/>
                                <w:bCs/>
                                <w:sz w:val="22"/>
                                <w:szCs w:val="22"/>
                              </w:rPr>
                              <w:t>28</w:t>
                            </w:r>
                            <w:r w:rsidRPr="00EA2734">
                              <w:rPr>
                                <w:rFonts w:ascii="Calibri" w:hAnsi="Calibri" w:cs="Calibri"/>
                                <w:bCs/>
                                <w:sz w:val="22"/>
                                <w:szCs w:val="22"/>
                              </w:rPr>
                              <w:t xml:space="preserve">th </w:t>
                            </w:r>
                            <w:r>
                              <w:rPr>
                                <w:rFonts w:ascii="Calibri" w:hAnsi="Calibri" w:cs="Calibri"/>
                                <w:bCs/>
                                <w:sz w:val="22"/>
                                <w:szCs w:val="22"/>
                              </w:rPr>
                              <w:t xml:space="preserve">March 2019 </w:t>
                            </w:r>
                          </w:p>
                          <w:p w:rsidR="007C3E46" w:rsidRPr="000D1B0D" w:rsidRDefault="007C3E46">
                            <w:pPr>
                              <w:rPr>
                                <w:rFonts w:ascii="Calibri" w:hAnsi="Calibri"/>
                                <w:sz w:val="22"/>
                                <w:szCs w:val="22"/>
                              </w:rPr>
                            </w:pPr>
                          </w:p>
                          <w:p w:rsidR="007C3E46" w:rsidRPr="000D1B0D" w:rsidRDefault="007C3E46">
                            <w:pPr>
                              <w:rPr>
                                <w:rFonts w:ascii="Calibri" w:hAnsi="Calibri"/>
                                <w:sz w:val="22"/>
                                <w:szCs w:val="22"/>
                              </w:rPr>
                            </w:pPr>
                            <w:r w:rsidRPr="000D1B0D">
                              <w:rPr>
                                <w:rFonts w:ascii="Calibri" w:hAnsi="Calibri"/>
                                <w:sz w:val="22"/>
                                <w:szCs w:val="22"/>
                              </w:rPr>
                              <w:t>Subject:</w:t>
                            </w:r>
                            <w:r>
                              <w:rPr>
                                <w:rFonts w:ascii="Calibri" w:hAnsi="Calibri"/>
                                <w:sz w:val="22"/>
                                <w:szCs w:val="22"/>
                              </w:rPr>
                              <w:t xml:space="preserve"> </w:t>
                            </w:r>
                            <w:r w:rsidRPr="00EA2734">
                              <w:rPr>
                                <w:rFonts w:ascii="Calibri" w:hAnsi="Calibri" w:cs="Calibri"/>
                                <w:bCs/>
                                <w:sz w:val="22"/>
                                <w:szCs w:val="22"/>
                              </w:rPr>
                              <w:t>Integrated Assurance and Quality Report</w:t>
                            </w:r>
                            <w:r>
                              <w:rPr>
                                <w:rFonts w:ascii="Calibri" w:hAnsi="Calibri"/>
                                <w:sz w:val="22"/>
                                <w:szCs w:val="22"/>
                              </w:rPr>
                              <w:tab/>
                            </w:r>
                          </w:p>
                          <w:p w:rsidR="007C3E46" w:rsidRPr="000D1B0D" w:rsidRDefault="007C3E46">
                            <w:pPr>
                              <w:rPr>
                                <w:rFonts w:ascii="Calibri" w:hAnsi="Calibri"/>
                                <w:sz w:val="22"/>
                                <w:szCs w:val="22"/>
                              </w:rPr>
                            </w:pPr>
                          </w:p>
                          <w:p w:rsidR="007C3E46" w:rsidRPr="000D1B0D" w:rsidRDefault="007C3E46">
                            <w:pPr>
                              <w:rPr>
                                <w:rFonts w:ascii="Calibri" w:hAnsi="Calibri"/>
                                <w:sz w:val="22"/>
                                <w:szCs w:val="22"/>
                              </w:rPr>
                            </w:pPr>
                            <w:r w:rsidRPr="000D1B0D">
                              <w:rPr>
                                <w:rFonts w:ascii="Calibri" w:hAnsi="Calibri"/>
                                <w:sz w:val="22"/>
                                <w:szCs w:val="22"/>
                              </w:rPr>
                              <w:t xml:space="preserve">Presented </w:t>
                            </w:r>
                            <w:r>
                              <w:rPr>
                                <w:rFonts w:ascii="Calibri" w:hAnsi="Calibri"/>
                                <w:sz w:val="22"/>
                                <w:szCs w:val="22"/>
                              </w:rPr>
                              <w:t xml:space="preserve">by: </w:t>
                            </w:r>
                            <w:r>
                              <w:rPr>
                                <w:rFonts w:ascii="Calibri" w:hAnsi="Calibri" w:cs="Calibri"/>
                                <w:bCs/>
                                <w:sz w:val="22"/>
                                <w:szCs w:val="22"/>
                              </w:rPr>
                              <w:t xml:space="preserve">Jan </w:t>
                            </w:r>
                            <w:proofErr w:type="spellStart"/>
                            <w:r>
                              <w:rPr>
                                <w:rFonts w:ascii="Calibri" w:hAnsi="Calibri" w:cs="Calibri"/>
                                <w:bCs/>
                                <w:sz w:val="22"/>
                                <w:szCs w:val="22"/>
                              </w:rPr>
                              <w:t>Haxby</w:t>
                            </w:r>
                            <w:proofErr w:type="spellEnd"/>
                            <w:r>
                              <w:rPr>
                                <w:rFonts w:ascii="Calibri" w:hAnsi="Calibri" w:cs="Calibri"/>
                                <w:bCs/>
                                <w:sz w:val="22"/>
                                <w:szCs w:val="22"/>
                              </w:rPr>
                              <w:t xml:space="preserve"> Director of Quality &amp; Nursing</w:t>
                            </w:r>
                          </w:p>
                          <w:p w:rsidR="007C3E46" w:rsidRPr="000D1B0D" w:rsidRDefault="007C3E46">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pt;margin-top:-.5pt;width:503.4pt;height:11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" strokeweight="3pt">
                <v:stroke linestyle="thinThin"/>
                <v:textbox>
                  <w:txbxContent>
                    <w:p w:rsidR="007C3E46" w:rsidRPr="000D1B0D" w:rsidRDefault="007C3E46">
                      <w:pPr>
                        <w:rPr>
                          <w:rFonts w:ascii="Calibri" w:hAnsi="Calibri"/>
                          <w:sz w:val="22"/>
                          <w:szCs w:val="22"/>
                        </w:rPr>
                      </w:pPr>
                      <w:r w:rsidRPr="000D1B0D">
                        <w:rPr>
                          <w:rFonts w:ascii="Calibri" w:hAnsi="Calibri"/>
                          <w:sz w:val="22"/>
                          <w:szCs w:val="22"/>
                        </w:rPr>
                        <w:t>Report to (Board/Sub-Committee):</w:t>
                      </w:r>
                      <w:r>
                        <w:rPr>
                          <w:rFonts w:ascii="Calibri" w:hAnsi="Calibri"/>
                          <w:sz w:val="22"/>
                          <w:szCs w:val="22"/>
                        </w:rPr>
                        <w:t xml:space="preserve"> </w:t>
                      </w:r>
                      <w:r w:rsidRPr="00EA2734">
                        <w:rPr>
                          <w:rFonts w:ascii="Calibri" w:hAnsi="Calibri" w:cs="Calibri"/>
                          <w:bCs/>
                          <w:sz w:val="22"/>
                          <w:szCs w:val="22"/>
                        </w:rPr>
                        <w:t xml:space="preserve">NEL CCG </w:t>
                      </w:r>
                      <w:r>
                        <w:rPr>
                          <w:rFonts w:ascii="Calibri" w:hAnsi="Calibri" w:cs="Calibri"/>
                          <w:bCs/>
                          <w:sz w:val="22"/>
                          <w:szCs w:val="22"/>
                        </w:rPr>
                        <w:t>Governing Body</w:t>
                      </w:r>
                    </w:p>
                    <w:p w:rsidR="007C3E46" w:rsidRPr="000D1B0D" w:rsidRDefault="007C3E46">
                      <w:pPr>
                        <w:rPr>
                          <w:rFonts w:ascii="Calibri" w:hAnsi="Calibri"/>
                          <w:sz w:val="22"/>
                          <w:szCs w:val="22"/>
                        </w:rPr>
                      </w:pPr>
                    </w:p>
                    <w:p w:rsidR="007C3E46" w:rsidRPr="000D1B0D" w:rsidRDefault="007C3E46">
                      <w:pPr>
                        <w:rPr>
                          <w:rFonts w:ascii="Calibri" w:hAnsi="Calibri"/>
                          <w:sz w:val="22"/>
                          <w:szCs w:val="22"/>
                        </w:rPr>
                      </w:pPr>
                      <w:r w:rsidRPr="000D1B0D">
                        <w:rPr>
                          <w:rFonts w:ascii="Calibri" w:hAnsi="Calibri"/>
                          <w:sz w:val="22"/>
                          <w:szCs w:val="22"/>
                        </w:rPr>
                        <w:t>Date of Meeting:</w:t>
                      </w:r>
                      <w:r>
                        <w:rPr>
                          <w:rFonts w:ascii="Calibri" w:hAnsi="Calibri"/>
                          <w:sz w:val="22"/>
                          <w:szCs w:val="22"/>
                        </w:rPr>
                        <w:t xml:space="preserve"> </w:t>
                      </w:r>
                      <w:r>
                        <w:rPr>
                          <w:rFonts w:ascii="Calibri" w:hAnsi="Calibri" w:cs="Calibri"/>
                          <w:bCs/>
                          <w:sz w:val="22"/>
                          <w:szCs w:val="22"/>
                        </w:rPr>
                        <w:t>28</w:t>
                      </w:r>
                      <w:r w:rsidRPr="00EA2734">
                        <w:rPr>
                          <w:rFonts w:ascii="Calibri" w:hAnsi="Calibri" w:cs="Calibri"/>
                          <w:bCs/>
                          <w:sz w:val="22"/>
                          <w:szCs w:val="22"/>
                        </w:rPr>
                        <w:t xml:space="preserve">th </w:t>
                      </w:r>
                      <w:r>
                        <w:rPr>
                          <w:rFonts w:ascii="Calibri" w:hAnsi="Calibri" w:cs="Calibri"/>
                          <w:bCs/>
                          <w:sz w:val="22"/>
                          <w:szCs w:val="22"/>
                        </w:rPr>
                        <w:t xml:space="preserve">March 2019 </w:t>
                      </w:r>
                    </w:p>
                    <w:p w:rsidR="007C3E46" w:rsidRPr="000D1B0D" w:rsidRDefault="007C3E46">
                      <w:pPr>
                        <w:rPr>
                          <w:rFonts w:ascii="Calibri" w:hAnsi="Calibri"/>
                          <w:sz w:val="22"/>
                          <w:szCs w:val="22"/>
                        </w:rPr>
                      </w:pPr>
                    </w:p>
                    <w:p w:rsidR="007C3E46" w:rsidRPr="000D1B0D" w:rsidRDefault="007C3E46">
                      <w:pPr>
                        <w:rPr>
                          <w:rFonts w:ascii="Calibri" w:hAnsi="Calibri"/>
                          <w:sz w:val="22"/>
                          <w:szCs w:val="22"/>
                        </w:rPr>
                      </w:pPr>
                      <w:r w:rsidRPr="000D1B0D">
                        <w:rPr>
                          <w:rFonts w:ascii="Calibri" w:hAnsi="Calibri"/>
                          <w:sz w:val="22"/>
                          <w:szCs w:val="22"/>
                        </w:rPr>
                        <w:t>Subject:</w:t>
                      </w:r>
                      <w:r>
                        <w:rPr>
                          <w:rFonts w:ascii="Calibri" w:hAnsi="Calibri"/>
                          <w:sz w:val="22"/>
                          <w:szCs w:val="22"/>
                        </w:rPr>
                        <w:t xml:space="preserve"> </w:t>
                      </w:r>
                      <w:r w:rsidRPr="00EA2734">
                        <w:rPr>
                          <w:rFonts w:ascii="Calibri" w:hAnsi="Calibri" w:cs="Calibri"/>
                          <w:bCs/>
                          <w:sz w:val="22"/>
                          <w:szCs w:val="22"/>
                        </w:rPr>
                        <w:t>Integrated Assurance and Quality Report</w:t>
                      </w:r>
                      <w:r>
                        <w:rPr>
                          <w:rFonts w:ascii="Calibri" w:hAnsi="Calibri"/>
                          <w:sz w:val="22"/>
                          <w:szCs w:val="22"/>
                        </w:rPr>
                        <w:tab/>
                      </w:r>
                    </w:p>
                    <w:p w:rsidR="007C3E46" w:rsidRPr="000D1B0D" w:rsidRDefault="007C3E46">
                      <w:pPr>
                        <w:rPr>
                          <w:rFonts w:ascii="Calibri" w:hAnsi="Calibri"/>
                          <w:sz w:val="22"/>
                          <w:szCs w:val="22"/>
                        </w:rPr>
                      </w:pPr>
                    </w:p>
                    <w:p w:rsidR="007C3E46" w:rsidRPr="000D1B0D" w:rsidRDefault="007C3E46">
                      <w:pPr>
                        <w:rPr>
                          <w:rFonts w:ascii="Calibri" w:hAnsi="Calibri"/>
                          <w:sz w:val="22"/>
                          <w:szCs w:val="22"/>
                        </w:rPr>
                      </w:pPr>
                      <w:r w:rsidRPr="000D1B0D">
                        <w:rPr>
                          <w:rFonts w:ascii="Calibri" w:hAnsi="Calibri"/>
                          <w:sz w:val="22"/>
                          <w:szCs w:val="22"/>
                        </w:rPr>
                        <w:t xml:space="preserve">Presented </w:t>
                      </w:r>
                      <w:r>
                        <w:rPr>
                          <w:rFonts w:ascii="Calibri" w:hAnsi="Calibri"/>
                          <w:sz w:val="22"/>
                          <w:szCs w:val="22"/>
                        </w:rPr>
                        <w:t xml:space="preserve">by: </w:t>
                      </w:r>
                      <w:r>
                        <w:rPr>
                          <w:rFonts w:ascii="Calibri" w:hAnsi="Calibri" w:cs="Calibri"/>
                          <w:bCs/>
                          <w:sz w:val="22"/>
                          <w:szCs w:val="22"/>
                        </w:rPr>
                        <w:t>Jan Haxby Director of Quality &amp; Nursing</w:t>
                      </w:r>
                    </w:p>
                    <w:p w:rsidR="007C3E46" w:rsidRPr="000D1B0D" w:rsidRDefault="007C3E46">
                      <w:pPr>
                        <w:rPr>
                          <w:rFonts w:ascii="Calibri" w:hAnsi="Calibri"/>
                          <w:sz w:val="22"/>
                          <w:szCs w:val="22"/>
                        </w:rPr>
                      </w:pP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69784F"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5168" behindDoc="0" locked="0" layoutInCell="1" allowOverlap="1">
                <wp:simplePos x="0" y="0"/>
                <wp:positionH relativeFrom="column">
                  <wp:posOffset>-2540</wp:posOffset>
                </wp:positionH>
                <wp:positionV relativeFrom="paragraph">
                  <wp:posOffset>29210</wp:posOffset>
                </wp:positionV>
                <wp:extent cx="6393180" cy="1227455"/>
                <wp:effectExtent l="6985" t="10160" r="10160" b="10160"/>
                <wp:wrapNone/>
                <wp:docPr id="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1227455"/>
                        </a:xfrm>
                        <a:prstGeom prst="rect">
                          <a:avLst/>
                        </a:prstGeom>
                        <a:solidFill>
                          <a:srgbClr val="FFFFFF"/>
                        </a:solidFill>
                        <a:ln w="9525">
                          <a:solidFill>
                            <a:srgbClr val="000000"/>
                          </a:solidFill>
                          <a:miter lim="800000"/>
                          <a:headEnd/>
                          <a:tailEnd/>
                        </a:ln>
                      </wps:spPr>
                      <wps:txbx>
                        <w:txbxContent>
                          <w:p w:rsidR="007C3E46" w:rsidRPr="000D1B0D" w:rsidRDefault="007C3E46" w:rsidP="007C526F">
                            <w:pPr>
                              <w:rPr>
                                <w:rFonts w:ascii="Calibri" w:hAnsi="Calibri"/>
                                <w:b/>
                                <w:sz w:val="22"/>
                                <w:szCs w:val="22"/>
                              </w:rPr>
                            </w:pPr>
                            <w:r w:rsidRPr="000D1B0D">
                              <w:rPr>
                                <w:rFonts w:ascii="Calibri" w:hAnsi="Calibri"/>
                                <w:b/>
                                <w:sz w:val="22"/>
                                <w:szCs w:val="22"/>
                              </w:rPr>
                              <w:t>STATUS OF THE REPORT</w:t>
                            </w:r>
                          </w:p>
                          <w:p w:rsidR="007C3E46" w:rsidRPr="000D1B0D" w:rsidRDefault="007C3E46">
                            <w:pPr>
                              <w:rPr>
                                <w:rFonts w:ascii="Calibri" w:hAnsi="Calibri"/>
                                <w:sz w:val="22"/>
                                <w:szCs w:val="22"/>
                              </w:rPr>
                            </w:pPr>
                          </w:p>
                          <w:p w:rsidR="007C3E46" w:rsidRPr="000D1B0D" w:rsidRDefault="007C3E46"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Pr>
                                <w:rFonts w:ascii="Calibri" w:hAnsi="Calibri"/>
                                <w:noProof/>
                                <w:sz w:val="22"/>
                                <w:szCs w:val="22"/>
                                <w:lang w:eastAsia="en-GB"/>
                              </w:rPr>
                              <w:drawing>
                                <wp:inline distT="0" distB="0" distL="0" distR="0">
                                  <wp:extent cx="152400" cy="1428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7C3E46" w:rsidRPr="000D1B0D" w:rsidRDefault="007C3E46"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100FD9">
                              <w:rPr>
                                <w:rFonts w:ascii="Calibri" w:hAnsi="Calibri"/>
                                <w:sz w:val="32"/>
                                <w:szCs w:val="32"/>
                              </w:rPr>
                              <w:sym w:font="Wingdings 2" w:char="F054"/>
                            </w:r>
                          </w:p>
                          <w:p w:rsidR="007C3E46" w:rsidRPr="000D1B0D" w:rsidRDefault="007C3E46"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r>
                              <w:rPr>
                                <w:rFonts w:ascii="Calibri" w:hAnsi="Calibri"/>
                                <w:noProof/>
                                <w:sz w:val="22"/>
                                <w:szCs w:val="22"/>
                                <w:lang w:eastAsia="en-GB"/>
                              </w:rPr>
                              <w:drawing>
                                <wp:inline distT="0" distB="0" distL="0" distR="0">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pt;margin-top:2.3pt;width:503.4pt;height:9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">
                <v:textbox>
                  <w:txbxContent>
                    <w:p w:rsidR="007C3E46" w:rsidRPr="000D1B0D" w:rsidRDefault="007C3E46" w:rsidP="007C526F">
                      <w:pPr>
                        <w:rPr>
                          <w:rFonts w:ascii="Calibri" w:hAnsi="Calibri"/>
                          <w:b/>
                          <w:sz w:val="22"/>
                          <w:szCs w:val="22"/>
                        </w:rPr>
                      </w:pPr>
                      <w:r w:rsidRPr="000D1B0D">
                        <w:rPr>
                          <w:rFonts w:ascii="Calibri" w:hAnsi="Calibri"/>
                          <w:b/>
                          <w:sz w:val="22"/>
                          <w:szCs w:val="22"/>
                        </w:rPr>
                        <w:t>STATUS OF THE REPORT</w:t>
                      </w:r>
                    </w:p>
                    <w:p w:rsidR="007C3E46" w:rsidRPr="000D1B0D" w:rsidRDefault="007C3E46">
                      <w:pPr>
                        <w:rPr>
                          <w:rFonts w:ascii="Calibri" w:hAnsi="Calibri"/>
                          <w:sz w:val="22"/>
                          <w:szCs w:val="22"/>
                        </w:rPr>
                      </w:pPr>
                    </w:p>
                    <w:p w:rsidR="007C3E46" w:rsidRPr="000D1B0D" w:rsidRDefault="007C3E46"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Pr>
                          <w:rFonts w:ascii="Calibri" w:hAnsi="Calibri"/>
                          <w:noProof/>
                          <w:sz w:val="22"/>
                          <w:szCs w:val="22"/>
                          <w:lang w:eastAsia="en-GB"/>
                        </w:rPr>
                        <w:drawing>
                          <wp:inline distT="0" distB="0" distL="0" distR="0">
                            <wp:extent cx="152400" cy="1428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7C3E46" w:rsidRPr="000D1B0D" w:rsidRDefault="007C3E46"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100FD9">
                        <w:rPr>
                          <w:rFonts w:ascii="Calibri" w:hAnsi="Calibri"/>
                          <w:sz w:val="32"/>
                          <w:szCs w:val="32"/>
                        </w:rPr>
                        <w:sym w:font="Wingdings 2" w:char="F054"/>
                      </w:r>
                    </w:p>
                    <w:p w:rsidR="007C3E46" w:rsidRPr="000D1B0D" w:rsidRDefault="007C3E46"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r>
                        <w:rPr>
                          <w:rFonts w:ascii="Calibri" w:hAnsi="Calibri"/>
                          <w:noProof/>
                          <w:sz w:val="22"/>
                          <w:szCs w:val="22"/>
                          <w:lang w:eastAsia="en-GB"/>
                        </w:rPr>
                        <w:drawing>
                          <wp:inline distT="0" distB="0" distL="0" distR="0">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Pr="004B597D" w:rsidRDefault="00136B75" w:rsidP="00D3211A">
      <w:pPr>
        <w:pStyle w:val="Default"/>
        <w:jc w:val="both"/>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51"/>
      </w:tblGrid>
      <w:tr w:rsidR="009D4EDC" w:rsidRPr="000D1B0D" w:rsidTr="007663C8">
        <w:tc>
          <w:tcPr>
            <w:tcW w:w="2103" w:type="dxa"/>
            <w:tcBorders>
              <w:bottom w:val="single" w:sz="4" w:space="0" w:color="auto"/>
            </w:tcBorders>
            <w:shd w:val="clear" w:color="auto" w:fill="auto"/>
          </w:tcPr>
          <w:p w:rsidR="009D4EDC" w:rsidRPr="000D1B0D"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0D1B0D">
            <w:pPr>
              <w:pStyle w:val="Default"/>
              <w:jc w:val="both"/>
              <w:rPr>
                <w:rFonts w:ascii="Calibri" w:hAnsi="Calibri" w:cs="Calibri"/>
                <w:b/>
                <w:sz w:val="20"/>
                <w:szCs w:val="20"/>
              </w:rPr>
            </w:pPr>
          </w:p>
        </w:tc>
        <w:tc>
          <w:tcPr>
            <w:tcW w:w="7977" w:type="dxa"/>
            <w:shd w:val="clear" w:color="auto" w:fill="auto"/>
          </w:tcPr>
          <w:p w:rsidR="003B7D1C" w:rsidRPr="00EA2734" w:rsidRDefault="003B7D1C" w:rsidP="003B7D1C">
            <w:pPr>
              <w:jc w:val="both"/>
              <w:rPr>
                <w:rFonts w:ascii="Calibri" w:hAnsi="Calibri" w:cs="Calibri"/>
                <w:bCs/>
                <w:sz w:val="22"/>
                <w:szCs w:val="22"/>
              </w:rPr>
            </w:pPr>
            <w:r w:rsidRPr="00EA2734">
              <w:rPr>
                <w:rFonts w:ascii="Calibri" w:hAnsi="Calibri" w:cs="Calibri"/>
                <w:bCs/>
                <w:sz w:val="22"/>
                <w:szCs w:val="22"/>
              </w:rPr>
              <w:t xml:space="preserve">The report advises the </w:t>
            </w:r>
            <w:r w:rsidR="00A85A8D">
              <w:rPr>
                <w:rFonts w:ascii="Calibri" w:hAnsi="Calibri" w:cs="Calibri"/>
                <w:bCs/>
                <w:sz w:val="22"/>
                <w:szCs w:val="22"/>
              </w:rPr>
              <w:t>Governing Body</w:t>
            </w:r>
            <w:r w:rsidRPr="00EA2734">
              <w:rPr>
                <w:rFonts w:ascii="Calibri" w:hAnsi="Calibri" w:cs="Calibri"/>
                <w:bCs/>
                <w:sz w:val="22"/>
                <w:szCs w:val="22"/>
              </w:rPr>
              <w:t xml:space="preserve"> of how NELCCG are performing against;</w:t>
            </w:r>
          </w:p>
          <w:p w:rsidR="003B7D1C" w:rsidRPr="00EA2734" w:rsidRDefault="003B7D1C" w:rsidP="003B7D1C">
            <w:pPr>
              <w:jc w:val="both"/>
              <w:rPr>
                <w:rFonts w:ascii="Calibri" w:hAnsi="Calibri" w:cs="Calibri"/>
                <w:bCs/>
                <w:sz w:val="22"/>
                <w:szCs w:val="22"/>
              </w:rPr>
            </w:pPr>
          </w:p>
          <w:p w:rsidR="003B7D1C" w:rsidRPr="00EA2734" w:rsidRDefault="003B7D1C" w:rsidP="00197E49">
            <w:pPr>
              <w:numPr>
                <w:ilvl w:val="0"/>
                <w:numId w:val="3"/>
              </w:numPr>
              <w:rPr>
                <w:rFonts w:ascii="Calibri" w:hAnsi="Calibri" w:cs="Calibri"/>
                <w:bCs/>
                <w:sz w:val="22"/>
                <w:szCs w:val="22"/>
              </w:rPr>
            </w:pPr>
            <w:r w:rsidRPr="00EA2734">
              <w:rPr>
                <w:rFonts w:ascii="Calibri" w:hAnsi="Calibri" w:cs="Calibri"/>
                <w:bCs/>
                <w:sz w:val="22"/>
                <w:szCs w:val="22"/>
              </w:rPr>
              <w:t>six domains developed for the performance dashboard</w:t>
            </w:r>
            <w:r w:rsidR="005F244A">
              <w:rPr>
                <w:rFonts w:ascii="Calibri" w:hAnsi="Calibri" w:cs="Calibri"/>
                <w:bCs/>
                <w:sz w:val="22"/>
                <w:szCs w:val="22"/>
              </w:rPr>
              <w:t xml:space="preserve"> and</w:t>
            </w:r>
            <w:r w:rsidRPr="00EA2734">
              <w:rPr>
                <w:rFonts w:ascii="Calibri" w:hAnsi="Calibri" w:cs="Calibri"/>
                <w:bCs/>
                <w:sz w:val="22"/>
                <w:szCs w:val="22"/>
              </w:rPr>
              <w:t>;</w:t>
            </w:r>
          </w:p>
          <w:p w:rsidR="003B7D1C" w:rsidRPr="00EA2734" w:rsidRDefault="003B7D1C" w:rsidP="00197E49">
            <w:pPr>
              <w:numPr>
                <w:ilvl w:val="0"/>
                <w:numId w:val="3"/>
              </w:numPr>
              <w:rPr>
                <w:rFonts w:ascii="Calibri" w:hAnsi="Calibri" w:cs="Calibri"/>
                <w:bCs/>
                <w:sz w:val="22"/>
                <w:szCs w:val="22"/>
              </w:rPr>
            </w:pPr>
            <w:proofErr w:type="gramStart"/>
            <w:r w:rsidRPr="00EA2734">
              <w:rPr>
                <w:rFonts w:ascii="Calibri" w:hAnsi="Calibri" w:cs="Calibri"/>
                <w:bCs/>
                <w:sz w:val="22"/>
                <w:szCs w:val="22"/>
              </w:rPr>
              <w:t>three</w:t>
            </w:r>
            <w:proofErr w:type="gramEnd"/>
            <w:r w:rsidRPr="00EA2734">
              <w:rPr>
                <w:rFonts w:ascii="Calibri" w:hAnsi="Calibri" w:cs="Calibri"/>
                <w:bCs/>
                <w:sz w:val="22"/>
                <w:szCs w:val="22"/>
              </w:rPr>
              <w:t xml:space="preserve"> domains d</w:t>
            </w:r>
            <w:r w:rsidR="005F244A">
              <w:rPr>
                <w:rFonts w:ascii="Calibri" w:hAnsi="Calibri" w:cs="Calibri"/>
                <w:bCs/>
                <w:sz w:val="22"/>
                <w:szCs w:val="22"/>
              </w:rPr>
              <w:t xml:space="preserve">eveloped for quality dashboard. </w:t>
            </w:r>
          </w:p>
          <w:p w:rsidR="003B7D1C" w:rsidRPr="00EA2734" w:rsidRDefault="003B7D1C" w:rsidP="003B7D1C">
            <w:pPr>
              <w:rPr>
                <w:rFonts w:ascii="Calibri" w:hAnsi="Calibri" w:cs="Calibri"/>
                <w:bCs/>
                <w:sz w:val="22"/>
                <w:szCs w:val="22"/>
              </w:rPr>
            </w:pPr>
          </w:p>
          <w:p w:rsidR="003B7D1C" w:rsidRPr="00EA2734" w:rsidRDefault="003B7D1C" w:rsidP="003B7D1C">
            <w:pPr>
              <w:rPr>
                <w:rFonts w:ascii="Calibri" w:hAnsi="Calibri" w:cs="Calibri"/>
                <w:bCs/>
                <w:sz w:val="22"/>
                <w:szCs w:val="22"/>
              </w:rPr>
            </w:pPr>
            <w:r w:rsidRPr="00EA2734">
              <w:rPr>
                <w:rFonts w:ascii="Calibri" w:hAnsi="Calibri" w:cs="Calibri"/>
                <w:bCs/>
                <w:sz w:val="22"/>
                <w:szCs w:val="22"/>
              </w:rPr>
              <w:t xml:space="preserve">The dashboards </w:t>
            </w:r>
            <w:proofErr w:type="gramStart"/>
            <w:r w:rsidRPr="00EA2734">
              <w:rPr>
                <w:rFonts w:ascii="Calibri" w:hAnsi="Calibri" w:cs="Calibri"/>
                <w:bCs/>
                <w:sz w:val="22"/>
                <w:szCs w:val="22"/>
              </w:rPr>
              <w:t>are managed</w:t>
            </w:r>
            <w:proofErr w:type="gramEnd"/>
            <w:r w:rsidRPr="00EA2734">
              <w:rPr>
                <w:rFonts w:ascii="Calibri" w:hAnsi="Calibri" w:cs="Calibri"/>
                <w:bCs/>
                <w:sz w:val="22"/>
                <w:szCs w:val="22"/>
              </w:rPr>
              <w:t xml:space="preserve"> via the Delivery Assurance Committee, the </w:t>
            </w:r>
            <w:r w:rsidR="00920869">
              <w:rPr>
                <w:rFonts w:ascii="Calibri" w:hAnsi="Calibri" w:cs="Calibri"/>
                <w:bCs/>
                <w:sz w:val="22"/>
                <w:szCs w:val="22"/>
              </w:rPr>
              <w:t xml:space="preserve">Clinical Governance </w:t>
            </w:r>
            <w:r w:rsidRPr="00EA2734">
              <w:rPr>
                <w:rFonts w:ascii="Calibri" w:hAnsi="Calibri" w:cs="Calibri"/>
                <w:bCs/>
                <w:sz w:val="22"/>
                <w:szCs w:val="22"/>
              </w:rPr>
              <w:t xml:space="preserve">Committee and the Integrated Governance and Audit Committee. </w:t>
            </w:r>
          </w:p>
          <w:p w:rsidR="003B7D1C" w:rsidRPr="00EA2734" w:rsidRDefault="003B7D1C" w:rsidP="003B7D1C">
            <w:pPr>
              <w:rPr>
                <w:rFonts w:ascii="Calibri" w:hAnsi="Calibri" w:cs="Calibri"/>
                <w:bCs/>
                <w:sz w:val="22"/>
                <w:szCs w:val="22"/>
              </w:rPr>
            </w:pPr>
          </w:p>
          <w:p w:rsidR="00E76606" w:rsidRPr="000D1B0D" w:rsidRDefault="00FB533E" w:rsidP="00920869">
            <w:pPr>
              <w:pStyle w:val="Default"/>
              <w:rPr>
                <w:rFonts w:ascii="Calibri" w:hAnsi="Calibri" w:cs="Calibri"/>
                <w:sz w:val="20"/>
                <w:szCs w:val="20"/>
              </w:rPr>
            </w:pPr>
            <w:r w:rsidRPr="00EA2734">
              <w:rPr>
                <w:rFonts w:ascii="Calibri" w:eastAsia="Times New Roman" w:hAnsi="Calibri" w:cs="Calibri"/>
                <w:bCs/>
                <w:color w:val="auto"/>
                <w:sz w:val="22"/>
                <w:szCs w:val="22"/>
                <w:lang w:eastAsia="en-US"/>
              </w:rPr>
              <w:t>For more detail on per</w:t>
            </w:r>
            <w:r w:rsidR="0004594E">
              <w:rPr>
                <w:rFonts w:ascii="Calibri" w:eastAsia="Times New Roman" w:hAnsi="Calibri" w:cs="Calibri"/>
                <w:bCs/>
                <w:color w:val="auto"/>
                <w:sz w:val="22"/>
                <w:szCs w:val="22"/>
                <w:lang w:eastAsia="en-US"/>
              </w:rPr>
              <w:t>f</w:t>
            </w:r>
            <w:r w:rsidR="00D2303C">
              <w:rPr>
                <w:rFonts w:ascii="Calibri" w:eastAsia="Times New Roman" w:hAnsi="Calibri" w:cs="Calibri"/>
                <w:bCs/>
                <w:color w:val="auto"/>
                <w:sz w:val="22"/>
                <w:szCs w:val="22"/>
                <w:lang w:eastAsia="en-US"/>
              </w:rPr>
              <w:t>ormance</w:t>
            </w:r>
            <w:r w:rsidRPr="00EA2734">
              <w:rPr>
                <w:rFonts w:ascii="Calibri" w:eastAsia="Times New Roman" w:hAnsi="Calibri" w:cs="Calibri"/>
                <w:bCs/>
                <w:color w:val="auto"/>
                <w:sz w:val="22"/>
                <w:szCs w:val="22"/>
                <w:lang w:eastAsia="en-US"/>
              </w:rPr>
              <w:t xml:space="preserve"> </w:t>
            </w:r>
            <w:r w:rsidR="0004594E">
              <w:rPr>
                <w:rFonts w:ascii="Calibri" w:eastAsia="Times New Roman" w:hAnsi="Calibri" w:cs="Calibri"/>
                <w:bCs/>
                <w:color w:val="auto"/>
                <w:sz w:val="22"/>
                <w:szCs w:val="22"/>
                <w:lang w:eastAsia="en-US"/>
              </w:rPr>
              <w:t xml:space="preserve">and quality </w:t>
            </w:r>
            <w:r w:rsidRPr="00EA2734">
              <w:rPr>
                <w:rFonts w:ascii="Calibri" w:eastAsia="Times New Roman" w:hAnsi="Calibri" w:cs="Calibri"/>
                <w:bCs/>
                <w:color w:val="auto"/>
                <w:sz w:val="22"/>
                <w:szCs w:val="22"/>
                <w:lang w:eastAsia="en-US"/>
              </w:rPr>
              <w:t xml:space="preserve">the latest integrated assurance report presented to the Delivery Assurance Committee </w:t>
            </w:r>
            <w:r w:rsidR="0004594E">
              <w:rPr>
                <w:rFonts w:ascii="Calibri" w:eastAsia="Times New Roman" w:hAnsi="Calibri" w:cs="Calibri"/>
                <w:bCs/>
                <w:color w:val="auto"/>
                <w:sz w:val="22"/>
                <w:szCs w:val="22"/>
                <w:lang w:eastAsia="en-US"/>
              </w:rPr>
              <w:t xml:space="preserve">and </w:t>
            </w:r>
            <w:r w:rsidR="00920869">
              <w:rPr>
                <w:rFonts w:ascii="Calibri" w:eastAsia="Times New Roman" w:hAnsi="Calibri" w:cs="Calibri"/>
                <w:bCs/>
                <w:color w:val="auto"/>
                <w:sz w:val="22"/>
                <w:szCs w:val="22"/>
                <w:lang w:eastAsia="en-US"/>
              </w:rPr>
              <w:t xml:space="preserve">the </w:t>
            </w:r>
            <w:r w:rsidR="0004594E">
              <w:rPr>
                <w:rFonts w:ascii="Calibri" w:eastAsia="Times New Roman" w:hAnsi="Calibri" w:cs="Calibri"/>
                <w:bCs/>
                <w:color w:val="auto"/>
                <w:sz w:val="22"/>
                <w:szCs w:val="22"/>
                <w:lang w:eastAsia="en-US"/>
              </w:rPr>
              <w:t xml:space="preserve">quality dashboard report </w:t>
            </w:r>
            <w:r w:rsidR="00920869">
              <w:rPr>
                <w:rFonts w:ascii="Calibri" w:eastAsia="Times New Roman" w:hAnsi="Calibri" w:cs="Calibri"/>
                <w:bCs/>
                <w:color w:val="auto"/>
                <w:sz w:val="22"/>
                <w:szCs w:val="22"/>
                <w:lang w:eastAsia="en-US"/>
              </w:rPr>
              <w:t xml:space="preserve">verbally </w:t>
            </w:r>
            <w:r w:rsidR="0004594E">
              <w:rPr>
                <w:rFonts w:ascii="Calibri" w:eastAsia="Times New Roman" w:hAnsi="Calibri" w:cs="Calibri"/>
                <w:bCs/>
                <w:color w:val="auto"/>
                <w:sz w:val="22"/>
                <w:szCs w:val="22"/>
                <w:lang w:eastAsia="en-US"/>
              </w:rPr>
              <w:t xml:space="preserve">presented to the </w:t>
            </w:r>
            <w:r w:rsidR="00920869">
              <w:rPr>
                <w:rFonts w:ascii="Calibri" w:eastAsia="Times New Roman" w:hAnsi="Calibri" w:cs="Calibri"/>
                <w:bCs/>
                <w:color w:val="auto"/>
                <w:sz w:val="22"/>
                <w:szCs w:val="22"/>
                <w:lang w:eastAsia="en-US"/>
              </w:rPr>
              <w:t xml:space="preserve">Clinical Governance </w:t>
            </w:r>
            <w:r w:rsidR="0004594E">
              <w:rPr>
                <w:rFonts w:ascii="Calibri" w:eastAsia="Times New Roman" w:hAnsi="Calibri" w:cs="Calibri"/>
                <w:bCs/>
                <w:color w:val="auto"/>
                <w:sz w:val="22"/>
                <w:szCs w:val="22"/>
                <w:lang w:eastAsia="en-US"/>
              </w:rPr>
              <w:t xml:space="preserve">Committee </w:t>
            </w:r>
            <w:r w:rsidRPr="00EA2734">
              <w:rPr>
                <w:rFonts w:ascii="Calibri" w:eastAsia="Times New Roman" w:hAnsi="Calibri" w:cs="Calibri"/>
                <w:bCs/>
                <w:color w:val="auto"/>
                <w:sz w:val="22"/>
                <w:szCs w:val="22"/>
                <w:lang w:eastAsia="en-US"/>
              </w:rPr>
              <w:t>can be found via the embedded file</w:t>
            </w:r>
            <w:r w:rsidR="0004594E">
              <w:rPr>
                <w:rFonts w:ascii="Calibri" w:eastAsia="Times New Roman" w:hAnsi="Calibri" w:cs="Calibri"/>
                <w:bCs/>
                <w:color w:val="auto"/>
                <w:sz w:val="22"/>
                <w:szCs w:val="22"/>
                <w:lang w:eastAsia="en-US"/>
              </w:rPr>
              <w:t>s</w:t>
            </w:r>
            <w:r w:rsidRPr="00EA2734">
              <w:rPr>
                <w:rFonts w:ascii="Calibri" w:eastAsia="Times New Roman" w:hAnsi="Calibri" w:cs="Calibri"/>
                <w:bCs/>
                <w:color w:val="auto"/>
                <w:sz w:val="22"/>
                <w:szCs w:val="22"/>
                <w:lang w:eastAsia="en-US"/>
              </w:rPr>
              <w:t xml:space="preserve"> in the ‘Appendices / attachments’ section of this cover sheet.</w:t>
            </w:r>
          </w:p>
        </w:tc>
      </w:tr>
      <w:tr w:rsidR="009D4EDC" w:rsidRPr="000D1B0D" w:rsidTr="007663C8">
        <w:tc>
          <w:tcPr>
            <w:tcW w:w="2103" w:type="dxa"/>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7977" w:type="dxa"/>
            <w:shd w:val="clear" w:color="auto" w:fill="auto"/>
          </w:tcPr>
          <w:p w:rsidR="00FB533E" w:rsidRPr="00EA2734" w:rsidRDefault="00FB533E" w:rsidP="00FB533E">
            <w:pPr>
              <w:jc w:val="both"/>
              <w:rPr>
                <w:rFonts w:ascii="Calibri" w:hAnsi="Calibri" w:cs="Calibri"/>
                <w:bCs/>
                <w:sz w:val="22"/>
                <w:szCs w:val="22"/>
              </w:rPr>
            </w:pPr>
            <w:r w:rsidRPr="00EA2734">
              <w:rPr>
                <w:rFonts w:ascii="Calibri" w:hAnsi="Calibri" w:cs="Calibri"/>
                <w:bCs/>
                <w:sz w:val="22"/>
                <w:szCs w:val="22"/>
              </w:rPr>
              <w:t>The Partnership Board is asked:</w:t>
            </w:r>
          </w:p>
          <w:p w:rsidR="00FB533E" w:rsidRDefault="00FB533E" w:rsidP="00AF50F5">
            <w:pPr>
              <w:numPr>
                <w:ilvl w:val="0"/>
                <w:numId w:val="2"/>
              </w:numPr>
              <w:rPr>
                <w:rFonts w:ascii="Calibri" w:hAnsi="Calibri" w:cs="Calibri"/>
                <w:bCs/>
                <w:sz w:val="22"/>
                <w:szCs w:val="22"/>
              </w:rPr>
            </w:pPr>
            <w:r w:rsidRPr="00EA2734">
              <w:rPr>
                <w:rFonts w:ascii="Calibri" w:hAnsi="Calibri" w:cs="Calibri"/>
                <w:bCs/>
                <w:sz w:val="22"/>
                <w:szCs w:val="22"/>
              </w:rPr>
              <w:t>to note judgements made against the domains of the dashboards</w:t>
            </w:r>
          </w:p>
          <w:p w:rsidR="009D4EDC" w:rsidRPr="006A0A2E" w:rsidRDefault="00FB533E" w:rsidP="00AF50F5">
            <w:pPr>
              <w:numPr>
                <w:ilvl w:val="0"/>
                <w:numId w:val="2"/>
              </w:numPr>
              <w:rPr>
                <w:rFonts w:ascii="Calibri" w:hAnsi="Calibri" w:cs="Calibri"/>
                <w:sz w:val="20"/>
              </w:rPr>
            </w:pPr>
            <w:proofErr w:type="gramStart"/>
            <w:r w:rsidRPr="00EA2734">
              <w:rPr>
                <w:rFonts w:ascii="Calibri" w:hAnsi="Calibri" w:cs="Calibri"/>
                <w:bCs/>
                <w:sz w:val="22"/>
                <w:szCs w:val="22"/>
              </w:rPr>
              <w:t>for</w:t>
            </w:r>
            <w:proofErr w:type="gramEnd"/>
            <w:r w:rsidRPr="00EA2734">
              <w:rPr>
                <w:rFonts w:ascii="Calibri" w:hAnsi="Calibri" w:cs="Calibri"/>
                <w:bCs/>
                <w:sz w:val="22"/>
                <w:szCs w:val="22"/>
              </w:rPr>
              <w:t xml:space="preserve"> further feedback on ways to improve the report</w:t>
            </w:r>
            <w:r w:rsidR="00C148F8">
              <w:rPr>
                <w:rFonts w:ascii="Calibri" w:hAnsi="Calibri" w:cs="Calibri"/>
                <w:bCs/>
                <w:sz w:val="22"/>
                <w:szCs w:val="22"/>
              </w:rPr>
              <w:t>.</w:t>
            </w:r>
          </w:p>
          <w:p w:rsidR="006A0A2E" w:rsidRPr="000D1B0D" w:rsidRDefault="006A0A2E" w:rsidP="006A0A2E">
            <w:pPr>
              <w:numPr>
                <w:ilvl w:val="0"/>
                <w:numId w:val="2"/>
              </w:numPr>
              <w:rPr>
                <w:rFonts w:ascii="Calibri" w:hAnsi="Calibri" w:cs="Calibri"/>
                <w:sz w:val="20"/>
              </w:rPr>
            </w:pPr>
            <w:r>
              <w:rPr>
                <w:rFonts w:ascii="Calibri" w:hAnsi="Calibri" w:cs="Calibri"/>
                <w:bCs/>
                <w:sz w:val="22"/>
                <w:szCs w:val="22"/>
              </w:rPr>
              <w:t xml:space="preserve">to note information on </w:t>
            </w:r>
            <w:r w:rsidR="00A85A8D">
              <w:rPr>
                <w:rFonts w:ascii="Calibri" w:hAnsi="Calibri" w:cs="Calibri"/>
                <w:bCs/>
                <w:sz w:val="22"/>
                <w:szCs w:val="22"/>
              </w:rPr>
              <w:t>Women</w:t>
            </w:r>
            <w:r w:rsidR="00DD7634">
              <w:rPr>
                <w:rFonts w:ascii="Calibri" w:hAnsi="Calibri" w:cs="Calibri"/>
                <w:bCs/>
                <w:sz w:val="22"/>
                <w:szCs w:val="22"/>
              </w:rPr>
              <w:t>’s</w:t>
            </w:r>
            <w:r w:rsidR="00A85A8D">
              <w:rPr>
                <w:rFonts w:ascii="Calibri" w:hAnsi="Calibri" w:cs="Calibri"/>
                <w:bCs/>
                <w:sz w:val="22"/>
                <w:szCs w:val="22"/>
              </w:rPr>
              <w:t xml:space="preserve"> and Children</w:t>
            </w:r>
            <w:r w:rsidR="00DD7634">
              <w:rPr>
                <w:rFonts w:ascii="Calibri" w:hAnsi="Calibri" w:cs="Calibri"/>
                <w:bCs/>
                <w:sz w:val="22"/>
                <w:szCs w:val="22"/>
              </w:rPr>
              <w:t>’s</w:t>
            </w:r>
            <w:r w:rsidR="00A85A8D">
              <w:rPr>
                <w:rFonts w:ascii="Calibri" w:hAnsi="Calibri" w:cs="Calibri"/>
                <w:bCs/>
                <w:sz w:val="22"/>
                <w:szCs w:val="22"/>
              </w:rPr>
              <w:t xml:space="preserve"> update</w:t>
            </w:r>
          </w:p>
        </w:tc>
      </w:tr>
      <w:tr w:rsidR="009D4EDC" w:rsidRPr="000D1B0D" w:rsidTr="007663C8">
        <w:tc>
          <w:tcPr>
            <w:tcW w:w="2103" w:type="dxa"/>
            <w:shd w:val="clear" w:color="auto" w:fill="auto"/>
          </w:tcPr>
          <w:p w:rsidR="009D4EDC" w:rsidRPr="000D1B0D" w:rsidRDefault="009D4EDC" w:rsidP="008E6240">
            <w:pPr>
              <w:pStyle w:val="Default"/>
              <w:rPr>
                <w:rFonts w:ascii="Calibri" w:hAnsi="Calibri" w:cs="Calibri"/>
                <w:b/>
                <w:sz w:val="20"/>
                <w:szCs w:val="20"/>
              </w:rPr>
            </w:pPr>
            <w:r w:rsidRPr="000D1B0D">
              <w:rPr>
                <w:rFonts w:ascii="Calibri" w:hAnsi="Calibri" w:cs="Calibri"/>
                <w:b/>
                <w:sz w:val="20"/>
                <w:szCs w:val="20"/>
              </w:rPr>
              <w:t>Sub Committee Process and Assurance:</w:t>
            </w:r>
          </w:p>
        </w:tc>
        <w:tc>
          <w:tcPr>
            <w:tcW w:w="7977" w:type="dxa"/>
            <w:shd w:val="clear" w:color="auto" w:fill="auto"/>
          </w:tcPr>
          <w:p w:rsidR="00246EFA" w:rsidRDefault="000C416B" w:rsidP="00D2303C">
            <w:pPr>
              <w:pStyle w:val="Default"/>
              <w:jc w:val="both"/>
              <w:rPr>
                <w:rFonts w:ascii="Calibri" w:hAnsi="Calibri" w:cs="Calibri"/>
                <w:sz w:val="22"/>
                <w:szCs w:val="22"/>
              </w:rPr>
            </w:pPr>
            <w:r w:rsidRPr="00EA2734">
              <w:rPr>
                <w:rFonts w:ascii="Calibri" w:hAnsi="Calibri" w:cs="Calibri"/>
                <w:bCs/>
                <w:sz w:val="22"/>
                <w:szCs w:val="22"/>
              </w:rPr>
              <w:t>T</w:t>
            </w:r>
            <w:r w:rsidR="00D2303C">
              <w:rPr>
                <w:rFonts w:ascii="Calibri" w:hAnsi="Calibri" w:cs="Calibri"/>
                <w:bCs/>
                <w:sz w:val="22"/>
                <w:szCs w:val="22"/>
              </w:rPr>
              <w:t>he Delivery Assurance Committee and the</w:t>
            </w:r>
            <w:r w:rsidRPr="00EA2734">
              <w:rPr>
                <w:rFonts w:ascii="Calibri" w:hAnsi="Calibri" w:cs="Calibri"/>
                <w:bCs/>
                <w:sz w:val="22"/>
                <w:szCs w:val="22"/>
              </w:rPr>
              <w:t xml:space="preserve"> </w:t>
            </w:r>
            <w:r w:rsidR="00D2303C">
              <w:rPr>
                <w:rFonts w:ascii="Calibri" w:hAnsi="Calibri" w:cs="Calibri"/>
                <w:bCs/>
                <w:sz w:val="22"/>
                <w:szCs w:val="22"/>
              </w:rPr>
              <w:t>Clinical Governance</w:t>
            </w:r>
            <w:r w:rsidRPr="00EA2734">
              <w:rPr>
                <w:rFonts w:ascii="Calibri" w:hAnsi="Calibri" w:cs="Calibri"/>
                <w:bCs/>
                <w:sz w:val="22"/>
                <w:szCs w:val="22"/>
              </w:rPr>
              <w:t xml:space="preserve"> Committee </w:t>
            </w:r>
            <w:r w:rsidR="00EA2734" w:rsidRPr="00EA2734">
              <w:rPr>
                <w:rFonts w:ascii="Calibri" w:hAnsi="Calibri" w:cs="Calibri"/>
                <w:bCs/>
                <w:sz w:val="22"/>
                <w:szCs w:val="22"/>
              </w:rPr>
              <w:t>manage</w:t>
            </w:r>
            <w:r w:rsidRPr="00EA2734">
              <w:rPr>
                <w:rFonts w:ascii="Calibri" w:hAnsi="Calibri" w:cs="Calibri"/>
                <w:bCs/>
                <w:sz w:val="22"/>
                <w:szCs w:val="22"/>
              </w:rPr>
              <w:t xml:space="preserve"> and assure th</w:t>
            </w:r>
            <w:r w:rsidR="00D2303C">
              <w:rPr>
                <w:rFonts w:ascii="Calibri" w:hAnsi="Calibri" w:cs="Calibri"/>
                <w:bCs/>
                <w:sz w:val="22"/>
                <w:szCs w:val="22"/>
              </w:rPr>
              <w:t>e performance and quality</w:t>
            </w:r>
            <w:r w:rsidRPr="00EA2734">
              <w:rPr>
                <w:rFonts w:ascii="Calibri" w:hAnsi="Calibri" w:cs="Calibri"/>
                <w:bCs/>
                <w:sz w:val="22"/>
                <w:szCs w:val="22"/>
              </w:rPr>
              <w:t xml:space="preserve"> contained within these dashboards</w:t>
            </w:r>
            <w:r w:rsidRPr="00EA2734">
              <w:rPr>
                <w:rFonts w:ascii="Calibri" w:hAnsi="Calibri" w:cs="Calibri"/>
                <w:sz w:val="22"/>
                <w:szCs w:val="22"/>
              </w:rPr>
              <w:t>.</w:t>
            </w:r>
          </w:p>
          <w:p w:rsidR="00D57250" w:rsidRDefault="00D57250" w:rsidP="00D2303C">
            <w:pPr>
              <w:pStyle w:val="Default"/>
              <w:jc w:val="both"/>
              <w:rPr>
                <w:rFonts w:ascii="Calibri" w:hAnsi="Calibri" w:cs="Calibri"/>
                <w:sz w:val="22"/>
                <w:szCs w:val="22"/>
              </w:rPr>
            </w:pPr>
          </w:p>
          <w:p w:rsidR="00D57250" w:rsidRDefault="00D57250" w:rsidP="00D2303C">
            <w:pPr>
              <w:pStyle w:val="Default"/>
              <w:jc w:val="both"/>
              <w:rPr>
                <w:rFonts w:ascii="Calibri" w:hAnsi="Calibri" w:cs="Calibri"/>
                <w:sz w:val="22"/>
                <w:szCs w:val="22"/>
              </w:rPr>
            </w:pPr>
            <w:r>
              <w:rPr>
                <w:rFonts w:ascii="Calibri" w:hAnsi="Calibri" w:cs="Calibri"/>
                <w:sz w:val="22"/>
                <w:szCs w:val="22"/>
              </w:rPr>
              <w:t xml:space="preserve">The Delivery Assurance Committee </w:t>
            </w:r>
            <w:proofErr w:type="gramStart"/>
            <w:r>
              <w:rPr>
                <w:rFonts w:ascii="Calibri" w:hAnsi="Calibri" w:cs="Calibri"/>
                <w:sz w:val="22"/>
                <w:szCs w:val="22"/>
              </w:rPr>
              <w:t>cross reference</w:t>
            </w:r>
            <w:proofErr w:type="gramEnd"/>
            <w:r>
              <w:rPr>
                <w:rFonts w:ascii="Calibri" w:hAnsi="Calibri" w:cs="Calibri"/>
                <w:sz w:val="22"/>
                <w:szCs w:val="22"/>
              </w:rPr>
              <w:t xml:space="preserve"> the performance</w:t>
            </w:r>
            <w:r w:rsidR="003D0191">
              <w:rPr>
                <w:rFonts w:ascii="Calibri" w:hAnsi="Calibri" w:cs="Calibri"/>
                <w:sz w:val="22"/>
                <w:szCs w:val="22"/>
              </w:rPr>
              <w:t xml:space="preserve"> framework with the CCG Board Assurance framework and Risk Register.  This allows the Delivery Assurance Committee to identify any gaps in risk </w:t>
            </w:r>
            <w:proofErr w:type="gramStart"/>
            <w:r w:rsidR="003D0191">
              <w:rPr>
                <w:rFonts w:ascii="Calibri" w:hAnsi="Calibri" w:cs="Calibri"/>
                <w:sz w:val="22"/>
                <w:szCs w:val="22"/>
              </w:rPr>
              <w:t>management,</w:t>
            </w:r>
            <w:proofErr w:type="gramEnd"/>
            <w:r w:rsidR="003D0191">
              <w:rPr>
                <w:rFonts w:ascii="Calibri" w:hAnsi="Calibri" w:cs="Calibri"/>
                <w:sz w:val="22"/>
                <w:szCs w:val="22"/>
              </w:rPr>
              <w:t xml:space="preserve"> however none were identified at this time.</w:t>
            </w:r>
          </w:p>
          <w:p w:rsidR="00D57250" w:rsidRPr="00EA2734" w:rsidRDefault="00D57250" w:rsidP="00D2303C">
            <w:pPr>
              <w:pStyle w:val="Default"/>
              <w:jc w:val="both"/>
              <w:rPr>
                <w:rFonts w:ascii="Calibri" w:hAnsi="Calibri" w:cs="Calibri"/>
                <w:sz w:val="22"/>
                <w:szCs w:val="22"/>
              </w:rPr>
            </w:pPr>
          </w:p>
        </w:tc>
      </w:tr>
      <w:tr w:rsidR="00473CC5" w:rsidRPr="000D1B0D" w:rsidTr="007663C8">
        <w:tc>
          <w:tcPr>
            <w:tcW w:w="2103" w:type="dxa"/>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7977" w:type="dxa"/>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7663C8">
        <w:tc>
          <w:tcPr>
            <w:tcW w:w="2103" w:type="dxa"/>
            <w:shd w:val="clear" w:color="auto" w:fill="auto"/>
          </w:tcPr>
          <w:p w:rsidR="007E1C2F" w:rsidRPr="000D1B0D" w:rsidRDefault="007E1C2F" w:rsidP="008E6240">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tc>
        <w:tc>
          <w:tcPr>
            <w:tcW w:w="7977" w:type="dxa"/>
            <w:shd w:val="clear" w:color="auto" w:fill="auto"/>
          </w:tcPr>
          <w:p w:rsidR="00246EFA" w:rsidRPr="00EA2734" w:rsidRDefault="000C416B" w:rsidP="00D2303C">
            <w:pPr>
              <w:pStyle w:val="Default"/>
              <w:jc w:val="both"/>
              <w:rPr>
                <w:rFonts w:ascii="Calibri" w:hAnsi="Calibri" w:cs="Calibri"/>
                <w:sz w:val="20"/>
                <w:szCs w:val="20"/>
              </w:rPr>
            </w:pPr>
            <w:r w:rsidRPr="00EA2734">
              <w:rPr>
                <w:rFonts w:ascii="Calibri" w:hAnsi="Calibri" w:cs="Calibri"/>
                <w:bCs/>
                <w:sz w:val="22"/>
                <w:szCs w:val="22"/>
              </w:rPr>
              <w:t xml:space="preserve">The dashboards associated with them </w:t>
            </w:r>
            <w:proofErr w:type="gramStart"/>
            <w:r w:rsidRPr="00EA2734">
              <w:rPr>
                <w:rFonts w:ascii="Calibri" w:hAnsi="Calibri" w:cs="Calibri"/>
                <w:bCs/>
                <w:sz w:val="22"/>
                <w:szCs w:val="22"/>
              </w:rPr>
              <w:t>are managed</w:t>
            </w:r>
            <w:proofErr w:type="gramEnd"/>
            <w:r w:rsidRPr="00EA2734">
              <w:rPr>
                <w:rFonts w:ascii="Calibri" w:hAnsi="Calibri" w:cs="Calibri"/>
                <w:bCs/>
                <w:sz w:val="22"/>
                <w:szCs w:val="22"/>
              </w:rPr>
              <w:t xml:space="preserve"> via the Delivery Assurance Commi</w:t>
            </w:r>
            <w:r w:rsidR="00D2303C">
              <w:rPr>
                <w:rFonts w:ascii="Calibri" w:hAnsi="Calibri" w:cs="Calibri"/>
                <w:bCs/>
                <w:sz w:val="22"/>
                <w:szCs w:val="22"/>
              </w:rPr>
              <w:t xml:space="preserve">ttee and </w:t>
            </w:r>
            <w:r w:rsidRPr="00EA2734">
              <w:rPr>
                <w:rFonts w:ascii="Calibri" w:hAnsi="Calibri" w:cs="Calibri"/>
                <w:bCs/>
                <w:sz w:val="22"/>
                <w:szCs w:val="22"/>
              </w:rPr>
              <w:t xml:space="preserve">the </w:t>
            </w:r>
            <w:r w:rsidR="00D2303C">
              <w:rPr>
                <w:rFonts w:ascii="Calibri" w:hAnsi="Calibri" w:cs="Calibri"/>
                <w:bCs/>
                <w:sz w:val="22"/>
                <w:szCs w:val="22"/>
              </w:rPr>
              <w:t>Clinical Governance</w:t>
            </w:r>
            <w:r w:rsidRPr="00EA2734">
              <w:rPr>
                <w:rFonts w:ascii="Calibri" w:hAnsi="Calibri" w:cs="Calibri"/>
                <w:bCs/>
                <w:sz w:val="22"/>
                <w:szCs w:val="22"/>
              </w:rPr>
              <w:t xml:space="preserve"> Committee</w:t>
            </w:r>
            <w:r w:rsidR="00D2303C">
              <w:rPr>
                <w:rFonts w:ascii="Calibri" w:hAnsi="Calibri" w:cs="Calibri"/>
                <w:bCs/>
                <w:sz w:val="22"/>
                <w:szCs w:val="22"/>
              </w:rPr>
              <w:t>.</w:t>
            </w:r>
          </w:p>
        </w:tc>
      </w:tr>
      <w:tr w:rsidR="007E1C2F" w:rsidRPr="000D1B0D" w:rsidTr="007663C8">
        <w:tc>
          <w:tcPr>
            <w:tcW w:w="2103" w:type="dxa"/>
            <w:shd w:val="clear" w:color="auto" w:fill="auto"/>
          </w:tcPr>
          <w:p w:rsidR="007E1C2F" w:rsidRPr="000D1B0D" w:rsidRDefault="007E1C2F" w:rsidP="008E6240">
            <w:pPr>
              <w:pStyle w:val="Default"/>
              <w:rPr>
                <w:rFonts w:ascii="Calibri" w:hAnsi="Calibri" w:cs="Calibri"/>
                <w:b/>
                <w:sz w:val="20"/>
                <w:szCs w:val="20"/>
              </w:rPr>
            </w:pPr>
            <w:r w:rsidRPr="000D1B0D">
              <w:rPr>
                <w:rFonts w:ascii="Calibri" w:hAnsi="Calibri" w:cs="Calibri"/>
                <w:b/>
                <w:sz w:val="20"/>
                <w:szCs w:val="20"/>
              </w:rPr>
              <w:t>Legal Implications:</w:t>
            </w:r>
          </w:p>
        </w:tc>
        <w:tc>
          <w:tcPr>
            <w:tcW w:w="7977" w:type="dxa"/>
            <w:shd w:val="clear" w:color="auto" w:fill="auto"/>
          </w:tcPr>
          <w:p w:rsidR="00246EFA" w:rsidRDefault="00EA2734" w:rsidP="00F128DE">
            <w:pPr>
              <w:pStyle w:val="Default"/>
              <w:jc w:val="both"/>
              <w:rPr>
                <w:rFonts w:ascii="Calibri" w:hAnsi="Calibri" w:cs="Calibri"/>
                <w:sz w:val="22"/>
                <w:szCs w:val="22"/>
              </w:rPr>
            </w:pPr>
            <w:r>
              <w:rPr>
                <w:rFonts w:ascii="Calibri" w:hAnsi="Calibri" w:cs="Calibri"/>
                <w:sz w:val="22"/>
                <w:szCs w:val="22"/>
              </w:rPr>
              <w:t>None</w:t>
            </w:r>
          </w:p>
          <w:p w:rsidR="00F128DE" w:rsidRPr="000D1B0D" w:rsidRDefault="00F128DE" w:rsidP="00F128DE">
            <w:pPr>
              <w:pStyle w:val="Default"/>
              <w:jc w:val="both"/>
              <w:rPr>
                <w:rFonts w:ascii="Calibri" w:hAnsi="Calibri" w:cs="Calibri"/>
                <w:sz w:val="20"/>
                <w:szCs w:val="20"/>
              </w:rPr>
            </w:pPr>
          </w:p>
        </w:tc>
      </w:tr>
      <w:tr w:rsidR="007E1C2F" w:rsidRPr="000D1B0D" w:rsidTr="007663C8">
        <w:tc>
          <w:tcPr>
            <w:tcW w:w="2103" w:type="dxa"/>
            <w:shd w:val="clear" w:color="auto" w:fill="auto"/>
          </w:tcPr>
          <w:p w:rsidR="00473CC5" w:rsidRPr="000D1B0D" w:rsidRDefault="00473CC5" w:rsidP="00EA2734">
            <w:pPr>
              <w:pStyle w:val="Default"/>
              <w:rPr>
                <w:rFonts w:ascii="Calibri" w:hAnsi="Calibri" w:cs="Calibri"/>
                <w:b/>
                <w:sz w:val="20"/>
                <w:szCs w:val="20"/>
              </w:rPr>
            </w:pPr>
            <w:r w:rsidRPr="000D1B0D">
              <w:rPr>
                <w:rFonts w:ascii="Calibri" w:hAnsi="Calibri" w:cs="Calibri"/>
                <w:b/>
                <w:sz w:val="20"/>
                <w:szCs w:val="20"/>
              </w:rPr>
              <w:lastRenderedPageBreak/>
              <w:t>Equality Impact Assessment implications:</w:t>
            </w:r>
          </w:p>
        </w:tc>
        <w:tc>
          <w:tcPr>
            <w:tcW w:w="7977" w:type="dxa"/>
            <w:shd w:val="clear" w:color="auto" w:fill="auto"/>
          </w:tcPr>
          <w:p w:rsidR="007E1C2F" w:rsidRPr="00EA2734" w:rsidRDefault="00060076" w:rsidP="000D1B0D">
            <w:pPr>
              <w:pStyle w:val="Default"/>
              <w:jc w:val="both"/>
              <w:rPr>
                <w:rFonts w:ascii="Calibri" w:hAnsi="Calibri" w:cs="Calibri"/>
                <w:sz w:val="22"/>
                <w:szCs w:val="22"/>
              </w:rPr>
            </w:pPr>
            <w:r w:rsidRPr="00EA2734">
              <w:rPr>
                <w:rFonts w:ascii="Calibri" w:hAnsi="Calibri" w:cs="Calibri"/>
                <w:sz w:val="22"/>
                <w:szCs w:val="22"/>
              </w:rPr>
              <w:t xml:space="preserve">An Equality Impact </w:t>
            </w:r>
            <w:r w:rsidR="00473CC5" w:rsidRPr="00EA2734">
              <w:rPr>
                <w:rFonts w:ascii="Calibri" w:hAnsi="Calibri" w:cs="Calibri"/>
                <w:sz w:val="22"/>
                <w:szCs w:val="22"/>
              </w:rPr>
              <w:t xml:space="preserve">Assessment is not required for this report. </w:t>
            </w:r>
          </w:p>
          <w:p w:rsidR="00BB40A8" w:rsidRPr="00BB40A8" w:rsidRDefault="00BB40A8" w:rsidP="000D1B0D">
            <w:pPr>
              <w:pStyle w:val="Default"/>
              <w:jc w:val="both"/>
              <w:rPr>
                <w:rFonts w:ascii="Calibri" w:hAnsi="Calibri" w:cs="Calibri"/>
                <w:i/>
                <w:sz w:val="20"/>
                <w:szCs w:val="20"/>
              </w:rPr>
            </w:pPr>
          </w:p>
          <w:p w:rsidR="00473CC5" w:rsidRPr="000D1B0D" w:rsidRDefault="00473CC5" w:rsidP="00060076">
            <w:pPr>
              <w:pStyle w:val="Default"/>
              <w:jc w:val="both"/>
              <w:rPr>
                <w:rFonts w:ascii="Calibri" w:hAnsi="Calibri" w:cs="Calibri"/>
                <w:sz w:val="20"/>
                <w:szCs w:val="20"/>
              </w:rPr>
            </w:pPr>
          </w:p>
        </w:tc>
      </w:tr>
      <w:tr w:rsidR="00473CC5" w:rsidRPr="000D1B0D" w:rsidTr="007663C8">
        <w:tc>
          <w:tcPr>
            <w:tcW w:w="2103" w:type="dxa"/>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0D1B0D" w:rsidRDefault="00473CC5" w:rsidP="009D4EDC">
            <w:pPr>
              <w:pStyle w:val="Default"/>
              <w:rPr>
                <w:rFonts w:ascii="Calibri" w:hAnsi="Calibri" w:cs="Calibri"/>
                <w:b/>
                <w:sz w:val="20"/>
                <w:szCs w:val="20"/>
              </w:rPr>
            </w:pPr>
          </w:p>
        </w:tc>
        <w:tc>
          <w:tcPr>
            <w:tcW w:w="7977" w:type="dxa"/>
            <w:shd w:val="clear" w:color="auto" w:fill="auto"/>
          </w:tcPr>
          <w:p w:rsidR="00246EFA" w:rsidRPr="000D1B0D" w:rsidRDefault="002A7028" w:rsidP="008E6240">
            <w:pPr>
              <w:pStyle w:val="Default"/>
              <w:jc w:val="both"/>
              <w:rPr>
                <w:rFonts w:ascii="Calibri" w:hAnsi="Calibri" w:cs="Calibri"/>
                <w:sz w:val="20"/>
                <w:szCs w:val="20"/>
              </w:rPr>
            </w:pPr>
            <w:r w:rsidRPr="002A7028">
              <w:rPr>
                <w:rFonts w:ascii="Calibri" w:hAnsi="Calibri" w:cs="Calibri"/>
                <w:sz w:val="22"/>
                <w:szCs w:val="22"/>
              </w:rPr>
              <w:t>There are a number of measures within the Performance Dashboard with a financial implication such as activity and Quality Premium measures, however the detail of these are dealt with separately within the Finance Report.</w:t>
            </w:r>
          </w:p>
        </w:tc>
      </w:tr>
      <w:tr w:rsidR="00473CC5" w:rsidRPr="000D1B0D" w:rsidTr="007663C8">
        <w:tc>
          <w:tcPr>
            <w:tcW w:w="2103" w:type="dxa"/>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0D1B0D" w:rsidRDefault="00473CC5" w:rsidP="009D4EDC">
            <w:pPr>
              <w:pStyle w:val="Default"/>
              <w:rPr>
                <w:rFonts w:ascii="Calibri" w:hAnsi="Calibri" w:cs="Calibri"/>
                <w:b/>
                <w:sz w:val="20"/>
                <w:szCs w:val="20"/>
              </w:rPr>
            </w:pPr>
          </w:p>
        </w:tc>
        <w:tc>
          <w:tcPr>
            <w:tcW w:w="7977" w:type="dxa"/>
            <w:shd w:val="clear" w:color="auto" w:fill="auto"/>
          </w:tcPr>
          <w:p w:rsidR="00246EFA" w:rsidRPr="00EA2734" w:rsidRDefault="000C416B" w:rsidP="00920869">
            <w:pPr>
              <w:pStyle w:val="Default"/>
              <w:jc w:val="both"/>
              <w:rPr>
                <w:rFonts w:ascii="Calibri" w:hAnsi="Calibri" w:cs="Calibri"/>
                <w:sz w:val="20"/>
                <w:szCs w:val="20"/>
              </w:rPr>
            </w:pPr>
            <w:r w:rsidRPr="00EA2734">
              <w:rPr>
                <w:rFonts w:ascii="Calibri" w:hAnsi="Calibri" w:cs="Calibri"/>
                <w:sz w:val="22"/>
                <w:szCs w:val="22"/>
              </w:rPr>
              <w:t xml:space="preserve">Quality implications </w:t>
            </w:r>
            <w:proofErr w:type="gramStart"/>
            <w:r w:rsidRPr="00EA2734">
              <w:rPr>
                <w:rFonts w:ascii="Calibri" w:hAnsi="Calibri" w:cs="Calibri"/>
                <w:sz w:val="22"/>
                <w:szCs w:val="22"/>
              </w:rPr>
              <w:t>are managed</w:t>
            </w:r>
            <w:proofErr w:type="gramEnd"/>
            <w:r w:rsidRPr="00EA2734">
              <w:rPr>
                <w:rFonts w:ascii="Calibri" w:hAnsi="Calibri" w:cs="Calibri"/>
                <w:sz w:val="22"/>
                <w:szCs w:val="22"/>
              </w:rPr>
              <w:t xml:space="preserve"> by the </w:t>
            </w:r>
            <w:r w:rsidR="00920869">
              <w:rPr>
                <w:rFonts w:ascii="Calibri" w:hAnsi="Calibri" w:cs="Calibri"/>
                <w:sz w:val="22"/>
                <w:szCs w:val="22"/>
              </w:rPr>
              <w:t>Clinical Governance C</w:t>
            </w:r>
            <w:r w:rsidRPr="00EA2734">
              <w:rPr>
                <w:rFonts w:ascii="Calibri" w:hAnsi="Calibri" w:cs="Calibri"/>
                <w:sz w:val="22"/>
                <w:szCs w:val="22"/>
              </w:rPr>
              <w:t>ommittee</w:t>
            </w:r>
            <w:r w:rsidR="00DB0F5A">
              <w:rPr>
                <w:rFonts w:ascii="Calibri" w:hAnsi="Calibri" w:cs="Calibri"/>
                <w:sz w:val="22"/>
                <w:szCs w:val="22"/>
              </w:rPr>
              <w:t xml:space="preserve"> and DAC</w:t>
            </w:r>
            <w:r w:rsidRPr="00EA2734">
              <w:rPr>
                <w:rFonts w:ascii="Calibri" w:hAnsi="Calibri" w:cs="Calibri"/>
                <w:sz w:val="22"/>
                <w:szCs w:val="22"/>
              </w:rPr>
              <w:t xml:space="preserve"> and </w:t>
            </w:r>
            <w:r w:rsidR="00DB0F5A">
              <w:rPr>
                <w:rFonts w:ascii="Calibri" w:hAnsi="Calibri" w:cs="Calibri"/>
                <w:sz w:val="22"/>
                <w:szCs w:val="22"/>
              </w:rPr>
              <w:t xml:space="preserve">are </w:t>
            </w:r>
            <w:r w:rsidRPr="00EA2734">
              <w:rPr>
                <w:rFonts w:ascii="Calibri" w:hAnsi="Calibri" w:cs="Calibri"/>
                <w:sz w:val="22"/>
                <w:szCs w:val="22"/>
              </w:rPr>
              <w:t>escalated within the main body of this report</w:t>
            </w:r>
            <w:r w:rsidR="00EA2734" w:rsidRPr="00EA2734">
              <w:rPr>
                <w:rFonts w:ascii="Calibri" w:hAnsi="Calibri" w:cs="Calibri"/>
                <w:sz w:val="22"/>
                <w:szCs w:val="22"/>
              </w:rPr>
              <w:t>.</w:t>
            </w:r>
          </w:p>
        </w:tc>
      </w:tr>
      <w:tr w:rsidR="009D4EDC" w:rsidRPr="000D1B0D" w:rsidTr="007663C8">
        <w:tc>
          <w:tcPr>
            <w:tcW w:w="2103" w:type="dxa"/>
            <w:shd w:val="clear" w:color="auto" w:fill="auto"/>
          </w:tcPr>
          <w:p w:rsidR="009D4EDC" w:rsidRPr="000D1B0D" w:rsidRDefault="009D4EDC" w:rsidP="00EA2734">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tc>
        <w:tc>
          <w:tcPr>
            <w:tcW w:w="7977" w:type="dxa"/>
            <w:shd w:val="clear" w:color="auto" w:fill="auto"/>
          </w:tcPr>
          <w:p w:rsidR="00246EFA" w:rsidRPr="00E61AF0" w:rsidRDefault="00060076" w:rsidP="00EA2734">
            <w:pPr>
              <w:pStyle w:val="Default"/>
              <w:jc w:val="both"/>
              <w:rPr>
                <w:rFonts w:ascii="Calibri" w:hAnsi="Calibri" w:cs="Calibri"/>
                <w:i/>
                <w:sz w:val="20"/>
                <w:szCs w:val="20"/>
              </w:rPr>
            </w:pPr>
            <w:r w:rsidRPr="00EA2734">
              <w:rPr>
                <w:rFonts w:ascii="Calibri" w:hAnsi="Calibri" w:cs="Calibri"/>
                <w:sz w:val="22"/>
                <w:szCs w:val="22"/>
              </w:rPr>
              <w:t>N</w:t>
            </w:r>
            <w:r w:rsidR="00EA2734">
              <w:rPr>
                <w:rFonts w:ascii="Calibri" w:hAnsi="Calibri" w:cs="Calibri"/>
                <w:sz w:val="22"/>
                <w:szCs w:val="22"/>
              </w:rPr>
              <w:t>one</w:t>
            </w:r>
          </w:p>
        </w:tc>
      </w:tr>
      <w:tr w:rsidR="00473CC5" w:rsidRPr="000D1B0D" w:rsidTr="007663C8">
        <w:tc>
          <w:tcPr>
            <w:tcW w:w="2103" w:type="dxa"/>
            <w:shd w:val="clear" w:color="auto" w:fill="auto"/>
          </w:tcPr>
          <w:p w:rsidR="00473CC5" w:rsidRPr="000D1B0D" w:rsidRDefault="00473CC5" w:rsidP="00EA2734">
            <w:pPr>
              <w:pStyle w:val="Default"/>
              <w:jc w:val="both"/>
              <w:rPr>
                <w:rFonts w:ascii="Calibri" w:hAnsi="Calibri" w:cs="Calibri"/>
                <w:b/>
                <w:sz w:val="20"/>
                <w:szCs w:val="20"/>
              </w:rPr>
            </w:pPr>
            <w:r w:rsidRPr="000D1B0D">
              <w:rPr>
                <w:rFonts w:ascii="Calibri" w:hAnsi="Calibri" w:cs="Calibri"/>
                <w:b/>
                <w:sz w:val="20"/>
                <w:szCs w:val="20"/>
              </w:rPr>
              <w:t>Engagement Implications:</w:t>
            </w:r>
          </w:p>
        </w:tc>
        <w:tc>
          <w:tcPr>
            <w:tcW w:w="7977" w:type="dxa"/>
            <w:shd w:val="clear" w:color="auto" w:fill="auto"/>
          </w:tcPr>
          <w:p w:rsidR="00246EFA" w:rsidRDefault="00EA2734" w:rsidP="000D1B0D">
            <w:pPr>
              <w:pStyle w:val="Default"/>
              <w:jc w:val="both"/>
              <w:rPr>
                <w:rFonts w:ascii="Calibri" w:hAnsi="Calibri" w:cs="Calibri"/>
                <w:sz w:val="20"/>
                <w:szCs w:val="20"/>
              </w:rPr>
            </w:pPr>
            <w:r>
              <w:rPr>
                <w:rFonts w:ascii="Calibri" w:hAnsi="Calibri" w:cs="Calibri"/>
                <w:sz w:val="22"/>
                <w:szCs w:val="22"/>
              </w:rPr>
              <w:t>None</w:t>
            </w:r>
          </w:p>
          <w:p w:rsidR="00246EFA" w:rsidRPr="000D1B0D" w:rsidRDefault="00246EFA" w:rsidP="000D1B0D">
            <w:pPr>
              <w:pStyle w:val="Default"/>
              <w:jc w:val="both"/>
              <w:rPr>
                <w:rFonts w:ascii="Calibri" w:hAnsi="Calibri" w:cs="Calibri"/>
                <w:sz w:val="20"/>
                <w:szCs w:val="20"/>
              </w:rPr>
            </w:pPr>
          </w:p>
        </w:tc>
      </w:tr>
      <w:tr w:rsidR="00246EFA" w:rsidRPr="000D1B0D" w:rsidTr="007663C8">
        <w:trPr>
          <w:trHeight w:val="86"/>
        </w:trPr>
        <w:tc>
          <w:tcPr>
            <w:tcW w:w="2103" w:type="dxa"/>
            <w:shd w:val="clear" w:color="auto" w:fill="D9D9D9"/>
          </w:tcPr>
          <w:p w:rsidR="00246EFA" w:rsidRPr="000D1B0D" w:rsidRDefault="00246EFA" w:rsidP="000D1B0D">
            <w:pPr>
              <w:pStyle w:val="Default"/>
              <w:jc w:val="both"/>
              <w:rPr>
                <w:rFonts w:ascii="Calibri" w:hAnsi="Calibri" w:cs="Calibri"/>
                <w:b/>
                <w:sz w:val="20"/>
                <w:szCs w:val="20"/>
              </w:rPr>
            </w:pPr>
          </w:p>
        </w:tc>
        <w:tc>
          <w:tcPr>
            <w:tcW w:w="7977" w:type="dxa"/>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7663C8">
        <w:tc>
          <w:tcPr>
            <w:tcW w:w="2103" w:type="dxa"/>
            <w:shd w:val="clear" w:color="auto" w:fill="auto"/>
          </w:tcPr>
          <w:p w:rsidR="007E1C2F" w:rsidRPr="000D1B0D" w:rsidRDefault="007E1C2F" w:rsidP="008E6240">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tc>
        <w:tc>
          <w:tcPr>
            <w:tcW w:w="7977" w:type="dxa"/>
            <w:shd w:val="clear" w:color="auto" w:fill="auto"/>
          </w:tcPr>
          <w:p w:rsidR="00246EFA" w:rsidRPr="000D1B0D" w:rsidRDefault="00EA2734" w:rsidP="008E6240">
            <w:pPr>
              <w:pStyle w:val="Default"/>
              <w:jc w:val="both"/>
              <w:rPr>
                <w:rFonts w:ascii="Calibri" w:hAnsi="Calibri" w:cs="Calibri"/>
                <w:sz w:val="20"/>
                <w:szCs w:val="20"/>
              </w:rPr>
            </w:pPr>
            <w:r w:rsidRPr="00EA2734">
              <w:rPr>
                <w:rFonts w:ascii="Calibri" w:hAnsi="Calibri" w:cs="Calibri"/>
                <w:sz w:val="22"/>
                <w:szCs w:val="22"/>
              </w:rPr>
              <w:t>None</w:t>
            </w:r>
          </w:p>
        </w:tc>
      </w:tr>
      <w:tr w:rsidR="007663C8" w:rsidRPr="000D1B0D" w:rsidTr="007663C8">
        <w:tc>
          <w:tcPr>
            <w:tcW w:w="2103" w:type="dxa"/>
            <w:vMerge w:val="restart"/>
            <w:shd w:val="clear" w:color="auto" w:fill="auto"/>
          </w:tcPr>
          <w:p w:rsidR="007663C8" w:rsidRDefault="007663C8" w:rsidP="000D1B0D">
            <w:pPr>
              <w:pStyle w:val="Default"/>
              <w:jc w:val="both"/>
              <w:rPr>
                <w:rFonts w:ascii="Calibri" w:hAnsi="Calibri" w:cs="Calibri"/>
                <w:b/>
                <w:sz w:val="20"/>
                <w:szCs w:val="20"/>
              </w:rPr>
            </w:pPr>
            <w:r>
              <w:rPr>
                <w:rFonts w:ascii="Calibri" w:hAnsi="Calibri" w:cs="Calibri"/>
                <w:b/>
                <w:sz w:val="20"/>
                <w:szCs w:val="20"/>
              </w:rPr>
              <w:t>Strategic Objectives</w:t>
            </w:r>
          </w:p>
          <w:p w:rsidR="007663C8" w:rsidRPr="007663C8" w:rsidRDefault="007663C8" w:rsidP="000D1B0D">
            <w:pPr>
              <w:pStyle w:val="Default"/>
              <w:jc w:val="both"/>
              <w:rPr>
                <w:rFonts w:ascii="Calibri" w:hAnsi="Calibri" w:cs="Calibri"/>
                <w:i/>
                <w:sz w:val="20"/>
                <w:szCs w:val="20"/>
              </w:rPr>
            </w:pPr>
            <w:r w:rsidRPr="007663C8">
              <w:rPr>
                <w:rFonts w:ascii="Calibri" w:hAnsi="Calibri" w:cs="Calibri"/>
                <w:i/>
                <w:sz w:val="20"/>
                <w:szCs w:val="20"/>
              </w:rPr>
              <w:t>Short summary as to how the report links to the CCG’s strategic objectives</w:t>
            </w:r>
          </w:p>
        </w:tc>
        <w:tc>
          <w:tcPr>
            <w:tcW w:w="7977" w:type="dxa"/>
            <w:shd w:val="clear" w:color="auto" w:fill="auto"/>
          </w:tcPr>
          <w:p w:rsidR="00E61AF0" w:rsidRDefault="007663C8" w:rsidP="00197E49">
            <w:pPr>
              <w:numPr>
                <w:ilvl w:val="0"/>
                <w:numId w:val="1"/>
              </w:numPr>
              <w:autoSpaceDE w:val="0"/>
              <w:autoSpaceDN w:val="0"/>
              <w:ind w:left="199" w:hanging="199"/>
              <w:rPr>
                <w:rFonts w:ascii="Calibri" w:hAnsi="Calibri"/>
                <w:i/>
                <w:sz w:val="22"/>
                <w:szCs w:val="22"/>
              </w:rPr>
            </w:pPr>
            <w:r w:rsidRPr="002A7028">
              <w:rPr>
                <w:rFonts w:ascii="Calibri" w:hAnsi="Calibri"/>
                <w:i/>
                <w:sz w:val="22"/>
                <w:szCs w:val="22"/>
              </w:rPr>
              <w:t>Sustainable Services</w:t>
            </w:r>
          </w:p>
          <w:p w:rsidR="008E6240" w:rsidRPr="002A7028" w:rsidRDefault="008E6240" w:rsidP="008E6240">
            <w:pPr>
              <w:autoSpaceDE w:val="0"/>
              <w:autoSpaceDN w:val="0"/>
              <w:ind w:left="199"/>
              <w:rPr>
                <w:rFonts w:ascii="Calibri" w:hAnsi="Calibri"/>
                <w:i/>
                <w:sz w:val="22"/>
                <w:szCs w:val="22"/>
              </w:rPr>
            </w:pPr>
          </w:p>
          <w:p w:rsidR="007663C8" w:rsidRPr="002A7028" w:rsidRDefault="00D2303C" w:rsidP="00D2303C">
            <w:pPr>
              <w:autoSpaceDE w:val="0"/>
              <w:autoSpaceDN w:val="0"/>
              <w:rPr>
                <w:rFonts w:ascii="Calibri" w:hAnsi="Calibri" w:cs="Calibri"/>
                <w:i/>
                <w:sz w:val="22"/>
                <w:szCs w:val="22"/>
              </w:rPr>
            </w:pPr>
            <w:r>
              <w:rPr>
                <w:rFonts w:ascii="Calibri" w:hAnsi="Calibri"/>
                <w:sz w:val="22"/>
                <w:szCs w:val="22"/>
              </w:rPr>
              <w:t>The performance and</w:t>
            </w:r>
            <w:r w:rsidR="002A7028" w:rsidRPr="002A7028">
              <w:rPr>
                <w:rFonts w:ascii="Calibri" w:hAnsi="Calibri"/>
                <w:sz w:val="22"/>
                <w:szCs w:val="22"/>
              </w:rPr>
              <w:t xml:space="preserve"> quality dashboards contain a number of national and local measures that support this objective.</w:t>
            </w:r>
            <w:r w:rsidR="007663C8" w:rsidRPr="002A7028">
              <w:rPr>
                <w:rFonts w:ascii="Calibri" w:hAnsi="Calibri"/>
                <w:i/>
                <w:sz w:val="22"/>
                <w:szCs w:val="22"/>
              </w:rPr>
              <w:t xml:space="preserve"> </w:t>
            </w:r>
          </w:p>
        </w:tc>
      </w:tr>
      <w:tr w:rsidR="007663C8" w:rsidRPr="000D1B0D" w:rsidTr="007663C8">
        <w:tc>
          <w:tcPr>
            <w:tcW w:w="2103" w:type="dxa"/>
            <w:vMerge/>
            <w:shd w:val="clear" w:color="auto" w:fill="auto"/>
          </w:tcPr>
          <w:p w:rsidR="007663C8" w:rsidRPr="000D1B0D" w:rsidRDefault="007663C8" w:rsidP="000D1B0D">
            <w:pPr>
              <w:pStyle w:val="Default"/>
              <w:jc w:val="both"/>
              <w:rPr>
                <w:rFonts w:ascii="Calibri" w:hAnsi="Calibri" w:cs="Calibri"/>
                <w:b/>
                <w:sz w:val="20"/>
                <w:szCs w:val="20"/>
              </w:rPr>
            </w:pPr>
          </w:p>
        </w:tc>
        <w:tc>
          <w:tcPr>
            <w:tcW w:w="7977" w:type="dxa"/>
            <w:shd w:val="clear" w:color="auto" w:fill="auto"/>
          </w:tcPr>
          <w:p w:rsidR="007663C8" w:rsidRDefault="007663C8" w:rsidP="00197E49">
            <w:pPr>
              <w:pStyle w:val="Default"/>
              <w:numPr>
                <w:ilvl w:val="0"/>
                <w:numId w:val="1"/>
              </w:numPr>
              <w:jc w:val="both"/>
              <w:rPr>
                <w:rFonts w:ascii="Calibri" w:hAnsi="Calibri"/>
                <w:i/>
                <w:sz w:val="22"/>
                <w:szCs w:val="22"/>
              </w:rPr>
            </w:pPr>
            <w:r w:rsidRPr="002A7028">
              <w:rPr>
                <w:rFonts w:ascii="Calibri" w:hAnsi="Calibri"/>
                <w:i/>
                <w:sz w:val="22"/>
                <w:szCs w:val="22"/>
              </w:rPr>
              <w:t>Empowering People</w:t>
            </w:r>
          </w:p>
          <w:p w:rsidR="008E6240" w:rsidRPr="002A7028" w:rsidRDefault="008E6240" w:rsidP="008E6240">
            <w:pPr>
              <w:pStyle w:val="Default"/>
              <w:ind w:left="360"/>
              <w:jc w:val="both"/>
              <w:rPr>
                <w:rFonts w:ascii="Calibri" w:hAnsi="Calibri"/>
                <w:i/>
                <w:sz w:val="22"/>
                <w:szCs w:val="22"/>
              </w:rPr>
            </w:pPr>
          </w:p>
          <w:p w:rsidR="007663C8" w:rsidRPr="002A7028" w:rsidRDefault="00D2303C" w:rsidP="00D2303C">
            <w:pPr>
              <w:autoSpaceDE w:val="0"/>
              <w:autoSpaceDN w:val="0"/>
              <w:rPr>
                <w:rFonts w:ascii="Calibri" w:hAnsi="Calibri" w:cs="Calibri"/>
                <w:i/>
                <w:sz w:val="22"/>
                <w:szCs w:val="22"/>
              </w:rPr>
            </w:pPr>
            <w:r>
              <w:rPr>
                <w:rFonts w:ascii="Calibri" w:hAnsi="Calibri"/>
                <w:sz w:val="22"/>
                <w:szCs w:val="22"/>
              </w:rPr>
              <w:t>The performance and</w:t>
            </w:r>
            <w:r w:rsidR="002A7028" w:rsidRPr="002A7028">
              <w:rPr>
                <w:rFonts w:ascii="Calibri" w:hAnsi="Calibri"/>
                <w:sz w:val="22"/>
                <w:szCs w:val="22"/>
              </w:rPr>
              <w:t xml:space="preserve"> quality dashboards contain a number of national and local measures that support this objective.</w:t>
            </w:r>
          </w:p>
        </w:tc>
      </w:tr>
      <w:tr w:rsidR="007663C8" w:rsidRPr="000D1B0D" w:rsidTr="007663C8">
        <w:tc>
          <w:tcPr>
            <w:tcW w:w="2103" w:type="dxa"/>
            <w:vMerge/>
            <w:shd w:val="clear" w:color="auto" w:fill="auto"/>
          </w:tcPr>
          <w:p w:rsidR="007663C8" w:rsidRPr="000D1B0D" w:rsidRDefault="007663C8" w:rsidP="000D1B0D">
            <w:pPr>
              <w:pStyle w:val="Default"/>
              <w:jc w:val="both"/>
              <w:rPr>
                <w:rFonts w:ascii="Calibri" w:hAnsi="Calibri" w:cs="Calibri"/>
                <w:b/>
                <w:sz w:val="20"/>
                <w:szCs w:val="20"/>
              </w:rPr>
            </w:pPr>
          </w:p>
        </w:tc>
        <w:tc>
          <w:tcPr>
            <w:tcW w:w="7977" w:type="dxa"/>
            <w:shd w:val="clear" w:color="auto" w:fill="auto"/>
          </w:tcPr>
          <w:p w:rsidR="007663C8" w:rsidRDefault="007663C8" w:rsidP="00197E49">
            <w:pPr>
              <w:pStyle w:val="Default"/>
              <w:numPr>
                <w:ilvl w:val="0"/>
                <w:numId w:val="1"/>
              </w:numPr>
              <w:jc w:val="both"/>
              <w:rPr>
                <w:rFonts w:ascii="Calibri" w:hAnsi="Calibri"/>
                <w:i/>
                <w:sz w:val="22"/>
                <w:szCs w:val="22"/>
              </w:rPr>
            </w:pPr>
            <w:r w:rsidRPr="002A7028">
              <w:rPr>
                <w:rFonts w:ascii="Calibri" w:hAnsi="Calibri"/>
                <w:i/>
                <w:sz w:val="22"/>
                <w:szCs w:val="22"/>
              </w:rPr>
              <w:t>Supporting Communities</w:t>
            </w:r>
          </w:p>
          <w:p w:rsidR="008E6240" w:rsidRDefault="008E6240" w:rsidP="008E6240">
            <w:pPr>
              <w:pStyle w:val="Default"/>
              <w:ind w:left="360"/>
              <w:jc w:val="both"/>
              <w:rPr>
                <w:rFonts w:ascii="Calibri" w:hAnsi="Calibri"/>
                <w:i/>
                <w:sz w:val="22"/>
                <w:szCs w:val="22"/>
              </w:rPr>
            </w:pPr>
          </w:p>
          <w:p w:rsidR="007663C8" w:rsidRPr="002A7028" w:rsidRDefault="00D2303C" w:rsidP="002A7028">
            <w:pPr>
              <w:autoSpaceDE w:val="0"/>
              <w:autoSpaceDN w:val="0"/>
              <w:rPr>
                <w:rFonts w:ascii="Calibri" w:hAnsi="Calibri" w:cs="Calibri"/>
                <w:i/>
                <w:sz w:val="22"/>
                <w:szCs w:val="22"/>
              </w:rPr>
            </w:pPr>
            <w:r>
              <w:rPr>
                <w:rFonts w:ascii="Calibri" w:hAnsi="Calibri"/>
                <w:sz w:val="22"/>
                <w:szCs w:val="22"/>
              </w:rPr>
              <w:t>The performance and</w:t>
            </w:r>
            <w:r w:rsidRPr="002A7028">
              <w:rPr>
                <w:rFonts w:ascii="Calibri" w:hAnsi="Calibri"/>
                <w:sz w:val="22"/>
                <w:szCs w:val="22"/>
              </w:rPr>
              <w:t xml:space="preserve"> quality dashboards contain a number of national and local measures that support this objective.</w:t>
            </w:r>
          </w:p>
        </w:tc>
      </w:tr>
      <w:tr w:rsidR="007663C8" w:rsidRPr="000D1B0D" w:rsidTr="007663C8">
        <w:tc>
          <w:tcPr>
            <w:tcW w:w="2103" w:type="dxa"/>
            <w:vMerge/>
            <w:shd w:val="clear" w:color="auto" w:fill="auto"/>
          </w:tcPr>
          <w:p w:rsidR="007663C8" w:rsidRPr="000D1B0D" w:rsidRDefault="007663C8" w:rsidP="000D1B0D">
            <w:pPr>
              <w:pStyle w:val="Default"/>
              <w:jc w:val="both"/>
              <w:rPr>
                <w:rFonts w:ascii="Calibri" w:hAnsi="Calibri" w:cs="Calibri"/>
                <w:b/>
                <w:sz w:val="20"/>
                <w:szCs w:val="20"/>
              </w:rPr>
            </w:pPr>
          </w:p>
        </w:tc>
        <w:tc>
          <w:tcPr>
            <w:tcW w:w="7977" w:type="dxa"/>
            <w:shd w:val="clear" w:color="auto" w:fill="auto"/>
          </w:tcPr>
          <w:p w:rsidR="007663C8" w:rsidRDefault="007663C8" w:rsidP="00197E49">
            <w:pPr>
              <w:numPr>
                <w:ilvl w:val="0"/>
                <w:numId w:val="1"/>
              </w:numPr>
              <w:autoSpaceDE w:val="0"/>
              <w:autoSpaceDN w:val="0"/>
              <w:rPr>
                <w:rFonts w:ascii="Calibri" w:hAnsi="Calibri"/>
                <w:i/>
                <w:sz w:val="22"/>
                <w:szCs w:val="22"/>
              </w:rPr>
            </w:pPr>
            <w:r w:rsidRPr="002A7028">
              <w:rPr>
                <w:rFonts w:ascii="Calibri" w:hAnsi="Calibri"/>
                <w:i/>
                <w:sz w:val="22"/>
                <w:szCs w:val="22"/>
              </w:rPr>
              <w:t>Delivering a fit for purpose organisation</w:t>
            </w:r>
          </w:p>
          <w:p w:rsidR="008E6240" w:rsidRPr="002A7028" w:rsidRDefault="008E6240" w:rsidP="008E6240">
            <w:pPr>
              <w:autoSpaceDE w:val="0"/>
              <w:autoSpaceDN w:val="0"/>
              <w:ind w:left="360"/>
              <w:rPr>
                <w:rFonts w:ascii="Calibri" w:hAnsi="Calibri"/>
                <w:i/>
                <w:sz w:val="22"/>
                <w:szCs w:val="22"/>
              </w:rPr>
            </w:pPr>
          </w:p>
          <w:p w:rsidR="007663C8" w:rsidRPr="002A7028" w:rsidRDefault="00D2303C" w:rsidP="002A7028">
            <w:pPr>
              <w:autoSpaceDE w:val="0"/>
              <w:autoSpaceDN w:val="0"/>
              <w:rPr>
                <w:rFonts w:ascii="Calibri" w:hAnsi="Calibri" w:cs="Calibri"/>
                <w:i/>
                <w:sz w:val="22"/>
                <w:szCs w:val="22"/>
              </w:rPr>
            </w:pPr>
            <w:r>
              <w:rPr>
                <w:rFonts w:ascii="Calibri" w:hAnsi="Calibri"/>
                <w:sz w:val="22"/>
                <w:szCs w:val="22"/>
              </w:rPr>
              <w:t>The performance and</w:t>
            </w:r>
            <w:r w:rsidRPr="002A7028">
              <w:rPr>
                <w:rFonts w:ascii="Calibri" w:hAnsi="Calibri"/>
                <w:sz w:val="22"/>
                <w:szCs w:val="22"/>
              </w:rPr>
              <w:t xml:space="preserve"> quality dashboards contain a number of national and local measures that support this objective.</w:t>
            </w:r>
          </w:p>
        </w:tc>
      </w:tr>
      <w:tr w:rsidR="00473CC5" w:rsidRPr="000D1B0D" w:rsidTr="007663C8">
        <w:tc>
          <w:tcPr>
            <w:tcW w:w="2103" w:type="dxa"/>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D1B0D" w:rsidRDefault="00473CC5" w:rsidP="000D1B0D">
            <w:pPr>
              <w:pStyle w:val="Default"/>
              <w:jc w:val="both"/>
              <w:rPr>
                <w:rFonts w:ascii="Calibri" w:hAnsi="Calibri" w:cs="Calibri"/>
                <w:b/>
                <w:sz w:val="20"/>
                <w:szCs w:val="20"/>
              </w:rPr>
            </w:pPr>
          </w:p>
        </w:tc>
        <w:tc>
          <w:tcPr>
            <w:tcW w:w="7977" w:type="dxa"/>
            <w:shd w:val="clear" w:color="auto" w:fill="auto"/>
          </w:tcPr>
          <w:p w:rsidR="00006E07" w:rsidRPr="002A7028" w:rsidRDefault="00EA2734" w:rsidP="00D57250">
            <w:pPr>
              <w:pStyle w:val="Default"/>
              <w:jc w:val="both"/>
              <w:rPr>
                <w:rFonts w:ascii="Calibri" w:hAnsi="Calibri" w:cs="Calibri"/>
                <w:sz w:val="22"/>
                <w:szCs w:val="22"/>
              </w:rPr>
            </w:pPr>
            <w:r w:rsidRPr="002A7028">
              <w:rPr>
                <w:rFonts w:ascii="Calibri" w:hAnsi="Calibri" w:cs="Calibri"/>
                <w:sz w:val="22"/>
                <w:szCs w:val="22"/>
              </w:rPr>
              <w:t xml:space="preserve">The Performance and Quality dashboards contain measures from the NHS Constitution and the performance </w:t>
            </w:r>
            <w:r w:rsidR="00D57250">
              <w:rPr>
                <w:rFonts w:ascii="Calibri" w:hAnsi="Calibri" w:cs="Calibri"/>
                <w:sz w:val="22"/>
                <w:szCs w:val="22"/>
              </w:rPr>
              <w:t xml:space="preserve">and quality </w:t>
            </w:r>
            <w:r w:rsidR="003375B0" w:rsidRPr="002A7028">
              <w:rPr>
                <w:rFonts w:ascii="Calibri" w:hAnsi="Calibri" w:cs="Calibri"/>
                <w:sz w:val="22"/>
                <w:szCs w:val="22"/>
              </w:rPr>
              <w:t>associated with</w:t>
            </w:r>
            <w:r w:rsidRPr="002A7028">
              <w:rPr>
                <w:rFonts w:ascii="Calibri" w:hAnsi="Calibri" w:cs="Calibri"/>
                <w:sz w:val="22"/>
                <w:szCs w:val="22"/>
              </w:rPr>
              <w:t xml:space="preserve"> these </w:t>
            </w:r>
            <w:proofErr w:type="gramStart"/>
            <w:r w:rsidRPr="002A7028">
              <w:rPr>
                <w:rFonts w:ascii="Calibri" w:hAnsi="Calibri" w:cs="Calibri"/>
                <w:sz w:val="22"/>
                <w:szCs w:val="22"/>
              </w:rPr>
              <w:t xml:space="preserve">are managed and assured through the </w:t>
            </w:r>
            <w:r w:rsidR="00D57250">
              <w:rPr>
                <w:rFonts w:ascii="Calibri" w:hAnsi="Calibri" w:cs="Calibri"/>
                <w:bCs/>
                <w:sz w:val="22"/>
                <w:szCs w:val="22"/>
              </w:rPr>
              <w:t xml:space="preserve">Delivery Assurance Committee and </w:t>
            </w:r>
            <w:r w:rsidR="003375B0" w:rsidRPr="002A7028">
              <w:rPr>
                <w:rFonts w:ascii="Calibri" w:hAnsi="Calibri" w:cs="Calibri"/>
                <w:bCs/>
                <w:sz w:val="22"/>
                <w:szCs w:val="22"/>
              </w:rPr>
              <w:t xml:space="preserve">the </w:t>
            </w:r>
            <w:r w:rsidR="00D57250">
              <w:rPr>
                <w:rFonts w:ascii="Calibri" w:hAnsi="Calibri" w:cs="Calibri"/>
                <w:bCs/>
                <w:sz w:val="22"/>
                <w:szCs w:val="22"/>
              </w:rPr>
              <w:t>Clinical Governance Committee</w:t>
            </w:r>
            <w:proofErr w:type="gramEnd"/>
            <w:r w:rsidR="003375B0" w:rsidRPr="002A7028">
              <w:rPr>
                <w:rFonts w:ascii="Calibri" w:hAnsi="Calibri" w:cs="Calibri"/>
                <w:bCs/>
                <w:sz w:val="22"/>
                <w:szCs w:val="22"/>
              </w:rPr>
              <w:t>.</w:t>
            </w:r>
          </w:p>
        </w:tc>
      </w:tr>
      <w:tr w:rsidR="007E1C2F" w:rsidRPr="000D1B0D" w:rsidTr="007663C8">
        <w:tc>
          <w:tcPr>
            <w:tcW w:w="2103" w:type="dxa"/>
            <w:shd w:val="clear" w:color="auto" w:fill="auto"/>
          </w:tcPr>
          <w:p w:rsidR="007E1C2F" w:rsidRPr="000D1B0D" w:rsidRDefault="007E1C2F" w:rsidP="00F128DE">
            <w:pPr>
              <w:pStyle w:val="Default"/>
              <w:rPr>
                <w:rFonts w:ascii="Calibri" w:hAnsi="Calibri" w:cs="Calibri"/>
                <w:b/>
                <w:sz w:val="20"/>
                <w:szCs w:val="20"/>
              </w:rPr>
            </w:pPr>
            <w:r w:rsidRPr="000D1B0D">
              <w:rPr>
                <w:rFonts w:ascii="Calibri" w:hAnsi="Calibri" w:cs="Calibri"/>
                <w:b/>
                <w:sz w:val="20"/>
                <w:szCs w:val="20"/>
              </w:rPr>
              <w:t>Report exempt from Public Disclosure</w:t>
            </w:r>
          </w:p>
        </w:tc>
        <w:tc>
          <w:tcPr>
            <w:tcW w:w="7977" w:type="dxa"/>
            <w:shd w:val="clear" w:color="auto" w:fill="auto"/>
          </w:tcPr>
          <w:p w:rsidR="007E1C2F" w:rsidRPr="00060076" w:rsidRDefault="007E1C2F" w:rsidP="000D1B0D">
            <w:pPr>
              <w:pStyle w:val="Default"/>
              <w:jc w:val="both"/>
              <w:rPr>
                <w:sz w:val="20"/>
                <w:szCs w:val="20"/>
              </w:rPr>
            </w:pPr>
            <w:r w:rsidRPr="00060076">
              <w:rPr>
                <w:sz w:val="20"/>
                <w:szCs w:val="20"/>
              </w:rPr>
              <w:t>No</w:t>
            </w:r>
          </w:p>
        </w:tc>
      </w:tr>
    </w:tbl>
    <w:p w:rsidR="009D4EDC" w:rsidRDefault="009D4EDC" w:rsidP="00D3211A">
      <w:pPr>
        <w:pStyle w:val="Default"/>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762"/>
      </w:tblGrid>
      <w:tr w:rsidR="007E1C2F" w:rsidRPr="000D1B0D" w:rsidTr="00B658DC">
        <w:tc>
          <w:tcPr>
            <w:tcW w:w="2127" w:type="dxa"/>
            <w:shd w:val="clear" w:color="auto" w:fill="auto"/>
          </w:tcPr>
          <w:p w:rsidR="007E1C2F" w:rsidRPr="000D1B0D" w:rsidRDefault="007E1C2F" w:rsidP="00FB449C">
            <w:pPr>
              <w:pStyle w:val="Default"/>
              <w:rPr>
                <w:rFonts w:ascii="Calibri" w:hAnsi="Calibri" w:cs="Calibri"/>
                <w:b/>
                <w:sz w:val="20"/>
                <w:szCs w:val="20"/>
              </w:rPr>
            </w:pPr>
            <w:r w:rsidRPr="000D1B0D">
              <w:rPr>
                <w:rFonts w:ascii="Calibri" w:hAnsi="Calibri" w:cs="Calibri"/>
                <w:b/>
                <w:sz w:val="20"/>
                <w:szCs w:val="20"/>
              </w:rPr>
              <w:t>Appendices / attachments</w:t>
            </w:r>
          </w:p>
          <w:p w:rsidR="007E1C2F" w:rsidRPr="000D1B0D" w:rsidRDefault="007E1C2F" w:rsidP="000D1B0D">
            <w:pPr>
              <w:pStyle w:val="Default"/>
              <w:jc w:val="both"/>
              <w:rPr>
                <w:rFonts w:ascii="Calibri" w:hAnsi="Calibri" w:cs="Calibri"/>
                <w:sz w:val="20"/>
                <w:szCs w:val="20"/>
              </w:rPr>
            </w:pPr>
          </w:p>
        </w:tc>
        <w:tc>
          <w:tcPr>
            <w:tcW w:w="7938" w:type="dxa"/>
            <w:shd w:val="clear" w:color="auto" w:fill="auto"/>
          </w:tcPr>
          <w:p w:rsidR="00E61AF0" w:rsidRDefault="008A397F" w:rsidP="008A397F">
            <w:pPr>
              <w:pStyle w:val="Default"/>
              <w:tabs>
                <w:tab w:val="left" w:pos="3392"/>
              </w:tabs>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p>
          <w:bookmarkStart w:id="1" w:name="_MON_1614063530"/>
          <w:bookmarkEnd w:id="1"/>
          <w:p w:rsidR="00E61AF0" w:rsidRPr="000D1B0D" w:rsidRDefault="00A85A8D" w:rsidP="000D1B0D">
            <w:pPr>
              <w:pStyle w:val="Default"/>
              <w:jc w:val="both"/>
              <w:rPr>
                <w:rFonts w:ascii="Calibri" w:hAnsi="Calibri" w:cs="Calibri"/>
                <w:sz w:val="20"/>
                <w:szCs w:val="20"/>
              </w:rPr>
            </w:pPr>
            <w:r>
              <w:rPr>
                <w:rFonts w:ascii="Calibri" w:hAnsi="Calibri" w:cs="Calibri"/>
                <w:sz w:val="20"/>
                <w:szCs w:val="20"/>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11" o:title=""/>
                </v:shape>
                <o:OLEObject Type="Embed" ProgID="Word.Document.8" ShapeID="_x0000_i1025" DrawAspect="Icon" ObjectID="_1615190314" r:id="rId12">
                  <o:FieldCodes>\s</o:FieldCodes>
                </o:OLEObject>
              </w:object>
            </w:r>
            <w:r>
              <w:rPr>
                <w:rFonts w:ascii="Calibri" w:hAnsi="Calibri" w:cs="Calibri"/>
                <w:sz w:val="20"/>
                <w:szCs w:val="20"/>
              </w:rPr>
              <w:object w:dxaOrig="1534" w:dyaOrig="997">
                <v:shape id="_x0000_i1026" type="#_x0000_t75" style="width:76.7pt;height:49.85pt" o:ole="">
                  <v:imagedata r:id="rId13" o:title=""/>
                </v:shape>
                <o:OLEObject Type="Embed" ProgID="PowerPoint.Show.12" ShapeID="_x0000_i1026" DrawAspect="Icon" ObjectID="_1615190315" r:id="rId14"/>
              </w:object>
            </w:r>
          </w:p>
        </w:tc>
      </w:tr>
    </w:tbl>
    <w:p w:rsidR="00893409" w:rsidRDefault="00893409" w:rsidP="00D3211A">
      <w:pPr>
        <w:pStyle w:val="Default"/>
        <w:jc w:val="both"/>
        <w:rPr>
          <w:rFonts w:ascii="Calibri" w:hAnsi="Calibri" w:cs="Calibri"/>
          <w:sz w:val="20"/>
          <w:szCs w:val="20"/>
        </w:rPr>
      </w:pPr>
    </w:p>
    <w:p w:rsidR="00AF2374" w:rsidRDefault="00AF2374" w:rsidP="00D3211A">
      <w:pPr>
        <w:pStyle w:val="Default"/>
        <w:jc w:val="both"/>
        <w:rPr>
          <w:rFonts w:ascii="Calibri" w:hAnsi="Calibri" w:cs="Calibri"/>
          <w:sz w:val="20"/>
          <w:szCs w:val="20"/>
        </w:rPr>
      </w:pPr>
    </w:p>
    <w:p w:rsidR="00AF2374" w:rsidRDefault="00AF2374" w:rsidP="00D3211A">
      <w:pPr>
        <w:pStyle w:val="Default"/>
        <w:jc w:val="both"/>
        <w:rPr>
          <w:rFonts w:ascii="Calibri" w:hAnsi="Calibri" w:cs="Calibri"/>
          <w:sz w:val="20"/>
          <w:szCs w:val="20"/>
        </w:rPr>
      </w:pPr>
    </w:p>
    <w:p w:rsidR="00AF2374" w:rsidRDefault="00AF2374" w:rsidP="00D3211A">
      <w:pPr>
        <w:pStyle w:val="Default"/>
        <w:jc w:val="both"/>
        <w:rPr>
          <w:rFonts w:ascii="Calibri" w:hAnsi="Calibri" w:cs="Calibri"/>
          <w:sz w:val="20"/>
          <w:szCs w:val="20"/>
        </w:rPr>
      </w:pPr>
    </w:p>
    <w:p w:rsidR="00AF2374" w:rsidRDefault="00AF2374" w:rsidP="00D3211A">
      <w:pPr>
        <w:pStyle w:val="Default"/>
        <w:jc w:val="both"/>
        <w:rPr>
          <w:rFonts w:ascii="Calibri" w:hAnsi="Calibri" w:cs="Calibri"/>
          <w:sz w:val="20"/>
          <w:szCs w:val="20"/>
        </w:rPr>
      </w:pPr>
    </w:p>
    <w:p w:rsidR="00727B0D" w:rsidRDefault="00727B0D" w:rsidP="00D3211A">
      <w:pPr>
        <w:pStyle w:val="Default"/>
        <w:jc w:val="both"/>
        <w:rPr>
          <w:rFonts w:ascii="Calibri" w:hAnsi="Calibri" w:cs="Calibri"/>
          <w:sz w:val="20"/>
          <w:szCs w:val="20"/>
        </w:rPr>
        <w:sectPr w:rsidR="00727B0D" w:rsidSect="0092546C">
          <w:headerReference w:type="default" r:id="rId15"/>
          <w:footerReference w:type="default" r:id="rId16"/>
          <w:pgSz w:w="11900" w:h="16840"/>
          <w:pgMar w:top="737" w:right="964" w:bottom="567" w:left="964" w:header="0" w:footer="1134" w:gutter="0"/>
          <w:cols w:space="708"/>
        </w:sectPr>
      </w:pPr>
    </w:p>
    <w:p w:rsidR="00737E93" w:rsidRPr="00994A24" w:rsidRDefault="00737E93" w:rsidP="00737E93">
      <w:pPr>
        <w:jc w:val="center"/>
        <w:rPr>
          <w:rFonts w:ascii="Calibri" w:eastAsia="Verdana" w:hAnsi="Calibri" w:cs="Calibri"/>
          <w:b/>
          <w:color w:val="000000"/>
          <w:sz w:val="40"/>
          <w:szCs w:val="40"/>
        </w:rPr>
      </w:pPr>
      <w:r w:rsidRPr="00994A24">
        <w:rPr>
          <w:rFonts w:ascii="Calibri" w:eastAsia="Verdana" w:hAnsi="Calibri" w:cs="Calibri"/>
          <w:b/>
          <w:color w:val="000000"/>
          <w:sz w:val="40"/>
          <w:szCs w:val="40"/>
        </w:rPr>
        <w:t>Integrated Assurance &amp; Quality Report</w:t>
      </w:r>
    </w:p>
    <w:p w:rsidR="00737E93" w:rsidRPr="00590250" w:rsidRDefault="00737E93" w:rsidP="00737E93">
      <w:pPr>
        <w:jc w:val="center"/>
        <w:rPr>
          <w:rFonts w:ascii="Arial" w:eastAsia="Verdana" w:hAnsi="Arial" w:cs="Arial"/>
          <w:b/>
          <w:color w:val="000000"/>
          <w:sz w:val="20"/>
        </w:rPr>
      </w:pPr>
    </w:p>
    <w:p w:rsidR="00737E93" w:rsidRPr="00971F37" w:rsidRDefault="00737E93" w:rsidP="00737E93">
      <w:pPr>
        <w:rPr>
          <w:rFonts w:ascii="Calibri" w:hAnsi="Calibri" w:cs="Calibri"/>
          <w:szCs w:val="22"/>
        </w:rPr>
      </w:pPr>
      <w:r w:rsidRPr="00971F37">
        <w:rPr>
          <w:rFonts w:ascii="Calibri" w:hAnsi="Calibri" w:cs="Calibri"/>
          <w:b/>
          <w:szCs w:val="22"/>
        </w:rPr>
        <w:t>Introduction</w:t>
      </w:r>
    </w:p>
    <w:p w:rsidR="00737E93" w:rsidRPr="00737E93" w:rsidRDefault="00737E93" w:rsidP="00737E93">
      <w:pPr>
        <w:rPr>
          <w:rFonts w:ascii="Calibri" w:hAnsi="Calibri" w:cs="Calibri"/>
          <w:sz w:val="22"/>
          <w:szCs w:val="22"/>
        </w:rPr>
      </w:pPr>
      <w:r w:rsidRPr="00737E93">
        <w:rPr>
          <w:rFonts w:ascii="Calibri" w:hAnsi="Calibri" w:cs="Calibri"/>
          <w:sz w:val="22"/>
          <w:szCs w:val="22"/>
        </w:rPr>
        <w:t>The dashboards below represent an overview of performance and quality for health and social care services across North East Lincolnshire.</w:t>
      </w:r>
    </w:p>
    <w:p w:rsidR="00737E93" w:rsidRPr="00737E93" w:rsidRDefault="00737E93" w:rsidP="00737E93">
      <w:pPr>
        <w:rPr>
          <w:rFonts w:ascii="Calibri" w:hAnsi="Calibri" w:cs="Calibri"/>
          <w:sz w:val="22"/>
          <w:szCs w:val="22"/>
        </w:rPr>
      </w:pPr>
    </w:p>
    <w:p w:rsidR="00737E93" w:rsidRPr="00737E93" w:rsidRDefault="00737E93" w:rsidP="00B47EA5">
      <w:pPr>
        <w:rPr>
          <w:rFonts w:ascii="Calibri" w:hAnsi="Calibri" w:cs="Calibri"/>
          <w:sz w:val="22"/>
          <w:szCs w:val="22"/>
        </w:rPr>
      </w:pPr>
      <w:r w:rsidRPr="00737E93">
        <w:rPr>
          <w:rFonts w:ascii="Calibri" w:hAnsi="Calibri" w:cs="Calibri"/>
          <w:sz w:val="22"/>
          <w:szCs w:val="22"/>
        </w:rPr>
        <w:t>The performance dashboard consists of six domains and the quality dashboard three domains that incorporate all areas that North East Lincolnshire Clinical Commissioning Group strive to improve on. A judgement has been made of the status for each domain based on the measures and intelligence underpinning them. These judgements try to balance the current position with the expected outcome at the end of the year and weightings with respect to priority. They also represent the local perspective of performance and quality for North East Lincolnshire rather than the performance against the national definition which, on occasion, covers a broader footprint. It should be noted that those issues that have an impact on the CCGs corporate performance assessment will continue to be scrutinised at the Delivery Assurance Committee. The dash</w:t>
      </w:r>
      <w:r w:rsidR="007A6F6F">
        <w:rPr>
          <w:rFonts w:ascii="Calibri" w:hAnsi="Calibri" w:cs="Calibri"/>
          <w:sz w:val="22"/>
          <w:szCs w:val="22"/>
        </w:rPr>
        <w:t xml:space="preserve">boards reflect performance for </w:t>
      </w:r>
      <w:r w:rsidR="005F46EC">
        <w:rPr>
          <w:rFonts w:ascii="Calibri" w:hAnsi="Calibri" w:cs="Calibri"/>
          <w:sz w:val="22"/>
          <w:szCs w:val="22"/>
        </w:rPr>
        <w:t xml:space="preserve">the first </w:t>
      </w:r>
      <w:r w:rsidR="00DD7634">
        <w:rPr>
          <w:rFonts w:ascii="Calibri" w:hAnsi="Calibri" w:cs="Calibri"/>
          <w:sz w:val="22"/>
          <w:szCs w:val="22"/>
        </w:rPr>
        <w:t>ten</w:t>
      </w:r>
      <w:r w:rsidR="005F46EC">
        <w:rPr>
          <w:rFonts w:ascii="Calibri" w:hAnsi="Calibri" w:cs="Calibri"/>
          <w:sz w:val="22"/>
          <w:szCs w:val="22"/>
        </w:rPr>
        <w:t xml:space="preserve"> months of 2018-19</w:t>
      </w:r>
      <w:r w:rsidRPr="00737E93">
        <w:rPr>
          <w:rFonts w:ascii="Calibri" w:hAnsi="Calibri" w:cs="Calibri"/>
          <w:sz w:val="22"/>
          <w:szCs w:val="22"/>
        </w:rPr>
        <w:t>. The Delivery Assurance Committee and Quality Committee, respectively, are asked to make a decision on the final status of the dashboards before reporting to the CCG Partnership Board.  Full exception report summaries are also included for Performance (appendix A) detailing performance of indicators that are underperforming</w:t>
      </w:r>
      <w:r w:rsidR="006F132B">
        <w:rPr>
          <w:rFonts w:ascii="Calibri" w:hAnsi="Calibri" w:cs="Calibri"/>
          <w:sz w:val="22"/>
          <w:szCs w:val="22"/>
        </w:rPr>
        <w:t xml:space="preserve"> and </w:t>
      </w:r>
      <w:r w:rsidR="000976E0" w:rsidRPr="000976E0">
        <w:rPr>
          <w:rFonts w:ascii="Calibri" w:hAnsi="Calibri" w:cs="Calibri"/>
          <w:sz w:val="22"/>
          <w:szCs w:val="22"/>
        </w:rPr>
        <w:t>Provider-level Quality Dashboards</w:t>
      </w:r>
      <w:r w:rsidR="009D5435">
        <w:rPr>
          <w:rFonts w:ascii="Calibri" w:hAnsi="Calibri" w:cs="Calibri"/>
          <w:sz w:val="22"/>
          <w:szCs w:val="22"/>
        </w:rPr>
        <w:t xml:space="preserve"> (appendix B</w:t>
      </w:r>
      <w:r w:rsidR="006F132B">
        <w:rPr>
          <w:rFonts w:ascii="Calibri" w:hAnsi="Calibri" w:cs="Calibri"/>
          <w:sz w:val="22"/>
          <w:szCs w:val="22"/>
        </w:rPr>
        <w:t>).</w:t>
      </w:r>
    </w:p>
    <w:p w:rsidR="00737E93" w:rsidRDefault="00737E93" w:rsidP="008C731B">
      <w:pPr>
        <w:ind w:left="2160"/>
        <w:rPr>
          <w:rFonts w:ascii="Calibri" w:hAnsi="Calibri" w:cs="Calibri"/>
          <w:b/>
          <w:sz w:val="32"/>
          <w:szCs w:val="32"/>
        </w:rPr>
      </w:pPr>
      <w:r>
        <w:rPr>
          <w:rFonts w:ascii="Arial" w:hAnsi="Arial" w:cs="Arial"/>
          <w:b/>
          <w:sz w:val="20"/>
        </w:rPr>
        <w:t xml:space="preserve">         </w:t>
      </w:r>
      <w:r w:rsidRPr="00B47EA5">
        <w:rPr>
          <w:rFonts w:ascii="Arial" w:hAnsi="Arial" w:cs="Arial"/>
          <w:b/>
          <w:sz w:val="32"/>
          <w:szCs w:val="32"/>
        </w:rPr>
        <w:t xml:space="preserve"> </w:t>
      </w:r>
      <w:r w:rsidRPr="00B47EA5">
        <w:rPr>
          <w:rFonts w:ascii="Calibri" w:hAnsi="Calibri" w:cs="Calibri"/>
          <w:b/>
          <w:sz w:val="32"/>
          <w:szCs w:val="32"/>
        </w:rPr>
        <w:t>Performance</w:t>
      </w:r>
      <w:r w:rsidRPr="00FB7EB8">
        <w:rPr>
          <w:rFonts w:ascii="Arial" w:hAnsi="Arial" w:cs="Arial"/>
          <w:b/>
          <w:sz w:val="32"/>
        </w:rPr>
        <w:tab/>
      </w:r>
      <w:r w:rsidRPr="00FB7EB8">
        <w:rPr>
          <w:rFonts w:ascii="Arial" w:hAnsi="Arial" w:cs="Arial"/>
          <w:b/>
          <w:sz w:val="32"/>
        </w:rPr>
        <w:tab/>
      </w:r>
      <w:r w:rsidRPr="00FB7EB8">
        <w:rPr>
          <w:rFonts w:ascii="Arial" w:hAnsi="Arial" w:cs="Arial"/>
          <w:b/>
          <w:sz w:val="32"/>
        </w:rPr>
        <w:tab/>
      </w:r>
      <w:r w:rsidRPr="00FB7EB8">
        <w:rPr>
          <w:rFonts w:ascii="Arial" w:hAnsi="Arial" w:cs="Arial"/>
          <w:b/>
          <w:sz w:val="32"/>
        </w:rPr>
        <w:tab/>
      </w:r>
      <w:r w:rsidRPr="00FB7EB8">
        <w:rPr>
          <w:rFonts w:ascii="Arial" w:hAnsi="Arial" w:cs="Arial"/>
          <w:b/>
          <w:sz w:val="32"/>
        </w:rPr>
        <w:tab/>
      </w:r>
      <w:r w:rsidRPr="00FB7EB8">
        <w:rPr>
          <w:rFonts w:ascii="Arial" w:hAnsi="Arial" w:cs="Arial"/>
          <w:b/>
          <w:sz w:val="32"/>
        </w:rPr>
        <w:tab/>
        <w:t xml:space="preserve">  </w:t>
      </w:r>
      <w:r w:rsidRPr="00FB7EB8">
        <w:rPr>
          <w:rFonts w:ascii="Arial" w:hAnsi="Arial" w:cs="Arial"/>
          <w:b/>
          <w:sz w:val="32"/>
        </w:rPr>
        <w:tab/>
      </w:r>
      <w:r w:rsidR="00EB5BA1">
        <w:rPr>
          <w:rFonts w:ascii="Arial" w:hAnsi="Arial" w:cs="Arial"/>
          <w:b/>
          <w:sz w:val="32"/>
        </w:rPr>
        <w:t xml:space="preserve">   </w:t>
      </w:r>
      <w:r w:rsidRPr="00FB7EB8">
        <w:rPr>
          <w:rFonts w:ascii="Arial" w:hAnsi="Arial" w:cs="Arial"/>
          <w:b/>
          <w:sz w:val="32"/>
        </w:rPr>
        <w:t xml:space="preserve">      </w:t>
      </w:r>
      <w:r>
        <w:rPr>
          <w:rFonts w:ascii="Arial" w:hAnsi="Arial" w:cs="Arial"/>
          <w:b/>
          <w:sz w:val="32"/>
        </w:rPr>
        <w:t xml:space="preserve"> </w:t>
      </w:r>
      <w:r w:rsidRPr="00B47EA5">
        <w:rPr>
          <w:rFonts w:ascii="Calibri" w:hAnsi="Calibri" w:cs="Calibri"/>
          <w:b/>
          <w:sz w:val="32"/>
          <w:szCs w:val="32"/>
        </w:rPr>
        <w:t>Quality</w:t>
      </w:r>
    </w:p>
    <w:p w:rsidR="00282A26" w:rsidRDefault="00D1789C" w:rsidP="00737E93">
      <w:r>
        <w:rPr>
          <w:noProof/>
          <w:lang w:eastAsia="en-GB"/>
        </w:rPr>
        <w:drawing>
          <wp:inline distT="0" distB="0" distL="0" distR="0" wp14:anchorId="5AE1EC31" wp14:editId="42CBAD43">
            <wp:extent cx="4618800" cy="3484800"/>
            <wp:effectExtent l="38100" t="38100" r="29845" b="400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789" t="22711" r="63088" b="14301"/>
                    <a:stretch/>
                  </pic:blipFill>
                  <pic:spPr bwMode="auto">
                    <a:xfrm>
                      <a:off x="0" y="0"/>
                      <a:ext cx="4618800" cy="3484800"/>
                    </a:xfrm>
                    <a:prstGeom prst="rect">
                      <a:avLst/>
                    </a:prstGeom>
                    <a:ln w="38100">
                      <a:solidFill>
                        <a:schemeClr val="bg1">
                          <a:lumMod val="65000"/>
                          <a:lumOff val="0"/>
                        </a:schemeClr>
                      </a:solidFill>
                    </a:ln>
                    <a:extLst>
                      <a:ext uri="{53640926-AAD7-44D8-BBD7-CCE9431645EC}">
                        <a14:shadowObscured xmlns:a14="http://schemas.microsoft.com/office/drawing/2010/main"/>
                      </a:ext>
                    </a:extLst>
                  </pic:spPr>
                </pic:pic>
              </a:graphicData>
            </a:graphic>
          </wp:inline>
        </w:drawing>
      </w:r>
      <w:r w:rsidR="008C731B">
        <w:t xml:space="preserve">  </w:t>
      </w:r>
      <w:r w:rsidR="00282A26">
        <w:t xml:space="preserve">    </w:t>
      </w:r>
      <w:r w:rsidR="0069784F">
        <w:rPr>
          <w:noProof/>
          <w:lang w:eastAsia="en-GB"/>
        </w:rPr>
        <w:drawing>
          <wp:inline distT="0" distB="0" distL="0" distR="0">
            <wp:extent cx="3886200" cy="3400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0645" cy="3404315"/>
                    </a:xfrm>
                    <a:prstGeom prst="rect">
                      <a:avLst/>
                    </a:prstGeom>
                    <a:noFill/>
                    <a:ln>
                      <a:noFill/>
                    </a:ln>
                  </pic:spPr>
                </pic:pic>
              </a:graphicData>
            </a:graphic>
          </wp:inline>
        </w:drawing>
      </w:r>
    </w:p>
    <w:p w:rsidR="00282A26" w:rsidRDefault="00282A26" w:rsidP="00282A26">
      <w:pPr>
        <w:rPr>
          <w:rFonts w:ascii="Arial" w:hAnsi="Arial" w:cs="Arial"/>
          <w:b/>
          <w:i/>
          <w:sz w:val="16"/>
          <w:szCs w:val="16"/>
        </w:rPr>
      </w:pPr>
      <w:r>
        <w:rPr>
          <w:rFonts w:ascii="Arial" w:hAnsi="Arial" w:cs="Arial"/>
          <w:b/>
          <w:i/>
          <w:sz w:val="16"/>
          <w:szCs w:val="16"/>
        </w:rPr>
        <w:t>Please note the star symbol</w:t>
      </w:r>
      <w:r w:rsidRPr="00CB02AC">
        <w:rPr>
          <w:rFonts w:ascii="Arial" w:hAnsi="Arial" w:cs="Arial"/>
          <w:b/>
          <w:i/>
          <w:sz w:val="16"/>
          <w:szCs w:val="16"/>
        </w:rPr>
        <w:t xml:space="preserve"> indicates a measure</w:t>
      </w:r>
      <w:r>
        <w:rPr>
          <w:rFonts w:ascii="Arial" w:hAnsi="Arial" w:cs="Arial"/>
          <w:b/>
          <w:i/>
          <w:sz w:val="16"/>
          <w:szCs w:val="16"/>
        </w:rPr>
        <w:t xml:space="preserve"> from the CCG Improvement and Assessment Framework (CCG IAF)</w:t>
      </w:r>
      <w:r w:rsidRPr="00CB02AC">
        <w:rPr>
          <w:rFonts w:ascii="Arial" w:hAnsi="Arial" w:cs="Arial"/>
          <w:b/>
          <w:i/>
          <w:sz w:val="16"/>
          <w:szCs w:val="16"/>
        </w:rPr>
        <w:t xml:space="preserve">. These indicators focus </w:t>
      </w:r>
      <w:r>
        <w:rPr>
          <w:rFonts w:ascii="Arial" w:hAnsi="Arial" w:cs="Arial"/>
          <w:b/>
          <w:i/>
          <w:sz w:val="16"/>
          <w:szCs w:val="16"/>
        </w:rPr>
        <w:t>Better Health, Better Care, Sustainability and Leadership</w:t>
      </w:r>
      <w:r w:rsidRPr="00CB02AC">
        <w:rPr>
          <w:rFonts w:ascii="Arial" w:hAnsi="Arial" w:cs="Arial"/>
          <w:b/>
          <w:i/>
          <w:sz w:val="16"/>
          <w:szCs w:val="16"/>
        </w:rPr>
        <w:t>.</w:t>
      </w:r>
    </w:p>
    <w:p w:rsidR="00282A26" w:rsidRDefault="00282A26" w:rsidP="00737E93">
      <w:pPr>
        <w:rPr>
          <w:rFonts w:ascii="Calibri" w:hAnsi="Calibri" w:cs="Calibri"/>
          <w:b/>
          <w:i/>
          <w:sz w:val="16"/>
          <w:szCs w:val="16"/>
        </w:rPr>
        <w:sectPr w:rsidR="00282A26" w:rsidSect="003B4CEF">
          <w:headerReference w:type="default" r:id="rId19"/>
          <w:footerReference w:type="default" r:id="rId20"/>
          <w:pgSz w:w="16840" w:h="11900" w:orient="landscape" w:code="9"/>
          <w:pgMar w:top="743" w:right="902" w:bottom="743" w:left="902" w:header="567" w:footer="567" w:gutter="0"/>
          <w:cols w:space="708"/>
        </w:sectPr>
      </w:pPr>
    </w:p>
    <w:p w:rsidR="009D16C7" w:rsidRDefault="009D16C7" w:rsidP="009D16C7">
      <w:pPr>
        <w:jc w:val="center"/>
        <w:rPr>
          <w:rFonts w:ascii="Calibri" w:eastAsia="Verdana" w:hAnsi="Calibri" w:cs="Calibri"/>
          <w:b/>
          <w:color w:val="000000"/>
          <w:sz w:val="36"/>
          <w:szCs w:val="36"/>
        </w:rPr>
      </w:pPr>
      <w:r>
        <w:rPr>
          <w:rFonts w:ascii="Calibri" w:eastAsia="Verdana" w:hAnsi="Calibri" w:cs="Calibri"/>
          <w:b/>
          <w:color w:val="000000"/>
          <w:sz w:val="36"/>
          <w:szCs w:val="36"/>
        </w:rPr>
        <w:t xml:space="preserve">Performance </w:t>
      </w:r>
      <w:r w:rsidRPr="00ED542C">
        <w:rPr>
          <w:rFonts w:ascii="Calibri" w:eastAsia="Verdana" w:hAnsi="Calibri" w:cs="Calibri"/>
          <w:b/>
          <w:color w:val="000000"/>
          <w:sz w:val="36"/>
          <w:szCs w:val="36"/>
        </w:rPr>
        <w:t>Escalation</w:t>
      </w:r>
    </w:p>
    <w:p w:rsidR="009D16C7" w:rsidRPr="00F43CFF" w:rsidRDefault="009D16C7" w:rsidP="009D16C7">
      <w:pPr>
        <w:jc w:val="center"/>
        <w:rPr>
          <w:rFonts w:ascii="Calibri" w:eastAsia="Verdana" w:hAnsi="Calibri" w:cs="Calibri"/>
          <w:b/>
          <w:color w:val="000000"/>
          <w:sz w:val="16"/>
          <w:szCs w:val="16"/>
        </w:rPr>
      </w:pPr>
    </w:p>
    <w:p w:rsidR="006A0A2E" w:rsidRDefault="00DD7634" w:rsidP="006A0A2E">
      <w:pPr>
        <w:rPr>
          <w:rFonts w:ascii="Calibri" w:eastAsia="Verdana" w:hAnsi="Calibri" w:cs="Calibri"/>
          <w:b/>
          <w:bCs/>
          <w:color w:val="000000"/>
          <w:sz w:val="28"/>
          <w:szCs w:val="32"/>
        </w:rPr>
      </w:pPr>
      <w:r>
        <w:rPr>
          <w:rFonts w:ascii="Calibri" w:eastAsia="Verdana" w:hAnsi="Calibri" w:cs="Calibri"/>
          <w:b/>
          <w:bCs/>
          <w:color w:val="000000"/>
          <w:sz w:val="28"/>
          <w:szCs w:val="32"/>
        </w:rPr>
        <w:t>Women’s and Children’s Update</w:t>
      </w:r>
    </w:p>
    <w:p w:rsidR="006A0A2E" w:rsidRPr="009E557F" w:rsidRDefault="006A0A2E" w:rsidP="006A0A2E">
      <w:pPr>
        <w:rPr>
          <w:rFonts w:ascii="Calibri" w:eastAsia="Verdana" w:hAnsi="Calibri" w:cs="Calibri"/>
          <w:b/>
          <w:bCs/>
          <w:color w:val="000000"/>
          <w:sz w:val="16"/>
          <w:szCs w:val="16"/>
        </w:rPr>
      </w:pPr>
    </w:p>
    <w:p w:rsidR="00DD7634" w:rsidRPr="00DD7634" w:rsidRDefault="00DD7634" w:rsidP="00DD7634">
      <w:pPr>
        <w:autoSpaceDE w:val="0"/>
        <w:autoSpaceDN w:val="0"/>
        <w:adjustRightInd w:val="0"/>
        <w:jc w:val="both"/>
        <w:rPr>
          <w:rFonts w:ascii="Calibri" w:eastAsia="MS Mincho" w:hAnsi="Calibri" w:cs="Calibri"/>
          <w:color w:val="000000"/>
          <w:sz w:val="22"/>
          <w:szCs w:val="22"/>
          <w:lang w:eastAsia="en-GB"/>
        </w:rPr>
      </w:pPr>
      <w:r w:rsidRPr="00DD7634">
        <w:rPr>
          <w:rFonts w:ascii="Calibri" w:eastAsia="MS Mincho" w:hAnsi="Calibri" w:cs="Calibri"/>
          <w:color w:val="000000"/>
          <w:sz w:val="22"/>
          <w:szCs w:val="22"/>
          <w:lang w:eastAsia="en-GB"/>
        </w:rPr>
        <w:t>The table bellows shows CCG Improvement and Assessment Framework areas relating to women’s and children’s services;</w:t>
      </w:r>
    </w:p>
    <w:p w:rsidR="00DD7634" w:rsidRPr="00251BD3" w:rsidRDefault="00DD7634" w:rsidP="00DD7634">
      <w:pPr>
        <w:autoSpaceDE w:val="0"/>
        <w:autoSpaceDN w:val="0"/>
        <w:adjustRightInd w:val="0"/>
        <w:jc w:val="both"/>
        <w:rPr>
          <w:rFonts w:ascii="Calibri" w:eastAsia="MS Mincho" w:hAnsi="Calibri" w:cs="Calibri"/>
          <w:color w:val="000000"/>
          <w:sz w:val="20"/>
          <w:lang w:eastAsia="en-GB"/>
        </w:rPr>
      </w:pPr>
    </w:p>
    <w:tbl>
      <w:tblPr>
        <w:tblpPr w:leftFromText="180" w:rightFromText="180" w:vertAnchor="text" w:horzAnchor="margin" w:tblpY="-35"/>
        <w:tblW w:w="4791" w:type="pct"/>
        <w:tblCellMar>
          <w:left w:w="0" w:type="dxa"/>
          <w:right w:w="0" w:type="dxa"/>
        </w:tblCellMar>
        <w:tblLook w:val="04A0" w:firstRow="1" w:lastRow="0" w:firstColumn="1" w:lastColumn="0" w:noHBand="0" w:noVBand="1"/>
      </w:tblPr>
      <w:tblGrid>
        <w:gridCol w:w="926"/>
        <w:gridCol w:w="1714"/>
        <w:gridCol w:w="916"/>
        <w:gridCol w:w="880"/>
        <w:gridCol w:w="880"/>
        <w:gridCol w:w="833"/>
        <w:gridCol w:w="880"/>
        <w:gridCol w:w="880"/>
        <w:gridCol w:w="1074"/>
        <w:gridCol w:w="981"/>
      </w:tblGrid>
      <w:tr w:rsidR="00DD7634" w:rsidRPr="00CF1FDC" w:rsidTr="00D1789C">
        <w:trPr>
          <w:tblHeader/>
        </w:trPr>
        <w:tc>
          <w:tcPr>
            <w:tcW w:w="928" w:type="dxa"/>
            <w:vMerge w:val="restart"/>
            <w:tcBorders>
              <w:top w:val="single" w:sz="8" w:space="0" w:color="787878"/>
              <w:left w:val="single" w:sz="8" w:space="0" w:color="787878"/>
              <w:bottom w:val="single" w:sz="8" w:space="0" w:color="787878"/>
              <w:right w:val="single" w:sz="8" w:space="0" w:color="787878"/>
            </w:tcBorders>
            <w:shd w:val="clear" w:color="auto" w:fill="DCDCDC"/>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szCs w:val="24"/>
              </w:rPr>
            </w:pPr>
            <w:r w:rsidRPr="00CF1FDC">
              <w:rPr>
                <w:rFonts w:asciiTheme="minorHAnsi" w:hAnsiTheme="minorHAnsi"/>
                <w:b/>
                <w:bCs/>
                <w:color w:val="000000"/>
                <w:sz w:val="16"/>
                <w:szCs w:val="16"/>
              </w:rPr>
              <w:t>Code</w:t>
            </w:r>
          </w:p>
        </w:tc>
        <w:tc>
          <w:tcPr>
            <w:tcW w:w="1723" w:type="dxa"/>
            <w:vMerge w:val="restart"/>
            <w:tcBorders>
              <w:top w:val="single" w:sz="8" w:space="0" w:color="787878"/>
              <w:left w:val="nil"/>
              <w:bottom w:val="single" w:sz="8" w:space="0" w:color="787878"/>
              <w:right w:val="single" w:sz="8" w:space="0" w:color="787878"/>
            </w:tcBorders>
            <w:shd w:val="clear" w:color="auto" w:fill="DCDCDC"/>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b/>
                <w:bCs/>
                <w:color w:val="000000"/>
                <w:sz w:val="16"/>
                <w:szCs w:val="16"/>
              </w:rPr>
            </w:pPr>
            <w:r w:rsidRPr="00CF1FDC">
              <w:rPr>
                <w:rFonts w:asciiTheme="minorHAnsi" w:hAnsiTheme="minorHAnsi"/>
                <w:b/>
                <w:bCs/>
                <w:color w:val="000000"/>
                <w:sz w:val="16"/>
                <w:szCs w:val="16"/>
              </w:rPr>
              <w:t>Indicator</w:t>
            </w:r>
          </w:p>
        </w:tc>
        <w:tc>
          <w:tcPr>
            <w:tcW w:w="919" w:type="dxa"/>
            <w:vMerge w:val="restart"/>
            <w:tcBorders>
              <w:top w:val="single" w:sz="8" w:space="0" w:color="787878"/>
              <w:left w:val="nil"/>
              <w:bottom w:val="single" w:sz="8" w:space="0" w:color="787878"/>
              <w:right w:val="single" w:sz="8" w:space="0" w:color="787878"/>
            </w:tcBorders>
            <w:shd w:val="clear" w:color="auto" w:fill="DCDCDC"/>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b/>
                <w:bCs/>
                <w:color w:val="000000"/>
                <w:sz w:val="16"/>
                <w:szCs w:val="16"/>
              </w:rPr>
            </w:pPr>
            <w:r w:rsidRPr="00CF1FDC">
              <w:rPr>
                <w:rFonts w:asciiTheme="minorHAnsi" w:hAnsiTheme="minorHAnsi"/>
                <w:b/>
                <w:bCs/>
                <w:color w:val="000000"/>
                <w:sz w:val="16"/>
                <w:szCs w:val="16"/>
              </w:rPr>
              <w:t>Period</w:t>
            </w:r>
          </w:p>
        </w:tc>
        <w:tc>
          <w:tcPr>
            <w:tcW w:w="884" w:type="dxa"/>
            <w:vMerge w:val="restart"/>
            <w:tcBorders>
              <w:top w:val="single" w:sz="8" w:space="0" w:color="787878"/>
              <w:left w:val="nil"/>
              <w:bottom w:val="single" w:sz="8" w:space="0" w:color="787878"/>
              <w:right w:val="single" w:sz="8" w:space="0" w:color="787878"/>
            </w:tcBorders>
            <w:shd w:val="clear" w:color="auto" w:fill="DCDCDC"/>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b/>
                <w:bCs/>
                <w:color w:val="000000"/>
                <w:sz w:val="16"/>
                <w:szCs w:val="16"/>
              </w:rPr>
            </w:pPr>
            <w:r w:rsidRPr="00CF1FDC">
              <w:rPr>
                <w:rFonts w:asciiTheme="minorHAnsi" w:hAnsiTheme="minorHAnsi"/>
                <w:b/>
                <w:bCs/>
                <w:color w:val="000000"/>
                <w:sz w:val="16"/>
                <w:szCs w:val="16"/>
              </w:rPr>
              <w:t>Target</w:t>
            </w:r>
          </w:p>
        </w:tc>
        <w:tc>
          <w:tcPr>
            <w:tcW w:w="884" w:type="dxa"/>
            <w:vMerge w:val="restart"/>
            <w:tcBorders>
              <w:top w:val="single" w:sz="8" w:space="0" w:color="787878"/>
              <w:left w:val="nil"/>
              <w:bottom w:val="single" w:sz="8" w:space="0" w:color="787878"/>
              <w:right w:val="single" w:sz="8" w:space="0" w:color="787878"/>
            </w:tcBorders>
            <w:shd w:val="clear" w:color="auto" w:fill="DCDCDC"/>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b/>
                <w:bCs/>
                <w:color w:val="000000"/>
                <w:sz w:val="16"/>
                <w:szCs w:val="16"/>
              </w:rPr>
            </w:pPr>
            <w:r w:rsidRPr="00CF1FDC">
              <w:rPr>
                <w:rFonts w:asciiTheme="minorHAnsi" w:hAnsiTheme="minorHAnsi"/>
                <w:b/>
                <w:bCs/>
                <w:color w:val="000000"/>
                <w:sz w:val="16"/>
                <w:szCs w:val="16"/>
              </w:rPr>
              <w:t>Value</w:t>
            </w:r>
          </w:p>
        </w:tc>
        <w:tc>
          <w:tcPr>
            <w:tcW w:w="837" w:type="dxa"/>
            <w:vMerge w:val="restart"/>
            <w:tcBorders>
              <w:top w:val="single" w:sz="8" w:space="0" w:color="787878"/>
              <w:left w:val="nil"/>
              <w:bottom w:val="single" w:sz="8" w:space="0" w:color="787878"/>
              <w:right w:val="single" w:sz="8" w:space="0" w:color="787878"/>
            </w:tcBorders>
            <w:shd w:val="clear" w:color="auto" w:fill="DCDCDC"/>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b/>
                <w:bCs/>
                <w:color w:val="000000"/>
                <w:sz w:val="16"/>
                <w:szCs w:val="16"/>
              </w:rPr>
            </w:pPr>
            <w:r w:rsidRPr="00CF1FDC">
              <w:rPr>
                <w:rFonts w:asciiTheme="minorHAnsi" w:hAnsiTheme="minorHAnsi"/>
                <w:b/>
                <w:bCs/>
                <w:color w:val="000000"/>
                <w:sz w:val="16"/>
                <w:szCs w:val="16"/>
              </w:rPr>
              <w:t>Status</w:t>
            </w:r>
          </w:p>
        </w:tc>
        <w:tc>
          <w:tcPr>
            <w:tcW w:w="2849" w:type="dxa"/>
            <w:gridSpan w:val="3"/>
            <w:tcBorders>
              <w:top w:val="single" w:sz="8" w:space="0" w:color="787878"/>
              <w:left w:val="nil"/>
              <w:bottom w:val="single" w:sz="8" w:space="0" w:color="787878"/>
              <w:right w:val="single" w:sz="8" w:space="0" w:color="787878"/>
            </w:tcBorders>
            <w:shd w:val="clear" w:color="auto" w:fill="DCDCDC"/>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b/>
                <w:bCs/>
                <w:color w:val="000000"/>
                <w:sz w:val="16"/>
                <w:szCs w:val="16"/>
              </w:rPr>
            </w:pPr>
            <w:r w:rsidRPr="00CF1FDC">
              <w:rPr>
                <w:rFonts w:asciiTheme="minorHAnsi" w:hAnsiTheme="minorHAnsi"/>
                <w:b/>
                <w:bCs/>
                <w:color w:val="000000"/>
                <w:sz w:val="16"/>
                <w:szCs w:val="16"/>
              </w:rPr>
              <w:t>2018/19</w:t>
            </w:r>
          </w:p>
        </w:tc>
        <w:tc>
          <w:tcPr>
            <w:tcW w:w="985" w:type="dxa"/>
            <w:vMerge w:val="restart"/>
            <w:tcBorders>
              <w:top w:val="single" w:sz="8" w:space="0" w:color="787878"/>
              <w:left w:val="nil"/>
              <w:bottom w:val="single" w:sz="8" w:space="0" w:color="787878"/>
              <w:right w:val="single" w:sz="8" w:space="0" w:color="787878"/>
            </w:tcBorders>
            <w:shd w:val="clear" w:color="auto" w:fill="DCDCDC"/>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b/>
                <w:bCs/>
                <w:color w:val="000000"/>
                <w:sz w:val="16"/>
                <w:szCs w:val="16"/>
              </w:rPr>
            </w:pPr>
            <w:r w:rsidRPr="00CF1FDC">
              <w:rPr>
                <w:rFonts w:asciiTheme="minorHAnsi" w:hAnsiTheme="minorHAnsi"/>
                <w:b/>
                <w:bCs/>
                <w:color w:val="000000"/>
                <w:sz w:val="16"/>
                <w:szCs w:val="16"/>
              </w:rPr>
              <w:t>Forecast Position</w:t>
            </w:r>
          </w:p>
        </w:tc>
      </w:tr>
      <w:tr w:rsidR="00DD7634" w:rsidRPr="00CF1FDC" w:rsidTr="00D1789C">
        <w:trPr>
          <w:tblHeader/>
        </w:trPr>
        <w:tc>
          <w:tcPr>
            <w:tcW w:w="928" w:type="dxa"/>
            <w:vMerge/>
            <w:tcBorders>
              <w:top w:val="single" w:sz="8" w:space="0" w:color="787878"/>
              <w:left w:val="single" w:sz="8" w:space="0" w:color="787878"/>
              <w:bottom w:val="single" w:sz="8" w:space="0" w:color="787878"/>
              <w:right w:val="single" w:sz="8" w:space="0" w:color="787878"/>
            </w:tcBorders>
            <w:vAlign w:val="center"/>
            <w:hideMark/>
          </w:tcPr>
          <w:p w:rsidR="00DD7634" w:rsidRPr="00CF1FDC" w:rsidRDefault="00DD7634" w:rsidP="00D1789C">
            <w:pPr>
              <w:rPr>
                <w:rFonts w:asciiTheme="minorHAnsi" w:eastAsiaTheme="minorHAnsi" w:hAnsiTheme="minorHAnsi"/>
                <w:szCs w:val="24"/>
              </w:rPr>
            </w:pPr>
          </w:p>
        </w:tc>
        <w:tc>
          <w:tcPr>
            <w:tcW w:w="1723" w:type="dxa"/>
            <w:vMerge/>
            <w:tcBorders>
              <w:top w:val="single" w:sz="8" w:space="0" w:color="787878"/>
              <w:left w:val="nil"/>
              <w:bottom w:val="single" w:sz="8" w:space="0" w:color="787878"/>
              <w:right w:val="single" w:sz="8" w:space="0" w:color="787878"/>
            </w:tcBorders>
            <w:vAlign w:val="center"/>
            <w:hideMark/>
          </w:tcPr>
          <w:p w:rsidR="00DD7634" w:rsidRPr="00CF1FDC" w:rsidRDefault="00DD7634" w:rsidP="00D1789C">
            <w:pPr>
              <w:rPr>
                <w:rFonts w:asciiTheme="minorHAnsi" w:eastAsiaTheme="minorHAnsi" w:hAnsiTheme="minorHAnsi"/>
                <w:b/>
                <w:bCs/>
                <w:color w:val="000000"/>
                <w:sz w:val="16"/>
                <w:szCs w:val="16"/>
              </w:rPr>
            </w:pPr>
          </w:p>
        </w:tc>
        <w:tc>
          <w:tcPr>
            <w:tcW w:w="919" w:type="dxa"/>
            <w:vMerge/>
            <w:tcBorders>
              <w:top w:val="single" w:sz="8" w:space="0" w:color="787878"/>
              <w:left w:val="nil"/>
              <w:bottom w:val="single" w:sz="8" w:space="0" w:color="787878"/>
              <w:right w:val="single" w:sz="8" w:space="0" w:color="787878"/>
            </w:tcBorders>
            <w:vAlign w:val="center"/>
            <w:hideMark/>
          </w:tcPr>
          <w:p w:rsidR="00DD7634" w:rsidRPr="00CF1FDC" w:rsidRDefault="00DD7634" w:rsidP="00D1789C">
            <w:pPr>
              <w:rPr>
                <w:rFonts w:asciiTheme="minorHAnsi" w:eastAsiaTheme="minorHAnsi" w:hAnsiTheme="minorHAnsi"/>
                <w:b/>
                <w:bCs/>
                <w:color w:val="000000"/>
                <w:sz w:val="16"/>
                <w:szCs w:val="16"/>
              </w:rPr>
            </w:pPr>
          </w:p>
        </w:tc>
        <w:tc>
          <w:tcPr>
            <w:tcW w:w="884" w:type="dxa"/>
            <w:vMerge/>
            <w:tcBorders>
              <w:top w:val="single" w:sz="8" w:space="0" w:color="787878"/>
              <w:left w:val="nil"/>
              <w:bottom w:val="single" w:sz="8" w:space="0" w:color="787878"/>
              <w:right w:val="single" w:sz="8" w:space="0" w:color="787878"/>
            </w:tcBorders>
            <w:vAlign w:val="center"/>
            <w:hideMark/>
          </w:tcPr>
          <w:p w:rsidR="00DD7634" w:rsidRPr="00CF1FDC" w:rsidRDefault="00DD7634" w:rsidP="00D1789C">
            <w:pPr>
              <w:rPr>
                <w:rFonts w:asciiTheme="minorHAnsi" w:eastAsiaTheme="minorHAnsi" w:hAnsiTheme="minorHAnsi"/>
                <w:b/>
                <w:bCs/>
                <w:color w:val="000000"/>
                <w:sz w:val="16"/>
                <w:szCs w:val="16"/>
              </w:rPr>
            </w:pPr>
          </w:p>
        </w:tc>
        <w:tc>
          <w:tcPr>
            <w:tcW w:w="884" w:type="dxa"/>
            <w:vMerge/>
            <w:tcBorders>
              <w:top w:val="single" w:sz="8" w:space="0" w:color="787878"/>
              <w:left w:val="nil"/>
              <w:bottom w:val="single" w:sz="8" w:space="0" w:color="787878"/>
              <w:right w:val="single" w:sz="8" w:space="0" w:color="787878"/>
            </w:tcBorders>
            <w:vAlign w:val="center"/>
            <w:hideMark/>
          </w:tcPr>
          <w:p w:rsidR="00DD7634" w:rsidRPr="00CF1FDC" w:rsidRDefault="00DD7634" w:rsidP="00D1789C">
            <w:pPr>
              <w:rPr>
                <w:rFonts w:asciiTheme="minorHAnsi" w:eastAsiaTheme="minorHAnsi" w:hAnsiTheme="minorHAnsi"/>
                <w:b/>
                <w:bCs/>
                <w:color w:val="000000"/>
                <w:sz w:val="16"/>
                <w:szCs w:val="16"/>
              </w:rPr>
            </w:pPr>
          </w:p>
        </w:tc>
        <w:tc>
          <w:tcPr>
            <w:tcW w:w="837" w:type="dxa"/>
            <w:vMerge/>
            <w:tcBorders>
              <w:top w:val="single" w:sz="8" w:space="0" w:color="787878"/>
              <w:left w:val="nil"/>
              <w:bottom w:val="single" w:sz="8" w:space="0" w:color="787878"/>
              <w:right w:val="single" w:sz="8" w:space="0" w:color="787878"/>
            </w:tcBorders>
            <w:vAlign w:val="center"/>
            <w:hideMark/>
          </w:tcPr>
          <w:p w:rsidR="00DD7634" w:rsidRPr="00CF1FDC" w:rsidRDefault="00DD7634" w:rsidP="00D1789C">
            <w:pPr>
              <w:rPr>
                <w:rFonts w:asciiTheme="minorHAnsi" w:eastAsiaTheme="minorHAnsi" w:hAnsiTheme="minorHAnsi"/>
                <w:b/>
                <w:bCs/>
                <w:color w:val="000000"/>
                <w:sz w:val="16"/>
                <w:szCs w:val="16"/>
              </w:rPr>
            </w:pPr>
          </w:p>
        </w:tc>
        <w:tc>
          <w:tcPr>
            <w:tcW w:w="884" w:type="dxa"/>
            <w:tcBorders>
              <w:top w:val="nil"/>
              <w:left w:val="nil"/>
              <w:bottom w:val="single" w:sz="8" w:space="0" w:color="787878"/>
              <w:right w:val="single" w:sz="8" w:space="0" w:color="787878"/>
            </w:tcBorders>
            <w:shd w:val="clear" w:color="auto" w:fill="DCDCDC"/>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b/>
                <w:bCs/>
                <w:color w:val="000000"/>
                <w:sz w:val="16"/>
                <w:szCs w:val="16"/>
              </w:rPr>
            </w:pPr>
            <w:r w:rsidRPr="00CF1FDC">
              <w:rPr>
                <w:rFonts w:asciiTheme="minorHAnsi" w:hAnsiTheme="minorHAnsi"/>
                <w:b/>
                <w:bCs/>
                <w:color w:val="000000"/>
                <w:sz w:val="16"/>
                <w:szCs w:val="16"/>
              </w:rPr>
              <w:t>Target</w:t>
            </w:r>
          </w:p>
        </w:tc>
        <w:tc>
          <w:tcPr>
            <w:tcW w:w="884" w:type="dxa"/>
            <w:tcBorders>
              <w:top w:val="nil"/>
              <w:left w:val="nil"/>
              <w:bottom w:val="single" w:sz="8" w:space="0" w:color="787878"/>
              <w:right w:val="single" w:sz="8" w:space="0" w:color="787878"/>
            </w:tcBorders>
            <w:shd w:val="clear" w:color="auto" w:fill="DCDCDC"/>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b/>
                <w:bCs/>
                <w:color w:val="000000"/>
                <w:sz w:val="16"/>
                <w:szCs w:val="16"/>
              </w:rPr>
            </w:pPr>
            <w:r w:rsidRPr="00CF1FDC">
              <w:rPr>
                <w:rFonts w:asciiTheme="minorHAnsi" w:hAnsiTheme="minorHAnsi"/>
                <w:b/>
                <w:bCs/>
                <w:color w:val="000000"/>
                <w:sz w:val="16"/>
                <w:szCs w:val="16"/>
              </w:rPr>
              <w:t>Value</w:t>
            </w:r>
          </w:p>
        </w:tc>
        <w:tc>
          <w:tcPr>
            <w:tcW w:w="1081" w:type="dxa"/>
            <w:tcBorders>
              <w:top w:val="nil"/>
              <w:left w:val="nil"/>
              <w:bottom w:val="single" w:sz="8" w:space="0" w:color="787878"/>
              <w:right w:val="single" w:sz="8" w:space="0" w:color="787878"/>
            </w:tcBorders>
            <w:shd w:val="clear" w:color="auto" w:fill="DCDCDC"/>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b/>
                <w:bCs/>
                <w:color w:val="000000"/>
                <w:sz w:val="16"/>
                <w:szCs w:val="16"/>
              </w:rPr>
            </w:pPr>
            <w:r w:rsidRPr="00CF1FDC">
              <w:rPr>
                <w:rFonts w:asciiTheme="minorHAnsi" w:hAnsiTheme="minorHAnsi"/>
                <w:b/>
                <w:bCs/>
                <w:color w:val="000000"/>
                <w:sz w:val="16"/>
                <w:szCs w:val="16"/>
              </w:rPr>
              <w:t>Status</w:t>
            </w:r>
          </w:p>
        </w:tc>
        <w:tc>
          <w:tcPr>
            <w:tcW w:w="985" w:type="dxa"/>
            <w:vMerge/>
            <w:tcBorders>
              <w:top w:val="single" w:sz="8" w:space="0" w:color="787878"/>
              <w:left w:val="nil"/>
              <w:bottom w:val="single" w:sz="8" w:space="0" w:color="787878"/>
              <w:right w:val="single" w:sz="8" w:space="0" w:color="787878"/>
            </w:tcBorders>
            <w:vAlign w:val="center"/>
            <w:hideMark/>
          </w:tcPr>
          <w:p w:rsidR="00DD7634" w:rsidRPr="00CF1FDC" w:rsidRDefault="00DD7634" w:rsidP="00D1789C">
            <w:pPr>
              <w:rPr>
                <w:rFonts w:asciiTheme="minorHAnsi" w:eastAsiaTheme="minorHAnsi" w:hAnsiTheme="minorHAnsi"/>
                <w:b/>
                <w:bCs/>
                <w:color w:val="000000"/>
                <w:sz w:val="16"/>
                <w:szCs w:val="16"/>
              </w:rPr>
            </w:pPr>
          </w:p>
        </w:tc>
      </w:tr>
      <w:tr w:rsidR="00DD7634" w:rsidRPr="00CF1FDC" w:rsidTr="00D1789C">
        <w:tc>
          <w:tcPr>
            <w:tcW w:w="928" w:type="dxa"/>
            <w:tcBorders>
              <w:top w:val="nil"/>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DAC1260</w:t>
            </w:r>
          </w:p>
        </w:tc>
        <w:tc>
          <w:tcPr>
            <w:tcW w:w="1723"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Women’s experience of maternity services (125b)</w:t>
            </w:r>
          </w:p>
        </w:tc>
        <w:tc>
          <w:tcPr>
            <w:tcW w:w="919"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2016/17</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85.2%</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86.18%</w:t>
            </w:r>
          </w:p>
        </w:tc>
        <w:tc>
          <w:tcPr>
            <w:tcW w:w="837"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57D14153" wp14:editId="11C4045E">
                  <wp:extent cx="198120" cy="198120"/>
                  <wp:effectExtent l="0" t="0" r="0" b="0"/>
                  <wp:docPr id="22" name="Picture 22" descr="cid:image005.png@01D4863F.5B61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5.png@01D4863F.5B616C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2849" w:type="dxa"/>
            <w:gridSpan w:val="3"/>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No data available in 2018/19</w:t>
            </w:r>
          </w:p>
        </w:tc>
        <w:tc>
          <w:tcPr>
            <w:tcW w:w="985"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27E83D40" wp14:editId="13829572">
                  <wp:extent cx="155575" cy="155575"/>
                  <wp:effectExtent l="0" t="0" r="0" b="0"/>
                  <wp:docPr id="23" name="Picture 23" descr="cid:image006.png@01D4863F.076F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6.png@01D4863F.076F66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DD7634" w:rsidRPr="00CF1FDC" w:rsidTr="00D1789C">
        <w:tc>
          <w:tcPr>
            <w:tcW w:w="928" w:type="dxa"/>
            <w:tcBorders>
              <w:top w:val="nil"/>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DAC1270</w:t>
            </w:r>
          </w:p>
        </w:tc>
        <w:tc>
          <w:tcPr>
            <w:tcW w:w="1723"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Choices in maternity services (125c)</w:t>
            </w:r>
          </w:p>
        </w:tc>
        <w:tc>
          <w:tcPr>
            <w:tcW w:w="919"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2016/17</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60.81</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61.83</w:t>
            </w:r>
          </w:p>
        </w:tc>
        <w:tc>
          <w:tcPr>
            <w:tcW w:w="837"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13ABFE0C" wp14:editId="483DDEB6">
                  <wp:extent cx="198120" cy="198120"/>
                  <wp:effectExtent l="0" t="0" r="0" b="0"/>
                  <wp:docPr id="24" name="Picture 24" descr="cid:image005.png@01D4863F.5B61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5.png@01D4863F.5B616C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2849" w:type="dxa"/>
            <w:gridSpan w:val="3"/>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No data available in 2018/19</w:t>
            </w:r>
          </w:p>
        </w:tc>
        <w:tc>
          <w:tcPr>
            <w:tcW w:w="985"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0895C97B" wp14:editId="755F3398">
                  <wp:extent cx="155575" cy="155575"/>
                  <wp:effectExtent l="0" t="0" r="0" b="0"/>
                  <wp:docPr id="25" name="Picture 25" descr="cid:image006.png@01D4863F.076F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6.png@01D4863F.076F66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DD7634" w:rsidRPr="00CF1FDC" w:rsidTr="00D1789C">
        <w:tc>
          <w:tcPr>
            <w:tcW w:w="928" w:type="dxa"/>
            <w:tcBorders>
              <w:top w:val="nil"/>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DAC5170</w:t>
            </w:r>
          </w:p>
        </w:tc>
        <w:tc>
          <w:tcPr>
            <w:tcW w:w="1723"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Maternal smoking at delivery (125d)</w:t>
            </w:r>
          </w:p>
        </w:tc>
        <w:tc>
          <w:tcPr>
            <w:tcW w:w="919"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Q1 2018/19</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14.51%</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22.93%</w:t>
            </w:r>
          </w:p>
        </w:tc>
        <w:tc>
          <w:tcPr>
            <w:tcW w:w="837"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604B4C19" wp14:editId="43B33AEA">
                  <wp:extent cx="198120" cy="198120"/>
                  <wp:effectExtent l="0" t="0" r="0" b="0"/>
                  <wp:docPr id="26" name="Picture 26" descr="cid:image008.png@01D4863F.5B61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8.png@01D4863F.5B616C4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14.51%</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22.93%</w:t>
            </w:r>
          </w:p>
        </w:tc>
        <w:tc>
          <w:tcPr>
            <w:tcW w:w="1081"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4DE8090F" wp14:editId="59B06D6C">
                  <wp:extent cx="198120" cy="198120"/>
                  <wp:effectExtent l="0" t="0" r="0" b="0"/>
                  <wp:docPr id="27" name="Picture 27" descr="cid:image008.png@01D4863F.5B61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8.png@01D4863F.5B616C4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985"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6062B46E" wp14:editId="45B0C4E4">
                  <wp:extent cx="155575" cy="155575"/>
                  <wp:effectExtent l="0" t="0" r="0" b="0"/>
                  <wp:docPr id="28" name="Picture 28" descr="cid:image009.png@01D4863F.076F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9.png@01D4863F.076F66F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DD7634" w:rsidRPr="00CF1FDC" w:rsidTr="00D1789C">
        <w:tc>
          <w:tcPr>
            <w:tcW w:w="928" w:type="dxa"/>
            <w:tcBorders>
              <w:top w:val="nil"/>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DAC5180</w:t>
            </w:r>
          </w:p>
        </w:tc>
        <w:tc>
          <w:tcPr>
            <w:tcW w:w="1723"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Neonatal mortality and stillbirths (125a)</w:t>
            </w:r>
          </w:p>
        </w:tc>
        <w:tc>
          <w:tcPr>
            <w:tcW w:w="919"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2015/16</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3.53</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3.23</w:t>
            </w:r>
          </w:p>
        </w:tc>
        <w:tc>
          <w:tcPr>
            <w:tcW w:w="837"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297E2C02" wp14:editId="686AFFA6">
                  <wp:extent cx="198120" cy="198120"/>
                  <wp:effectExtent l="0" t="0" r="0" b="0"/>
                  <wp:docPr id="29" name="Picture 29" descr="cid:image005.png@01D4863F.5B61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5.png@01D4863F.5B616C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tcPr>
          <w:p w:rsidR="00DD7634" w:rsidRPr="00CF1FDC" w:rsidRDefault="00DD7634" w:rsidP="00D1789C">
            <w:pPr>
              <w:jc w:val="center"/>
              <w:rPr>
                <w:rFonts w:asciiTheme="minorHAnsi" w:eastAsiaTheme="minorHAnsi" w:hAnsiTheme="minorHAnsi"/>
                <w:color w:val="000000"/>
                <w:sz w:val="16"/>
                <w:szCs w:val="16"/>
              </w:rPr>
            </w:pP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tcPr>
          <w:p w:rsidR="00DD7634" w:rsidRPr="00CF1FDC" w:rsidRDefault="00DD7634" w:rsidP="00D1789C">
            <w:pPr>
              <w:jc w:val="center"/>
              <w:rPr>
                <w:rFonts w:asciiTheme="minorHAnsi" w:eastAsiaTheme="minorHAnsi" w:hAnsiTheme="minorHAnsi"/>
                <w:color w:val="000000"/>
                <w:sz w:val="16"/>
                <w:szCs w:val="16"/>
              </w:rPr>
            </w:pPr>
          </w:p>
        </w:tc>
        <w:tc>
          <w:tcPr>
            <w:tcW w:w="1081"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tcPr>
          <w:p w:rsidR="00DD7634" w:rsidRPr="00CF1FDC" w:rsidRDefault="00DD7634" w:rsidP="00D1789C">
            <w:pPr>
              <w:jc w:val="center"/>
              <w:rPr>
                <w:rFonts w:asciiTheme="minorHAnsi" w:eastAsiaTheme="minorHAnsi" w:hAnsiTheme="minorHAnsi"/>
                <w:color w:val="000000"/>
                <w:sz w:val="16"/>
                <w:szCs w:val="16"/>
              </w:rPr>
            </w:pPr>
          </w:p>
        </w:tc>
        <w:tc>
          <w:tcPr>
            <w:tcW w:w="985"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6BDE629C" wp14:editId="4D79FCAC">
                  <wp:extent cx="155575" cy="155575"/>
                  <wp:effectExtent l="0" t="0" r="0" b="0"/>
                  <wp:docPr id="30" name="Picture 30" descr="cid:image006.png@01D4863F.076F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6.png@01D4863F.076F66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DD7634" w:rsidRPr="00CF1FDC" w:rsidTr="00D1789C">
        <w:tc>
          <w:tcPr>
            <w:tcW w:w="928" w:type="dxa"/>
            <w:tcBorders>
              <w:top w:val="nil"/>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DAC6140</w:t>
            </w:r>
          </w:p>
        </w:tc>
        <w:tc>
          <w:tcPr>
            <w:tcW w:w="1723"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Proportion of children &amp; young people &lt;18 receiving treatment by NHS funded community services</w:t>
            </w:r>
          </w:p>
        </w:tc>
        <w:tc>
          <w:tcPr>
            <w:tcW w:w="919"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Q1 2018/19</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12.77%</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11.29%</w:t>
            </w:r>
          </w:p>
        </w:tc>
        <w:tc>
          <w:tcPr>
            <w:tcW w:w="837"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5BDF3204" wp14:editId="1C8EB3FF">
                  <wp:extent cx="198120" cy="198120"/>
                  <wp:effectExtent l="0" t="0" r="0" b="0"/>
                  <wp:docPr id="31" name="Picture 31" descr="cid:image008.png@01D4863F.5B61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png@01D4863F.5B616C4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12.77%</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11.29%</w:t>
            </w:r>
          </w:p>
        </w:tc>
        <w:tc>
          <w:tcPr>
            <w:tcW w:w="1081"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299C10BC" wp14:editId="633AC0A1">
                  <wp:extent cx="198120" cy="198120"/>
                  <wp:effectExtent l="0" t="0" r="0" b="0"/>
                  <wp:docPr id="32" name="Picture 32" descr="cid:image008.png@01D4863F.5B61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8.png@01D4863F.5B616C4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985"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5FFCD380" wp14:editId="014ACEBD">
                  <wp:extent cx="155575" cy="155575"/>
                  <wp:effectExtent l="0" t="0" r="0" b="0"/>
                  <wp:docPr id="33" name="Picture 33" descr="cid:image009.png@01D4863F.076F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9.png@01D4863F.076F66F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DD7634" w:rsidRPr="00CF1FDC" w:rsidTr="00D1789C">
        <w:tc>
          <w:tcPr>
            <w:tcW w:w="928" w:type="dxa"/>
            <w:tcBorders>
              <w:top w:val="nil"/>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DAC6150</w:t>
            </w:r>
          </w:p>
        </w:tc>
        <w:tc>
          <w:tcPr>
            <w:tcW w:w="1723"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The proportion of CYP with ED (routine cases) that wait 4 weeks or less from referral to start of NICE-approved treatment.</w:t>
            </w:r>
          </w:p>
        </w:tc>
        <w:tc>
          <w:tcPr>
            <w:tcW w:w="919"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Q2 2018/19</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95%</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100%</w:t>
            </w:r>
          </w:p>
        </w:tc>
        <w:tc>
          <w:tcPr>
            <w:tcW w:w="837"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2DE9D817" wp14:editId="7F13C35E">
                  <wp:extent cx="198120" cy="198120"/>
                  <wp:effectExtent l="0" t="0" r="0" b="0"/>
                  <wp:docPr id="34" name="Picture 34" descr="cid:image005.png@01D4863F.5B61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D4863F.5B616C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95%</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75%</w:t>
            </w:r>
          </w:p>
        </w:tc>
        <w:tc>
          <w:tcPr>
            <w:tcW w:w="1081"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343AF0C3" wp14:editId="54333198">
                  <wp:extent cx="198120" cy="198120"/>
                  <wp:effectExtent l="0" t="0" r="0" b="0"/>
                  <wp:docPr id="35" name="Picture 35" descr="cid:image008.png@01D4863F.5B61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png@01D4863F.5B616C4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985"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4B027C5E" wp14:editId="396A0E6C">
                  <wp:extent cx="155575" cy="155575"/>
                  <wp:effectExtent l="0" t="0" r="0" b="0"/>
                  <wp:docPr id="36" name="Picture 36" descr="cid:image009.png@01D4863F.076F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9.png@01D4863F.076F66F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DD7634" w:rsidRPr="00CF1FDC" w:rsidTr="00D1789C">
        <w:tc>
          <w:tcPr>
            <w:tcW w:w="928" w:type="dxa"/>
            <w:tcBorders>
              <w:top w:val="nil"/>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DAC6155</w:t>
            </w:r>
          </w:p>
        </w:tc>
        <w:tc>
          <w:tcPr>
            <w:tcW w:w="1723"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rPr>
                <w:rFonts w:asciiTheme="minorHAnsi" w:eastAsiaTheme="minorHAnsi" w:hAnsiTheme="minorHAnsi"/>
                <w:color w:val="000000"/>
                <w:sz w:val="16"/>
                <w:szCs w:val="16"/>
              </w:rPr>
            </w:pPr>
            <w:r w:rsidRPr="00CF1FDC">
              <w:rPr>
                <w:rFonts w:asciiTheme="minorHAnsi" w:hAnsiTheme="minorHAnsi"/>
                <w:color w:val="000000"/>
                <w:sz w:val="16"/>
                <w:szCs w:val="16"/>
              </w:rPr>
              <w:t>The proportion of CYP with ED (urgent cases) that wait 1 week or less from referral to start of NICE-approved treatment.</w:t>
            </w:r>
          </w:p>
        </w:tc>
        <w:tc>
          <w:tcPr>
            <w:tcW w:w="919"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Q2 2018/19</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95%</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100%</w:t>
            </w:r>
          </w:p>
        </w:tc>
        <w:tc>
          <w:tcPr>
            <w:tcW w:w="837"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34B80AC5" wp14:editId="1381F0A0">
                  <wp:extent cx="198120" cy="198120"/>
                  <wp:effectExtent l="0" t="0" r="0" b="0"/>
                  <wp:docPr id="59" name="Picture 59" descr="cid:image005.png@01D4863F.5B61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4863F.5B616C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95%</w:t>
            </w:r>
          </w:p>
        </w:tc>
        <w:tc>
          <w:tcPr>
            <w:tcW w:w="884"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color w:val="000000"/>
                <w:sz w:val="16"/>
                <w:szCs w:val="16"/>
              </w:rPr>
              <w:t>100%</w:t>
            </w:r>
          </w:p>
        </w:tc>
        <w:tc>
          <w:tcPr>
            <w:tcW w:w="1081"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7AF8E16B" wp14:editId="38ECC806">
                  <wp:extent cx="198120" cy="198120"/>
                  <wp:effectExtent l="0" t="0" r="0" b="0"/>
                  <wp:docPr id="58" name="Picture 58" descr="cid:image005.png@01D4863F.5B61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4863F.5B616C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985" w:type="dxa"/>
            <w:tcBorders>
              <w:top w:val="nil"/>
              <w:left w:val="nil"/>
              <w:bottom w:val="single" w:sz="8" w:space="0" w:color="78786E"/>
              <w:right w:val="single" w:sz="8" w:space="0" w:color="78786E"/>
            </w:tcBorders>
            <w:shd w:val="clear" w:color="auto" w:fill="FFFFFF"/>
            <w:tcMar>
              <w:top w:w="40" w:type="dxa"/>
              <w:left w:w="40" w:type="dxa"/>
              <w:bottom w:w="40" w:type="dxa"/>
              <w:right w:w="40" w:type="dxa"/>
            </w:tcMar>
            <w:vAlign w:val="center"/>
            <w:hideMark/>
          </w:tcPr>
          <w:p w:rsidR="00DD7634" w:rsidRPr="00CF1FDC" w:rsidRDefault="00DD7634" w:rsidP="00D1789C">
            <w:pPr>
              <w:jc w:val="center"/>
              <w:rPr>
                <w:rFonts w:asciiTheme="minorHAnsi" w:eastAsiaTheme="minorHAnsi" w:hAnsiTheme="minorHAnsi"/>
                <w:color w:val="000000"/>
                <w:sz w:val="16"/>
                <w:szCs w:val="16"/>
              </w:rPr>
            </w:pPr>
            <w:r w:rsidRPr="00CF1FDC">
              <w:rPr>
                <w:rFonts w:asciiTheme="minorHAnsi" w:hAnsiTheme="minorHAnsi"/>
                <w:noProof/>
                <w:color w:val="000000"/>
                <w:sz w:val="16"/>
                <w:szCs w:val="16"/>
                <w:lang w:eastAsia="en-GB"/>
              </w:rPr>
              <w:drawing>
                <wp:inline distT="0" distB="0" distL="0" distR="0" wp14:anchorId="6EC25549" wp14:editId="304EB9D2">
                  <wp:extent cx="155575" cy="155575"/>
                  <wp:effectExtent l="0" t="0" r="0" b="0"/>
                  <wp:docPr id="50" name="Picture 50" descr="cid:image006.png@01D4863F.076F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id:image006.png@01D4863F.076F66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bl>
    <w:p w:rsidR="00414D13" w:rsidRPr="00414D13" w:rsidRDefault="00414D13" w:rsidP="00414D13">
      <w:pPr>
        <w:pStyle w:val="ListParagraph"/>
        <w:ind w:left="0"/>
        <w:rPr>
          <w:rFonts w:asciiTheme="minorHAnsi" w:hAnsiTheme="minorHAnsi"/>
          <w:b/>
          <w:sz w:val="24"/>
          <w:szCs w:val="24"/>
          <w:u w:val="single"/>
        </w:rPr>
      </w:pPr>
      <w:r w:rsidRPr="00414D13">
        <w:rPr>
          <w:rFonts w:asciiTheme="minorHAnsi" w:hAnsiTheme="minorHAnsi"/>
          <w:b/>
          <w:sz w:val="24"/>
          <w:szCs w:val="24"/>
          <w:u w:val="single"/>
        </w:rPr>
        <w:t>Performance Exceptions</w:t>
      </w:r>
    </w:p>
    <w:p w:rsidR="00DD7634" w:rsidRPr="00414D13" w:rsidRDefault="00DD7634" w:rsidP="00D1789C">
      <w:pPr>
        <w:pStyle w:val="ListParagraph"/>
        <w:numPr>
          <w:ilvl w:val="0"/>
          <w:numId w:val="28"/>
        </w:numPr>
        <w:rPr>
          <w:rFonts w:asciiTheme="minorHAnsi" w:hAnsiTheme="minorHAnsi"/>
        </w:rPr>
      </w:pPr>
      <w:r w:rsidRPr="00414D13">
        <w:rPr>
          <w:rFonts w:asciiTheme="minorHAnsi" w:eastAsiaTheme="minorHAnsi" w:hAnsiTheme="minorHAnsi"/>
          <w:b/>
        </w:rPr>
        <w:t xml:space="preserve">DAC 5170 Maternal Smoking at delivery - </w:t>
      </w:r>
      <w:r w:rsidRPr="00414D13">
        <w:rPr>
          <w:rFonts w:asciiTheme="minorHAnsi" w:hAnsiTheme="minorHAnsi"/>
        </w:rPr>
        <w:t>North East Lincolnshire has significantly higher rates of smoking prevalence than other areas in the country and smoking rates at booking are the second to third worst in the UK. Over the last few years the CCG has worked closely with Public Health and the hospital trust to address smoking during pregnancy including; case file audit of midwifery notes to consider data quality issues, assessment against The National Institute for Health and Care Excellence (NICE) guidance to ensure compliance, all midwives provided with, and trained to use, carbon monoxide monitors, Specialist Stop Smoking Advisor employed to work in the maternity unit, pilot funding from PHE to enhance initiatives such as the Baby Clear Initiative and risk perception intervention at the 12week scan.</w:t>
      </w:r>
      <w:r w:rsidR="00414D13" w:rsidRPr="00414D13">
        <w:rPr>
          <w:rFonts w:asciiTheme="minorHAnsi" w:hAnsiTheme="minorHAnsi"/>
        </w:rPr>
        <w:t xml:space="preserve">  </w:t>
      </w:r>
      <w:r w:rsidRPr="00414D13">
        <w:rPr>
          <w:rFonts w:asciiTheme="minorHAnsi" w:hAnsiTheme="minorHAnsi"/>
        </w:rPr>
        <w:t>Despite all of the above initiatives maternal smoking rates at delivery continue to be stubbornly high and when the rates are considered by ward area then the huge variation is stark in our most depraved areas. Due to changes in access to the Well-ness service (formerly Stop Smoking Service) and the recent NELCCG IAF rating, due to our poor performance in this area, maternal smoking has now been added to the CCG risk register. Turning the tide on this will require targeted focus and prioritisation, as such an in-depth action plan is being developed which will be overseen by the newly formed ‘NEL Smoking in pregnancy Focus group’ chaired by the Associate Director of Public Health.</w:t>
      </w:r>
    </w:p>
    <w:p w:rsidR="00DD7634" w:rsidRPr="00414D13" w:rsidRDefault="00DD7634" w:rsidP="00D1789C">
      <w:pPr>
        <w:pStyle w:val="ListParagraph"/>
        <w:numPr>
          <w:ilvl w:val="0"/>
          <w:numId w:val="28"/>
        </w:numPr>
        <w:rPr>
          <w:rFonts w:asciiTheme="minorHAnsi" w:hAnsiTheme="minorHAnsi"/>
        </w:rPr>
      </w:pPr>
      <w:r w:rsidRPr="00414D13">
        <w:rPr>
          <w:rFonts w:asciiTheme="minorHAnsi" w:hAnsiTheme="minorHAnsi"/>
          <w:b/>
        </w:rPr>
        <w:t>DAC6140 Proportion of children &amp; young people &lt;18 receiving treatment b</w:t>
      </w:r>
      <w:r w:rsidR="00414D13" w:rsidRPr="00414D13">
        <w:rPr>
          <w:rFonts w:asciiTheme="minorHAnsi" w:hAnsiTheme="minorHAnsi"/>
          <w:b/>
        </w:rPr>
        <w:t xml:space="preserve">y NHS funded community services - </w:t>
      </w:r>
      <w:r w:rsidRPr="00414D13">
        <w:rPr>
          <w:rFonts w:asciiTheme="minorHAnsi" w:hAnsiTheme="minorHAnsi"/>
        </w:rPr>
        <w:t>Due to the way services are aligned / provided in North East Lincolnshire performance data from settings, other than Lincolnshire Partnership Foundation Trust (LPFT), cannot be captured on the Mental Health Services data set (MHSDS) submission therefore it does not provide an accurate picture of performance in this area.</w:t>
      </w:r>
      <w:r w:rsidR="00414D13" w:rsidRPr="00414D13">
        <w:rPr>
          <w:rFonts w:asciiTheme="minorHAnsi" w:hAnsiTheme="minorHAnsi"/>
        </w:rPr>
        <w:t xml:space="preserve">  </w:t>
      </w:r>
      <w:r w:rsidRPr="00414D13">
        <w:rPr>
          <w:rFonts w:asciiTheme="minorHAnsi" w:hAnsiTheme="minorHAnsi"/>
        </w:rPr>
        <w:t>The CCG and LA are continuing to work with providers towards entering data on the MHSDS, School Nurses are working alongside LPFT on submission through the school links team and nationally Kooth, which  is an online counselling and well-being platform for children and young people accessible via mobile phone, are working with NHSE to identify a solution to address this.</w:t>
      </w:r>
    </w:p>
    <w:p w:rsidR="00DD7634" w:rsidRPr="00414D13" w:rsidRDefault="00DD7634" w:rsidP="00414D13">
      <w:pPr>
        <w:pStyle w:val="ListParagraph"/>
        <w:numPr>
          <w:ilvl w:val="0"/>
          <w:numId w:val="28"/>
        </w:numPr>
        <w:rPr>
          <w:rFonts w:asciiTheme="minorHAnsi" w:hAnsiTheme="minorHAnsi"/>
        </w:rPr>
      </w:pPr>
      <w:r w:rsidRPr="00414D13">
        <w:rPr>
          <w:rFonts w:asciiTheme="minorHAnsi" w:hAnsiTheme="minorHAnsi"/>
          <w:b/>
        </w:rPr>
        <w:t>DAC6150 The proportion of CYP with ED (routine cases) that wait 4 weeks or less from referral to s</w:t>
      </w:r>
      <w:r w:rsidR="00414D13" w:rsidRPr="00414D13">
        <w:rPr>
          <w:rFonts w:asciiTheme="minorHAnsi" w:hAnsiTheme="minorHAnsi"/>
          <w:b/>
        </w:rPr>
        <w:t xml:space="preserve">tart of NICE-approved treatment - </w:t>
      </w:r>
      <w:r w:rsidRPr="00414D13">
        <w:rPr>
          <w:rFonts w:asciiTheme="minorHAnsi" w:hAnsiTheme="minorHAnsi"/>
        </w:rPr>
        <w:t>Although quarter two performance was 100%, the Year to date performance has been affected because quarter one performance was below threshold, a contributing factor is due to the numbers of children and young people going through the service meaning this can have a significant effect on the overall performance.</w:t>
      </w:r>
    </w:p>
    <w:p w:rsidR="00DD7634" w:rsidRPr="006A5EFC" w:rsidRDefault="00DD7634" w:rsidP="00DD7634">
      <w:pPr>
        <w:pStyle w:val="Heading1"/>
        <w:rPr>
          <w:rFonts w:asciiTheme="minorHAnsi" w:hAnsiTheme="minorHAnsi"/>
          <w:sz w:val="24"/>
          <w:szCs w:val="24"/>
        </w:rPr>
      </w:pPr>
      <w:r w:rsidRPr="006A5EFC">
        <w:rPr>
          <w:rFonts w:asciiTheme="minorHAnsi" w:hAnsiTheme="minorHAnsi"/>
          <w:sz w:val="24"/>
          <w:szCs w:val="24"/>
        </w:rPr>
        <w:t>Wid</w:t>
      </w:r>
      <w:r w:rsidR="00414D13">
        <w:rPr>
          <w:rFonts w:asciiTheme="minorHAnsi" w:hAnsiTheme="minorHAnsi"/>
          <w:sz w:val="24"/>
          <w:szCs w:val="24"/>
        </w:rPr>
        <w:t>er Women’s and Children’s areas</w:t>
      </w:r>
    </w:p>
    <w:p w:rsidR="00DD7634" w:rsidRPr="006A5EFC" w:rsidRDefault="00DD7634" w:rsidP="00DD7634">
      <w:pPr>
        <w:rPr>
          <w:rFonts w:asciiTheme="minorHAnsi" w:hAnsiTheme="minorHAnsi"/>
          <w:b/>
        </w:rPr>
      </w:pPr>
    </w:p>
    <w:p w:rsidR="00DD7634" w:rsidRPr="00414D13" w:rsidRDefault="00DD7634" w:rsidP="00DD7634">
      <w:pPr>
        <w:rPr>
          <w:rFonts w:asciiTheme="minorHAnsi" w:hAnsiTheme="minorHAnsi"/>
          <w:sz w:val="22"/>
          <w:szCs w:val="22"/>
        </w:rPr>
      </w:pPr>
      <w:r w:rsidRPr="00414D13">
        <w:rPr>
          <w:rFonts w:asciiTheme="minorHAnsi" w:hAnsiTheme="minorHAnsi"/>
          <w:b/>
          <w:sz w:val="22"/>
          <w:szCs w:val="22"/>
        </w:rPr>
        <w:t xml:space="preserve">Special Educational Needs and </w:t>
      </w:r>
      <w:r w:rsidR="00414D13" w:rsidRPr="00414D13">
        <w:rPr>
          <w:rFonts w:asciiTheme="minorHAnsi" w:hAnsiTheme="minorHAnsi"/>
          <w:b/>
          <w:sz w:val="22"/>
          <w:szCs w:val="22"/>
        </w:rPr>
        <w:t xml:space="preserve">Disabilities (SEND) - </w:t>
      </w:r>
      <w:r w:rsidRPr="00414D13">
        <w:rPr>
          <w:rFonts w:asciiTheme="minorHAnsi" w:hAnsiTheme="minorHAnsi"/>
          <w:sz w:val="22"/>
          <w:szCs w:val="22"/>
        </w:rPr>
        <w:t>The Children and Families Act of 2014 places responsibility on LA’s and CCG’s to identify and meet the needs of children and young people and those who have special educational needs and/or disability aged 0-25.</w:t>
      </w:r>
      <w:r w:rsidR="00414D13" w:rsidRPr="00414D13">
        <w:rPr>
          <w:rFonts w:asciiTheme="minorHAnsi" w:hAnsiTheme="minorHAnsi"/>
          <w:sz w:val="22"/>
          <w:szCs w:val="22"/>
        </w:rPr>
        <w:t xml:space="preserve">  </w:t>
      </w:r>
      <w:r w:rsidRPr="00414D13">
        <w:rPr>
          <w:rFonts w:asciiTheme="minorHAnsi" w:hAnsiTheme="minorHAnsi"/>
          <w:sz w:val="22"/>
          <w:szCs w:val="22"/>
        </w:rPr>
        <w:t>In July 2018, Ofsted and the Care Quality Commission (CQC) conducted a joint inspection of our local area to assess our effectiveness in implementing the SEND reforms as set out in the 2014 act. As a result of the findings of this inspection we are required to develop a Written Statement of Action (WSOA) because of the significant areas of weakness identified in our local area’s practice.</w:t>
      </w:r>
      <w:r w:rsidR="00414D13" w:rsidRPr="00414D13">
        <w:rPr>
          <w:rFonts w:asciiTheme="minorHAnsi" w:hAnsiTheme="minorHAnsi"/>
          <w:sz w:val="22"/>
          <w:szCs w:val="22"/>
        </w:rPr>
        <w:t xml:space="preserve">  </w:t>
      </w:r>
      <w:r w:rsidRPr="00414D13">
        <w:rPr>
          <w:rFonts w:asciiTheme="minorHAnsi" w:hAnsiTheme="minorHAnsi"/>
          <w:sz w:val="22"/>
          <w:szCs w:val="22"/>
        </w:rPr>
        <w:t>The three areas of weakness that require improvement are:</w:t>
      </w:r>
    </w:p>
    <w:p w:rsidR="00DD7634" w:rsidRPr="00414D13" w:rsidRDefault="00DD7634" w:rsidP="00DD7634">
      <w:pPr>
        <w:numPr>
          <w:ilvl w:val="0"/>
          <w:numId w:val="24"/>
        </w:numPr>
        <w:rPr>
          <w:rFonts w:asciiTheme="minorHAnsi" w:hAnsiTheme="minorHAnsi"/>
          <w:sz w:val="22"/>
          <w:szCs w:val="22"/>
        </w:rPr>
      </w:pPr>
      <w:r w:rsidRPr="00414D13">
        <w:rPr>
          <w:rFonts w:asciiTheme="minorHAnsi" w:hAnsiTheme="minorHAnsi"/>
          <w:sz w:val="22"/>
          <w:szCs w:val="22"/>
        </w:rPr>
        <w:t>Local area leaders have a limited understanding of the needs of children and young people who have SEN and/or disabilities and the education, health and care outcomes they achieve. This fundamentally weakens the local area’s ability to jointly plan, commission and provide the right services, resources and support for this group of children and young people, and their families.</w:t>
      </w:r>
    </w:p>
    <w:p w:rsidR="00DD7634" w:rsidRPr="00414D13" w:rsidRDefault="00DD7634" w:rsidP="00DD7634">
      <w:pPr>
        <w:numPr>
          <w:ilvl w:val="0"/>
          <w:numId w:val="24"/>
        </w:numPr>
        <w:rPr>
          <w:rFonts w:asciiTheme="minorHAnsi" w:hAnsiTheme="minorHAnsi"/>
          <w:sz w:val="22"/>
          <w:szCs w:val="22"/>
        </w:rPr>
      </w:pPr>
      <w:r w:rsidRPr="00414D13">
        <w:rPr>
          <w:rFonts w:asciiTheme="minorHAnsi" w:hAnsiTheme="minorHAnsi"/>
          <w:sz w:val="22"/>
          <w:szCs w:val="22"/>
        </w:rPr>
        <w:t>The local area’s strategy for improving arrangements for identifying, assessing and meeting the needs of children and young people who have SEN and/or disabilities, and improving their outcomes, is ineffective.</w:t>
      </w:r>
    </w:p>
    <w:p w:rsidR="00DD7634" w:rsidRPr="00414D13" w:rsidRDefault="00DD7634" w:rsidP="00D1789C">
      <w:pPr>
        <w:numPr>
          <w:ilvl w:val="0"/>
          <w:numId w:val="24"/>
        </w:numPr>
        <w:rPr>
          <w:rFonts w:asciiTheme="minorHAnsi" w:hAnsiTheme="minorHAnsi"/>
          <w:sz w:val="22"/>
          <w:szCs w:val="22"/>
        </w:rPr>
      </w:pPr>
      <w:r w:rsidRPr="00414D13">
        <w:rPr>
          <w:rFonts w:asciiTheme="minorHAnsi" w:hAnsiTheme="minorHAnsi"/>
          <w:sz w:val="22"/>
          <w:szCs w:val="22"/>
        </w:rPr>
        <w:t>Children, young people and families have too little involvement in meaningfully co-producing the education, health and care services they need.</w:t>
      </w:r>
    </w:p>
    <w:p w:rsidR="00414D13" w:rsidRPr="00414D13" w:rsidRDefault="00414D13" w:rsidP="00DD7634">
      <w:pPr>
        <w:rPr>
          <w:rFonts w:asciiTheme="minorHAnsi" w:hAnsiTheme="minorHAnsi"/>
          <w:sz w:val="22"/>
          <w:szCs w:val="22"/>
        </w:rPr>
      </w:pPr>
    </w:p>
    <w:p w:rsidR="00DD7634" w:rsidRPr="00414D13" w:rsidRDefault="00DD7634" w:rsidP="00DD7634">
      <w:pPr>
        <w:rPr>
          <w:rFonts w:asciiTheme="minorHAnsi" w:hAnsiTheme="minorHAnsi"/>
          <w:sz w:val="22"/>
          <w:szCs w:val="22"/>
        </w:rPr>
      </w:pPr>
      <w:r w:rsidRPr="00414D13">
        <w:rPr>
          <w:rFonts w:asciiTheme="minorHAnsi" w:hAnsiTheme="minorHAnsi"/>
          <w:sz w:val="22"/>
          <w:szCs w:val="22"/>
        </w:rPr>
        <w:t>The WSOA has to be submitted by 12</w:t>
      </w:r>
      <w:r w:rsidRPr="00414D13">
        <w:rPr>
          <w:rFonts w:asciiTheme="minorHAnsi" w:hAnsiTheme="minorHAnsi"/>
          <w:sz w:val="22"/>
          <w:szCs w:val="22"/>
          <w:vertAlign w:val="superscript"/>
        </w:rPr>
        <w:t>th</w:t>
      </w:r>
      <w:r w:rsidRPr="00414D13">
        <w:rPr>
          <w:rFonts w:asciiTheme="minorHAnsi" w:hAnsiTheme="minorHAnsi"/>
          <w:sz w:val="22"/>
          <w:szCs w:val="22"/>
        </w:rPr>
        <w:t xml:space="preserve"> December, after which Ofsted and CQC will review the fitness for purpose of the WSOA within 10 working days, if the statement is deemed not fit for purpose we will be required to re-submit within 20 working days. If the statement is still not fit for purpose, this is escalated to the Minister which could result in additional targeted support and monitoring. </w:t>
      </w:r>
    </w:p>
    <w:p w:rsidR="00DD7634" w:rsidRPr="00414D13" w:rsidRDefault="00DD7634" w:rsidP="00DD7634">
      <w:pPr>
        <w:rPr>
          <w:rFonts w:asciiTheme="minorHAnsi" w:hAnsiTheme="minorHAnsi"/>
          <w:sz w:val="22"/>
          <w:szCs w:val="22"/>
        </w:rPr>
      </w:pPr>
    </w:p>
    <w:p w:rsidR="00DD7634" w:rsidRPr="00414D13" w:rsidRDefault="00DD7634" w:rsidP="00DD7634">
      <w:pPr>
        <w:rPr>
          <w:rFonts w:asciiTheme="minorHAnsi" w:hAnsiTheme="minorHAnsi"/>
          <w:sz w:val="22"/>
          <w:szCs w:val="22"/>
        </w:rPr>
      </w:pPr>
      <w:r w:rsidRPr="00414D13">
        <w:rPr>
          <w:rFonts w:asciiTheme="minorHAnsi" w:hAnsiTheme="minorHAnsi"/>
          <w:sz w:val="22"/>
          <w:szCs w:val="22"/>
        </w:rPr>
        <w:t>Whilst the review identified some areas of good practice it also picked up areas for improvement across Education, Health and Social Care; of these the following areas are of specific note for the CCG / DAC and they will require additional capacity and  focused work.</w:t>
      </w:r>
    </w:p>
    <w:p w:rsidR="00DD7634" w:rsidRPr="00414D13" w:rsidRDefault="00DD7634" w:rsidP="00DD7634">
      <w:pPr>
        <w:rPr>
          <w:rFonts w:asciiTheme="minorHAnsi" w:hAnsiTheme="minorHAnsi"/>
          <w:sz w:val="22"/>
          <w:szCs w:val="22"/>
        </w:rPr>
      </w:pPr>
    </w:p>
    <w:p w:rsidR="00DD7634" w:rsidRPr="00414D13" w:rsidRDefault="00DD7634" w:rsidP="00DD7634">
      <w:pPr>
        <w:pStyle w:val="ListParagraph"/>
        <w:numPr>
          <w:ilvl w:val="0"/>
          <w:numId w:val="25"/>
        </w:numPr>
        <w:spacing w:after="0" w:line="240" w:lineRule="auto"/>
        <w:rPr>
          <w:rFonts w:asciiTheme="minorHAnsi" w:hAnsiTheme="minorHAnsi"/>
        </w:rPr>
      </w:pPr>
      <w:r w:rsidRPr="00414D13">
        <w:rPr>
          <w:rFonts w:asciiTheme="minorHAnsi" w:hAnsiTheme="minorHAnsi"/>
        </w:rPr>
        <w:t xml:space="preserve">Review of the transition arrangements in community nursing services  </w:t>
      </w:r>
    </w:p>
    <w:p w:rsidR="00DD7634" w:rsidRPr="00414D13" w:rsidRDefault="00DD7634" w:rsidP="00DD7634">
      <w:pPr>
        <w:pStyle w:val="ListParagraph"/>
        <w:numPr>
          <w:ilvl w:val="0"/>
          <w:numId w:val="25"/>
        </w:numPr>
        <w:spacing w:after="0" w:line="240" w:lineRule="auto"/>
        <w:rPr>
          <w:rFonts w:asciiTheme="minorHAnsi" w:hAnsiTheme="minorHAnsi"/>
        </w:rPr>
      </w:pPr>
      <w:r w:rsidRPr="00414D13">
        <w:rPr>
          <w:rFonts w:asciiTheme="minorHAnsi" w:hAnsiTheme="minorHAnsi"/>
        </w:rPr>
        <w:t>Review arrangements, capacity, pathways, access and waiting times for Occupational Therapy, Speech &amp;language Therapy, Orthotics and equipment</w:t>
      </w:r>
    </w:p>
    <w:p w:rsidR="00DD7634" w:rsidRPr="00414D13" w:rsidRDefault="00DD7634" w:rsidP="00DD7634">
      <w:pPr>
        <w:pStyle w:val="ListParagraph"/>
        <w:numPr>
          <w:ilvl w:val="0"/>
          <w:numId w:val="25"/>
        </w:numPr>
        <w:spacing w:after="0" w:line="240" w:lineRule="auto"/>
        <w:rPr>
          <w:rFonts w:asciiTheme="minorHAnsi" w:hAnsiTheme="minorHAnsi"/>
        </w:rPr>
      </w:pPr>
      <w:r w:rsidRPr="00414D13">
        <w:rPr>
          <w:rFonts w:asciiTheme="minorHAnsi" w:hAnsiTheme="minorHAnsi"/>
        </w:rPr>
        <w:t>Review  of the Access Pathway including ASD assessment and post diagnosis support</w:t>
      </w:r>
    </w:p>
    <w:p w:rsidR="00DD7634" w:rsidRPr="00414D13" w:rsidRDefault="00DD7634" w:rsidP="00DD7634">
      <w:pPr>
        <w:pStyle w:val="ListParagraph"/>
        <w:numPr>
          <w:ilvl w:val="0"/>
          <w:numId w:val="25"/>
        </w:numPr>
        <w:spacing w:after="0" w:line="240" w:lineRule="auto"/>
        <w:rPr>
          <w:rFonts w:asciiTheme="minorHAnsi" w:hAnsiTheme="minorHAnsi"/>
        </w:rPr>
      </w:pPr>
      <w:r w:rsidRPr="00414D13">
        <w:rPr>
          <w:rFonts w:asciiTheme="minorHAnsi" w:hAnsiTheme="minorHAnsi"/>
        </w:rPr>
        <w:t xml:space="preserve">Review of access and waiting times at CDC and commission a NICE complaint ASD pathway </w:t>
      </w:r>
    </w:p>
    <w:p w:rsidR="00DD7634" w:rsidRPr="00414D13" w:rsidRDefault="00DD7634" w:rsidP="00DD7634">
      <w:pPr>
        <w:pStyle w:val="ListParagraph"/>
        <w:numPr>
          <w:ilvl w:val="0"/>
          <w:numId w:val="25"/>
        </w:numPr>
        <w:spacing w:after="0" w:line="240" w:lineRule="auto"/>
        <w:rPr>
          <w:rFonts w:asciiTheme="minorHAnsi" w:hAnsiTheme="minorHAnsi"/>
        </w:rPr>
      </w:pPr>
      <w:r w:rsidRPr="00414D13">
        <w:rPr>
          <w:rFonts w:asciiTheme="minorHAnsi" w:hAnsiTheme="minorHAnsi"/>
        </w:rPr>
        <w:t xml:space="preserve">Review the accessibility of health information of children with SEND held in GP records </w:t>
      </w:r>
    </w:p>
    <w:p w:rsidR="00DD7634" w:rsidRPr="00414D13" w:rsidRDefault="00DD7634" w:rsidP="00DD7634">
      <w:pPr>
        <w:pStyle w:val="ListParagraph"/>
        <w:numPr>
          <w:ilvl w:val="0"/>
          <w:numId w:val="25"/>
        </w:numPr>
        <w:spacing w:after="0" w:line="240" w:lineRule="auto"/>
        <w:rPr>
          <w:rFonts w:asciiTheme="minorHAnsi" w:hAnsiTheme="minorHAnsi"/>
        </w:rPr>
      </w:pPr>
      <w:r w:rsidRPr="00414D13">
        <w:rPr>
          <w:rFonts w:asciiTheme="minorHAnsi" w:hAnsiTheme="minorHAnsi"/>
        </w:rPr>
        <w:t>Ensure that the health information of Looked after children who are adopted is transferred into the new health record</w:t>
      </w:r>
    </w:p>
    <w:p w:rsidR="00DD7634" w:rsidRPr="00414D13" w:rsidRDefault="00DD7634" w:rsidP="00DD7634">
      <w:pPr>
        <w:pStyle w:val="ListParagraph"/>
        <w:numPr>
          <w:ilvl w:val="0"/>
          <w:numId w:val="25"/>
        </w:numPr>
        <w:spacing w:after="0" w:line="240" w:lineRule="auto"/>
        <w:rPr>
          <w:rFonts w:asciiTheme="minorHAnsi" w:hAnsiTheme="minorHAnsi"/>
        </w:rPr>
      </w:pPr>
      <w:r w:rsidRPr="00414D13">
        <w:rPr>
          <w:rFonts w:asciiTheme="minorHAnsi" w:hAnsiTheme="minorHAnsi"/>
        </w:rPr>
        <w:t>Review of the structure and contractual arrangements of the DCO and the designated nurse for children and young people who are looked after.</w:t>
      </w:r>
    </w:p>
    <w:p w:rsidR="00DD7634" w:rsidRPr="00414D13" w:rsidRDefault="00DD7634" w:rsidP="00DD7634">
      <w:pPr>
        <w:rPr>
          <w:rFonts w:asciiTheme="minorHAnsi" w:hAnsiTheme="minorHAnsi"/>
          <w:sz w:val="22"/>
          <w:szCs w:val="22"/>
        </w:rPr>
      </w:pPr>
    </w:p>
    <w:p w:rsidR="00DD7634" w:rsidRPr="00414D13" w:rsidRDefault="00DD7634" w:rsidP="00DD7634">
      <w:pPr>
        <w:rPr>
          <w:rFonts w:asciiTheme="minorHAnsi" w:hAnsiTheme="minorHAnsi"/>
          <w:sz w:val="22"/>
          <w:szCs w:val="22"/>
        </w:rPr>
      </w:pPr>
      <w:r w:rsidRPr="00414D13">
        <w:rPr>
          <w:rFonts w:asciiTheme="minorHAnsi" w:hAnsiTheme="minorHAnsi"/>
          <w:sz w:val="22"/>
          <w:szCs w:val="22"/>
        </w:rPr>
        <w:t>The LA and CCG are jointly responsible for the implementation and delivery of the objectives of the WSOA, NHSE and DofH will monitor progress throughout 2019 and a re-inspection will be announced in approximately 18 / 24 months.</w:t>
      </w:r>
    </w:p>
    <w:p w:rsidR="00DD7634" w:rsidRPr="00414D13" w:rsidRDefault="00DD7634" w:rsidP="00DD7634">
      <w:pPr>
        <w:rPr>
          <w:rFonts w:asciiTheme="minorHAnsi" w:hAnsiTheme="minorHAnsi"/>
          <w:sz w:val="22"/>
          <w:szCs w:val="22"/>
        </w:rPr>
      </w:pPr>
    </w:p>
    <w:p w:rsidR="00414D13" w:rsidRPr="00414D13" w:rsidRDefault="00414D13" w:rsidP="00DD7634">
      <w:pPr>
        <w:rPr>
          <w:rFonts w:asciiTheme="minorHAnsi" w:hAnsiTheme="minorHAnsi"/>
          <w:sz w:val="22"/>
          <w:szCs w:val="22"/>
        </w:rPr>
      </w:pPr>
    </w:p>
    <w:p w:rsidR="00DD7634" w:rsidRPr="00414D13" w:rsidRDefault="00DD7634" w:rsidP="00DD7634">
      <w:pPr>
        <w:rPr>
          <w:rFonts w:asciiTheme="minorHAnsi" w:hAnsiTheme="minorHAnsi"/>
          <w:b/>
          <w:sz w:val="22"/>
          <w:szCs w:val="22"/>
        </w:rPr>
      </w:pPr>
    </w:p>
    <w:p w:rsidR="00DD7634" w:rsidRDefault="00FA2C31" w:rsidP="00DD7634">
      <w:pPr>
        <w:spacing w:after="200" w:line="276" w:lineRule="auto"/>
        <w:rPr>
          <w:rFonts w:asciiTheme="minorHAnsi" w:hAnsiTheme="minorHAnsi"/>
          <w:b/>
        </w:rPr>
      </w:pPr>
      <w:r>
        <w:rPr>
          <w:rFonts w:asciiTheme="minorHAnsi" w:hAnsiTheme="minorHAnsi"/>
          <w:b/>
        </w:rPr>
        <w:t xml:space="preserve">Women’s and Children’s </w:t>
      </w:r>
      <w:r w:rsidR="00DD7634" w:rsidRPr="00EA0A3B">
        <w:rPr>
          <w:rFonts w:asciiTheme="minorHAnsi" w:hAnsiTheme="minorHAnsi"/>
          <w:b/>
        </w:rPr>
        <w:t>S</w:t>
      </w:r>
      <w:r w:rsidR="00DD7634">
        <w:rPr>
          <w:rFonts w:asciiTheme="minorHAnsi" w:hAnsiTheme="minorHAnsi"/>
          <w:b/>
        </w:rPr>
        <w:t xml:space="preserve">trategic </w:t>
      </w:r>
      <w:r w:rsidR="00DD7634" w:rsidRPr="00EA0A3B">
        <w:rPr>
          <w:rFonts w:asciiTheme="minorHAnsi" w:hAnsiTheme="minorHAnsi"/>
          <w:b/>
        </w:rPr>
        <w:t xml:space="preserve">commissioning </w:t>
      </w:r>
      <w:r>
        <w:rPr>
          <w:rFonts w:asciiTheme="minorHAnsi" w:hAnsiTheme="minorHAnsi"/>
          <w:b/>
        </w:rPr>
        <w:t>priorities</w:t>
      </w:r>
    </w:p>
    <w:p w:rsidR="00DD7634" w:rsidRPr="008473F8" w:rsidRDefault="00DD7634" w:rsidP="00DD7634">
      <w:pPr>
        <w:pStyle w:val="ListParagraph"/>
        <w:numPr>
          <w:ilvl w:val="0"/>
          <w:numId w:val="26"/>
        </w:numPr>
        <w:rPr>
          <w:rFonts w:asciiTheme="minorHAnsi" w:hAnsiTheme="minorHAnsi"/>
        </w:rPr>
      </w:pPr>
      <w:r>
        <w:rPr>
          <w:rFonts w:asciiTheme="minorHAnsi" w:hAnsiTheme="minorHAnsi"/>
        </w:rPr>
        <w:t>SEND WSOA</w:t>
      </w:r>
    </w:p>
    <w:p w:rsidR="00DD7634" w:rsidRDefault="00DD7634" w:rsidP="00DD7634">
      <w:pPr>
        <w:pStyle w:val="ListParagraph"/>
        <w:numPr>
          <w:ilvl w:val="0"/>
          <w:numId w:val="26"/>
        </w:numPr>
        <w:rPr>
          <w:rFonts w:asciiTheme="minorHAnsi" w:hAnsiTheme="minorHAnsi"/>
        </w:rPr>
      </w:pPr>
      <w:r>
        <w:rPr>
          <w:rFonts w:asciiTheme="minorHAnsi" w:hAnsiTheme="minorHAnsi"/>
        </w:rPr>
        <w:t>Robust delivery of monitoring and evaluation of Women’s and Children’s Commissioned Services and Pathways.</w:t>
      </w:r>
    </w:p>
    <w:p w:rsidR="006A0A2E" w:rsidRPr="00FA2C31" w:rsidRDefault="00DD7634" w:rsidP="00D1789C">
      <w:pPr>
        <w:pStyle w:val="ListParagraph"/>
        <w:numPr>
          <w:ilvl w:val="0"/>
          <w:numId w:val="26"/>
        </w:numPr>
        <w:rPr>
          <w:rFonts w:eastAsia="Verdana" w:cs="Calibri"/>
          <w:bCs/>
          <w:color w:val="000000"/>
        </w:rPr>
      </w:pPr>
      <w:r w:rsidRPr="00FA2C31">
        <w:rPr>
          <w:rFonts w:asciiTheme="minorHAnsi" w:hAnsiTheme="minorHAnsi"/>
        </w:rPr>
        <w:t xml:space="preserve">Quality Improvement activity in patient pathways as </w:t>
      </w:r>
      <w:r w:rsidR="00FA2C31" w:rsidRPr="00FA2C31">
        <w:rPr>
          <w:rFonts w:asciiTheme="minorHAnsi" w:hAnsiTheme="minorHAnsi"/>
        </w:rPr>
        <w:t>articulated within</w:t>
      </w:r>
      <w:r w:rsidRPr="00FA2C31">
        <w:rPr>
          <w:rFonts w:asciiTheme="minorHAnsi" w:hAnsiTheme="minorHAnsi"/>
        </w:rPr>
        <w:t xml:space="preserve"> the report.</w:t>
      </w:r>
    </w:p>
    <w:p w:rsidR="006A0A2E" w:rsidRPr="00B144EA" w:rsidRDefault="006A0A2E" w:rsidP="006A0A2E">
      <w:pPr>
        <w:rPr>
          <w:rFonts w:ascii="Calibri" w:eastAsia="Verdana" w:hAnsi="Calibri" w:cs="Calibri"/>
          <w:bCs/>
          <w:color w:val="000000"/>
          <w:sz w:val="16"/>
          <w:szCs w:val="16"/>
        </w:rPr>
      </w:pPr>
    </w:p>
    <w:p w:rsidR="006A0A2E" w:rsidRDefault="006A0A2E" w:rsidP="006A0A2E">
      <w:pPr>
        <w:rPr>
          <w:rFonts w:ascii="Calibri" w:eastAsia="Verdana" w:hAnsi="Calibri" w:cs="Calibri"/>
          <w:bCs/>
          <w:color w:val="000000"/>
          <w:sz w:val="22"/>
          <w:szCs w:val="22"/>
        </w:rPr>
      </w:pPr>
    </w:p>
    <w:p w:rsidR="009D16C7" w:rsidRDefault="009D16C7"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7C3E46" w:rsidRDefault="007C3E46" w:rsidP="000274FB">
      <w:pPr>
        <w:jc w:val="center"/>
        <w:rPr>
          <w:rFonts w:ascii="Calibri" w:eastAsia="Verdana" w:hAnsi="Calibri" w:cs="Calibri"/>
          <w:b/>
          <w:color w:val="000000"/>
          <w:sz w:val="36"/>
          <w:szCs w:val="36"/>
        </w:rPr>
      </w:pPr>
    </w:p>
    <w:p w:rsidR="007C3E46" w:rsidRDefault="007C3E46" w:rsidP="000274FB">
      <w:pPr>
        <w:jc w:val="center"/>
        <w:rPr>
          <w:rFonts w:ascii="Calibri" w:eastAsia="Verdana" w:hAnsi="Calibri" w:cs="Calibri"/>
          <w:b/>
          <w:color w:val="000000"/>
          <w:sz w:val="36"/>
          <w:szCs w:val="36"/>
        </w:rPr>
      </w:pPr>
    </w:p>
    <w:p w:rsidR="007C3E46" w:rsidRDefault="007C3E46" w:rsidP="000274FB">
      <w:pPr>
        <w:jc w:val="center"/>
        <w:rPr>
          <w:rFonts w:ascii="Calibri" w:eastAsia="Verdana" w:hAnsi="Calibri" w:cs="Calibri"/>
          <w:b/>
          <w:color w:val="000000"/>
          <w:sz w:val="36"/>
          <w:szCs w:val="36"/>
        </w:rPr>
      </w:pPr>
    </w:p>
    <w:p w:rsidR="007C3E46" w:rsidRDefault="007C3E46" w:rsidP="000274FB">
      <w:pPr>
        <w:jc w:val="center"/>
        <w:rPr>
          <w:rFonts w:ascii="Calibri" w:eastAsia="Verdana" w:hAnsi="Calibri" w:cs="Calibri"/>
          <w:b/>
          <w:color w:val="000000"/>
          <w:sz w:val="36"/>
          <w:szCs w:val="36"/>
        </w:rPr>
      </w:pPr>
    </w:p>
    <w:p w:rsidR="007C3E46" w:rsidRDefault="007C3E46" w:rsidP="000274FB">
      <w:pPr>
        <w:jc w:val="center"/>
        <w:rPr>
          <w:rFonts w:ascii="Calibri" w:eastAsia="Verdana" w:hAnsi="Calibri" w:cs="Calibri"/>
          <w:b/>
          <w:color w:val="000000"/>
          <w:sz w:val="36"/>
          <w:szCs w:val="36"/>
        </w:rPr>
      </w:pPr>
    </w:p>
    <w:p w:rsidR="007C3E46" w:rsidRDefault="007C3E46"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CB75F9" w:rsidRDefault="00CB75F9" w:rsidP="000274FB">
      <w:pPr>
        <w:jc w:val="center"/>
        <w:rPr>
          <w:rFonts w:ascii="Calibri" w:eastAsia="Verdana" w:hAnsi="Calibri" w:cs="Calibri"/>
          <w:b/>
          <w:color w:val="000000"/>
          <w:sz w:val="36"/>
          <w:szCs w:val="36"/>
        </w:rPr>
      </w:pPr>
    </w:p>
    <w:p w:rsidR="00280FD9" w:rsidRPr="0031091B" w:rsidRDefault="009D16C7" w:rsidP="000274FB">
      <w:pPr>
        <w:jc w:val="center"/>
        <w:rPr>
          <w:rFonts w:ascii="Calibri" w:eastAsia="Verdana" w:hAnsi="Calibri" w:cs="Calibri"/>
          <w:b/>
          <w:color w:val="000000"/>
          <w:sz w:val="36"/>
          <w:szCs w:val="36"/>
        </w:rPr>
      </w:pPr>
      <w:r>
        <w:rPr>
          <w:rFonts w:ascii="Calibri" w:eastAsia="Verdana" w:hAnsi="Calibri" w:cs="Calibri"/>
          <w:b/>
          <w:color w:val="000000"/>
          <w:sz w:val="36"/>
          <w:szCs w:val="36"/>
        </w:rPr>
        <w:t>Q</w:t>
      </w:r>
      <w:r w:rsidR="005B73F7" w:rsidRPr="0031091B">
        <w:rPr>
          <w:rFonts w:ascii="Calibri" w:eastAsia="Verdana" w:hAnsi="Calibri" w:cs="Calibri"/>
          <w:b/>
          <w:color w:val="000000"/>
          <w:sz w:val="36"/>
          <w:szCs w:val="36"/>
        </w:rPr>
        <w:t>uality Escalation</w:t>
      </w:r>
    </w:p>
    <w:p w:rsidR="005B73F7" w:rsidRPr="00B05D5D" w:rsidRDefault="005B73F7" w:rsidP="005B73F7">
      <w:pPr>
        <w:pStyle w:val="NormalWeb"/>
        <w:shd w:val="clear" w:color="auto" w:fill="FFFFFF"/>
        <w:spacing w:before="0" w:beforeAutospacing="0" w:after="0" w:afterAutospacing="0" w:line="360" w:lineRule="atLeast"/>
        <w:jc w:val="center"/>
        <w:textAlignment w:val="baseline"/>
        <w:rPr>
          <w:rFonts w:ascii="Calibri" w:eastAsia="Verdana" w:hAnsi="Calibri" w:cs="Calibri"/>
          <w:b/>
          <w:color w:val="000000"/>
          <w:sz w:val="16"/>
          <w:szCs w:val="16"/>
        </w:rPr>
      </w:pPr>
    </w:p>
    <w:p w:rsidR="00B05D5D" w:rsidRPr="0031091B" w:rsidRDefault="00B05D5D" w:rsidP="00B05D5D">
      <w:pPr>
        <w:rPr>
          <w:rFonts w:ascii="Calibri" w:eastAsia="Verdana" w:hAnsi="Calibri" w:cs="Calibri"/>
          <w:b/>
          <w:color w:val="000000"/>
          <w:sz w:val="36"/>
          <w:szCs w:val="36"/>
        </w:rPr>
      </w:pPr>
      <w:r w:rsidRPr="0031091B">
        <w:rPr>
          <w:rFonts w:ascii="Calibri" w:eastAsia="Verdana" w:hAnsi="Calibri" w:cs="Calibri"/>
          <w:b/>
          <w:color w:val="000000"/>
          <w:sz w:val="36"/>
          <w:szCs w:val="36"/>
        </w:rPr>
        <w:t>Quality Escalation</w:t>
      </w:r>
    </w:p>
    <w:p w:rsidR="00B05D5D" w:rsidRPr="0031091B" w:rsidRDefault="00B05D5D" w:rsidP="00B05D5D">
      <w:pPr>
        <w:pStyle w:val="NormalWeb"/>
        <w:shd w:val="clear" w:color="auto" w:fill="FFFFFF"/>
        <w:spacing w:before="0" w:beforeAutospacing="0" w:after="0" w:afterAutospacing="0" w:line="360" w:lineRule="atLeast"/>
        <w:jc w:val="center"/>
        <w:textAlignment w:val="baseline"/>
        <w:rPr>
          <w:rFonts w:ascii="Calibri" w:eastAsia="Verdana" w:hAnsi="Calibri" w:cs="Calibri"/>
          <w:b/>
          <w:color w:val="000000"/>
          <w:sz w:val="36"/>
          <w:szCs w:val="36"/>
        </w:rPr>
      </w:pPr>
    </w:p>
    <w:p w:rsidR="00B05D5D" w:rsidRPr="0031091B" w:rsidRDefault="00B05D5D" w:rsidP="00B05D5D">
      <w:pPr>
        <w:shd w:val="clear" w:color="auto" w:fill="FFFFFF"/>
        <w:autoSpaceDE w:val="0"/>
        <w:autoSpaceDN w:val="0"/>
        <w:adjustRightInd w:val="0"/>
        <w:jc w:val="both"/>
        <w:rPr>
          <w:rFonts w:ascii="Calibri" w:eastAsia="Verdana" w:hAnsi="Calibri" w:cs="Calibri"/>
          <w:color w:val="000000"/>
          <w:sz w:val="22"/>
          <w:szCs w:val="22"/>
        </w:rPr>
      </w:pPr>
      <w:r w:rsidRPr="0031091B">
        <w:rPr>
          <w:rFonts w:ascii="Calibri" w:eastAsia="Verdana" w:hAnsi="Calibri" w:cs="Calibri"/>
          <w:color w:val="000000"/>
          <w:sz w:val="22"/>
          <w:szCs w:val="22"/>
        </w:rPr>
        <w:t xml:space="preserve">The purpose of this report is to highlight the exceptions in Quality and to escalate items from the </w:t>
      </w:r>
      <w:r w:rsidR="00083852">
        <w:rPr>
          <w:rFonts w:ascii="Calibri" w:eastAsia="Verdana" w:hAnsi="Calibri" w:cs="Calibri"/>
          <w:color w:val="000000"/>
          <w:sz w:val="22"/>
          <w:szCs w:val="22"/>
        </w:rPr>
        <w:t xml:space="preserve">Clinical Governance </w:t>
      </w:r>
      <w:r w:rsidRPr="0031091B">
        <w:rPr>
          <w:rFonts w:ascii="Calibri" w:eastAsia="Verdana" w:hAnsi="Calibri" w:cs="Calibri"/>
          <w:color w:val="000000"/>
          <w:sz w:val="22"/>
          <w:szCs w:val="22"/>
        </w:rPr>
        <w:t xml:space="preserve">Committee to the Board. </w:t>
      </w:r>
    </w:p>
    <w:p w:rsidR="00B05D5D" w:rsidRPr="00517CE1" w:rsidRDefault="00B05D5D" w:rsidP="00B05D5D">
      <w:pPr>
        <w:pStyle w:val="Default"/>
        <w:jc w:val="both"/>
        <w:rPr>
          <w:rFonts w:ascii="Calibri" w:hAnsi="Calibri" w:cs="Calibri"/>
          <w:b/>
          <w:sz w:val="22"/>
          <w:szCs w:val="22"/>
          <w:highlight w:val="yellow"/>
        </w:rPr>
      </w:pPr>
    </w:p>
    <w:p w:rsidR="00B05D5D" w:rsidRPr="00493295" w:rsidRDefault="00B05D5D" w:rsidP="00B05D5D">
      <w:pPr>
        <w:pStyle w:val="Default"/>
        <w:numPr>
          <w:ilvl w:val="0"/>
          <w:numId w:val="4"/>
        </w:numPr>
        <w:jc w:val="both"/>
        <w:rPr>
          <w:rFonts w:ascii="Calibri" w:hAnsi="Calibri" w:cs="Calibri"/>
          <w:b/>
          <w:sz w:val="22"/>
          <w:szCs w:val="22"/>
        </w:rPr>
      </w:pPr>
      <w:r w:rsidRPr="00493295">
        <w:rPr>
          <w:rFonts w:ascii="Calibri" w:hAnsi="Calibri" w:cs="Calibri"/>
          <w:b/>
          <w:sz w:val="22"/>
          <w:szCs w:val="22"/>
        </w:rPr>
        <w:t>Enhanced Quality Surveillance</w:t>
      </w:r>
    </w:p>
    <w:p w:rsidR="00B05D5D" w:rsidRDefault="007C3E46" w:rsidP="00B05D5D">
      <w:pPr>
        <w:pStyle w:val="Default"/>
        <w:ind w:left="720"/>
        <w:jc w:val="both"/>
        <w:rPr>
          <w:rFonts w:ascii="Calibri" w:hAnsi="Calibri" w:cs="Calibri"/>
          <w:sz w:val="22"/>
          <w:szCs w:val="22"/>
        </w:rPr>
      </w:pPr>
      <w:r>
        <w:rPr>
          <w:rFonts w:ascii="Calibri" w:hAnsi="Calibri" w:cs="Calibri"/>
          <w:sz w:val="22"/>
          <w:szCs w:val="22"/>
        </w:rPr>
        <w:t xml:space="preserve">Two </w:t>
      </w:r>
      <w:r w:rsidR="00B05D5D">
        <w:rPr>
          <w:rFonts w:ascii="Calibri" w:hAnsi="Calibri" w:cs="Calibri"/>
          <w:sz w:val="22"/>
          <w:szCs w:val="22"/>
        </w:rPr>
        <w:t>provide</w:t>
      </w:r>
      <w:r w:rsidR="00C3206A">
        <w:rPr>
          <w:rFonts w:ascii="Calibri" w:hAnsi="Calibri" w:cs="Calibri"/>
          <w:sz w:val="22"/>
          <w:szCs w:val="22"/>
        </w:rPr>
        <w:t>r</w:t>
      </w:r>
      <w:r>
        <w:rPr>
          <w:rFonts w:ascii="Calibri" w:hAnsi="Calibri" w:cs="Calibri"/>
          <w:sz w:val="22"/>
          <w:szCs w:val="22"/>
        </w:rPr>
        <w:t>s</w:t>
      </w:r>
      <w:r w:rsidR="00B05D5D">
        <w:rPr>
          <w:rFonts w:ascii="Calibri" w:hAnsi="Calibri" w:cs="Calibri"/>
          <w:sz w:val="22"/>
          <w:szCs w:val="22"/>
        </w:rPr>
        <w:t xml:space="preserve"> across the North East</w:t>
      </w:r>
      <w:r w:rsidR="00B05D5D" w:rsidRPr="00493295">
        <w:rPr>
          <w:rFonts w:ascii="Calibri" w:hAnsi="Calibri" w:cs="Calibri"/>
          <w:sz w:val="22"/>
          <w:szCs w:val="22"/>
        </w:rPr>
        <w:t xml:space="preserve"> Lincolnshire health</w:t>
      </w:r>
      <w:r w:rsidR="00B05D5D">
        <w:rPr>
          <w:rFonts w:ascii="Calibri" w:hAnsi="Calibri" w:cs="Calibri"/>
          <w:sz w:val="22"/>
          <w:szCs w:val="22"/>
        </w:rPr>
        <w:t>care</w:t>
      </w:r>
      <w:r w:rsidR="00B05D5D" w:rsidRPr="00493295">
        <w:rPr>
          <w:rFonts w:ascii="Calibri" w:hAnsi="Calibri" w:cs="Calibri"/>
          <w:sz w:val="22"/>
          <w:szCs w:val="22"/>
        </w:rPr>
        <w:t xml:space="preserve"> system </w:t>
      </w:r>
      <w:r>
        <w:rPr>
          <w:rFonts w:ascii="Calibri" w:hAnsi="Calibri" w:cs="Calibri"/>
          <w:sz w:val="22"/>
          <w:szCs w:val="22"/>
        </w:rPr>
        <w:t>are on</w:t>
      </w:r>
      <w:r w:rsidR="00B05D5D" w:rsidRPr="00493295">
        <w:rPr>
          <w:rFonts w:ascii="Calibri" w:hAnsi="Calibri" w:cs="Calibri"/>
          <w:sz w:val="22"/>
          <w:szCs w:val="22"/>
        </w:rPr>
        <w:t xml:space="preserve"> an enhanced level of </w:t>
      </w:r>
      <w:r w:rsidR="00B05D5D">
        <w:rPr>
          <w:rFonts w:ascii="Calibri" w:hAnsi="Calibri" w:cs="Calibri"/>
          <w:sz w:val="22"/>
          <w:szCs w:val="22"/>
        </w:rPr>
        <w:t xml:space="preserve">quality </w:t>
      </w:r>
      <w:r w:rsidR="00B05D5D" w:rsidRPr="00493295">
        <w:rPr>
          <w:rFonts w:ascii="Calibri" w:hAnsi="Calibri" w:cs="Calibri"/>
          <w:sz w:val="22"/>
          <w:szCs w:val="22"/>
        </w:rPr>
        <w:t>surveill</w:t>
      </w:r>
      <w:r w:rsidR="00C3206A">
        <w:rPr>
          <w:rFonts w:ascii="Calibri" w:hAnsi="Calibri" w:cs="Calibri"/>
          <w:sz w:val="22"/>
          <w:szCs w:val="22"/>
        </w:rPr>
        <w:t xml:space="preserve">ance.  </w:t>
      </w:r>
      <w:r w:rsidR="007A15A4">
        <w:rPr>
          <w:rFonts w:ascii="Calibri" w:hAnsi="Calibri" w:cs="Calibri"/>
          <w:sz w:val="22"/>
          <w:szCs w:val="22"/>
        </w:rPr>
        <w:t xml:space="preserve"> </w:t>
      </w:r>
      <w:r>
        <w:rPr>
          <w:rFonts w:ascii="Calibri" w:hAnsi="Calibri" w:cs="Calibri"/>
          <w:sz w:val="22"/>
          <w:szCs w:val="22"/>
        </w:rPr>
        <w:t>The</w:t>
      </w:r>
      <w:r w:rsidR="00C3206A">
        <w:rPr>
          <w:rFonts w:ascii="Calibri" w:hAnsi="Calibri" w:cs="Calibri"/>
          <w:sz w:val="22"/>
          <w:szCs w:val="22"/>
        </w:rPr>
        <w:t xml:space="preserve"> provider</w:t>
      </w:r>
      <w:r>
        <w:rPr>
          <w:rFonts w:ascii="Calibri" w:hAnsi="Calibri" w:cs="Calibri"/>
          <w:sz w:val="22"/>
          <w:szCs w:val="22"/>
        </w:rPr>
        <w:t>s are</w:t>
      </w:r>
      <w:r w:rsidR="00C3206A">
        <w:rPr>
          <w:rFonts w:ascii="Calibri" w:hAnsi="Calibri" w:cs="Calibri"/>
          <w:sz w:val="22"/>
          <w:szCs w:val="22"/>
        </w:rPr>
        <w:t xml:space="preserve"> Northern Lincolnshire and Goole NHS Trust</w:t>
      </w:r>
      <w:r>
        <w:rPr>
          <w:rFonts w:ascii="Calibri" w:hAnsi="Calibri" w:cs="Calibri"/>
          <w:sz w:val="22"/>
          <w:szCs w:val="22"/>
        </w:rPr>
        <w:t xml:space="preserve"> and Thames Ambulance Service Limited (TASL)</w:t>
      </w:r>
      <w:r w:rsidR="00C3206A">
        <w:rPr>
          <w:rFonts w:ascii="Calibri" w:hAnsi="Calibri" w:cs="Calibri"/>
          <w:sz w:val="22"/>
          <w:szCs w:val="22"/>
        </w:rPr>
        <w:t>.</w:t>
      </w:r>
    </w:p>
    <w:p w:rsidR="00B05D5D" w:rsidRPr="00493295" w:rsidRDefault="00B05D5D" w:rsidP="00B05D5D">
      <w:pPr>
        <w:pStyle w:val="Default"/>
        <w:ind w:left="720"/>
        <w:jc w:val="both"/>
        <w:rPr>
          <w:rFonts w:ascii="Calibri" w:hAnsi="Calibri" w:cs="Calibri"/>
          <w:sz w:val="22"/>
          <w:szCs w:val="22"/>
        </w:rPr>
      </w:pPr>
    </w:p>
    <w:p w:rsidR="005003DC" w:rsidRPr="005003DC" w:rsidRDefault="00B05D5D" w:rsidP="007A15A4">
      <w:pPr>
        <w:pStyle w:val="Default"/>
        <w:numPr>
          <w:ilvl w:val="0"/>
          <w:numId w:val="4"/>
        </w:numPr>
        <w:jc w:val="both"/>
        <w:rPr>
          <w:rFonts w:ascii="Calibri" w:hAnsi="Calibri" w:cs="Calibri"/>
          <w:sz w:val="22"/>
          <w:szCs w:val="22"/>
        </w:rPr>
      </w:pPr>
      <w:r w:rsidRPr="0031091B">
        <w:rPr>
          <w:rFonts w:ascii="Calibri" w:hAnsi="Calibri" w:cs="Calibri"/>
          <w:b/>
          <w:sz w:val="22"/>
          <w:szCs w:val="22"/>
        </w:rPr>
        <w:t>Northern Lincolnshire and Goole NHS Trust</w:t>
      </w:r>
      <w:r w:rsidR="005003DC">
        <w:rPr>
          <w:rFonts w:ascii="Calibri" w:hAnsi="Calibri" w:cs="Calibri"/>
          <w:b/>
          <w:sz w:val="22"/>
          <w:szCs w:val="22"/>
        </w:rPr>
        <w:t xml:space="preserve"> (NLaG)</w:t>
      </w:r>
    </w:p>
    <w:p w:rsidR="00E6726A" w:rsidRDefault="00B05D5D" w:rsidP="007C3E46">
      <w:pPr>
        <w:pStyle w:val="Default"/>
        <w:ind w:left="720"/>
        <w:jc w:val="both"/>
        <w:rPr>
          <w:rFonts w:ascii="Calibri" w:hAnsi="Calibri" w:cs="Calibri"/>
          <w:sz w:val="22"/>
          <w:szCs w:val="22"/>
        </w:rPr>
      </w:pPr>
      <w:r w:rsidRPr="00B83B50">
        <w:rPr>
          <w:rFonts w:ascii="Calibri" w:hAnsi="Calibri" w:cs="Calibri"/>
          <w:sz w:val="22"/>
          <w:szCs w:val="22"/>
        </w:rPr>
        <w:t>The Trust remains in Special Measures for quality and finance.</w:t>
      </w:r>
      <w:r w:rsidR="007C3E46">
        <w:rPr>
          <w:rFonts w:ascii="Calibri" w:hAnsi="Calibri" w:cs="Calibri"/>
          <w:sz w:val="22"/>
          <w:szCs w:val="22"/>
        </w:rPr>
        <w:t xml:space="preserve">  </w:t>
      </w:r>
      <w:r w:rsidR="00A06DA0">
        <w:rPr>
          <w:rFonts w:ascii="Calibri" w:hAnsi="Calibri" w:cs="Calibri"/>
          <w:sz w:val="22"/>
          <w:szCs w:val="22"/>
        </w:rPr>
        <w:t xml:space="preserve"> </w:t>
      </w:r>
    </w:p>
    <w:p w:rsidR="00E6726A" w:rsidRDefault="00E6726A" w:rsidP="007C3E46">
      <w:pPr>
        <w:pStyle w:val="Default"/>
        <w:ind w:left="720"/>
        <w:jc w:val="both"/>
        <w:rPr>
          <w:rFonts w:ascii="Calibri" w:hAnsi="Calibri" w:cs="Calibri"/>
          <w:sz w:val="22"/>
          <w:szCs w:val="22"/>
        </w:rPr>
      </w:pPr>
    </w:p>
    <w:p w:rsidR="00A06DA0" w:rsidRDefault="00E6726A" w:rsidP="007C3E46">
      <w:pPr>
        <w:pStyle w:val="Default"/>
        <w:ind w:left="720"/>
        <w:jc w:val="both"/>
        <w:rPr>
          <w:rFonts w:ascii="Calibri" w:hAnsi="Calibri" w:cs="Calibri"/>
          <w:sz w:val="22"/>
          <w:szCs w:val="22"/>
        </w:rPr>
      </w:pPr>
      <w:r w:rsidRPr="00E6726A">
        <w:rPr>
          <w:rFonts w:ascii="Calibri" w:hAnsi="Calibri" w:cs="Calibri"/>
          <w:sz w:val="22"/>
          <w:szCs w:val="22"/>
        </w:rPr>
        <w:t xml:space="preserve">Whilst the overall position is improving, further controls and improvement actions need to be put in place to ensure the improvement journey is sustainable and an organization safety culture develops.  </w:t>
      </w:r>
    </w:p>
    <w:p w:rsidR="006B3FC7" w:rsidRPr="00002468" w:rsidRDefault="006B3FC7" w:rsidP="006B3FC7">
      <w:pPr>
        <w:pStyle w:val="Default"/>
        <w:jc w:val="both"/>
        <w:rPr>
          <w:rFonts w:ascii="Calibri" w:hAnsi="Calibri" w:cs="Calibri"/>
          <w:sz w:val="22"/>
          <w:szCs w:val="22"/>
        </w:rPr>
      </w:pPr>
    </w:p>
    <w:p w:rsidR="00B05D5D" w:rsidRPr="00E6726A" w:rsidRDefault="00E6726A" w:rsidP="00E6726A">
      <w:pPr>
        <w:pStyle w:val="Default"/>
        <w:numPr>
          <w:ilvl w:val="0"/>
          <w:numId w:val="4"/>
        </w:numPr>
        <w:jc w:val="both"/>
        <w:rPr>
          <w:rFonts w:ascii="Calibri" w:hAnsi="Calibri" w:cs="Calibri"/>
          <w:b/>
          <w:sz w:val="22"/>
          <w:szCs w:val="22"/>
        </w:rPr>
      </w:pPr>
      <w:r w:rsidRPr="00E6726A">
        <w:rPr>
          <w:rFonts w:ascii="Calibri" w:hAnsi="Calibri" w:cs="Calibri"/>
          <w:b/>
          <w:sz w:val="22"/>
          <w:szCs w:val="22"/>
        </w:rPr>
        <w:t>Thames Ambulance Service Limited (TASL)</w:t>
      </w:r>
    </w:p>
    <w:p w:rsidR="00E6726A" w:rsidRDefault="00E6726A" w:rsidP="00E6726A">
      <w:pPr>
        <w:pStyle w:val="Default"/>
        <w:ind w:left="720"/>
        <w:jc w:val="both"/>
        <w:rPr>
          <w:rFonts w:ascii="Calibri" w:hAnsi="Calibri" w:cs="Calibri"/>
          <w:sz w:val="22"/>
          <w:szCs w:val="22"/>
        </w:rPr>
      </w:pPr>
      <w:r w:rsidRPr="00E6726A">
        <w:rPr>
          <w:rFonts w:ascii="Calibri" w:hAnsi="Calibri" w:cs="Calibri"/>
          <w:sz w:val="22"/>
          <w:szCs w:val="22"/>
        </w:rPr>
        <w:t xml:space="preserve">CQC inspected the service on the 23rd of October 18.  The report was published on the 13th of February 2019 with an overall rating of Inadequate.  The service was rated inadequate across four domains (safe, effective, responsive and well-led) and achieved good for caring.  Five requirement notices were served to the provider.    Four enforcement actions were served to the provider.  A Section 29a warning notice was sent to the provider.  The CQC identified the need for significant improvement in; safe care and treatment; safeguarding service users from abuse and improper treatment; good governance and staffing.  </w:t>
      </w:r>
    </w:p>
    <w:p w:rsidR="008F08E2" w:rsidRDefault="008F08E2" w:rsidP="00E34FDF">
      <w:pPr>
        <w:pStyle w:val="Default"/>
        <w:jc w:val="both"/>
        <w:rPr>
          <w:rFonts w:ascii="Calibri" w:hAnsi="Calibri" w:cs="Calibri"/>
          <w:sz w:val="20"/>
          <w:szCs w:val="20"/>
        </w:rPr>
      </w:pPr>
    </w:p>
    <w:p w:rsidR="00E6726A" w:rsidRDefault="00E6726A" w:rsidP="008675CA">
      <w:pPr>
        <w:spacing w:after="200" w:line="276" w:lineRule="auto"/>
        <w:rPr>
          <w:rFonts w:ascii="Calibri" w:hAnsi="Calibri" w:cs="Calibri"/>
          <w:sz w:val="22"/>
          <w:szCs w:val="22"/>
        </w:rPr>
      </w:pPr>
      <w:r>
        <w:rPr>
          <w:rFonts w:ascii="Calibri" w:hAnsi="Calibri" w:cs="Calibri"/>
          <w:sz w:val="22"/>
          <w:szCs w:val="22"/>
        </w:rPr>
        <w:tab/>
        <w:t>The CCG has mechanisms in place to enable contract challenge and oversight.</w:t>
      </w:r>
    </w:p>
    <w:p w:rsidR="008A46C2" w:rsidRPr="008A46C2" w:rsidRDefault="008A46C2" w:rsidP="008A46C2">
      <w:pPr>
        <w:pStyle w:val="ListParagraph"/>
        <w:numPr>
          <w:ilvl w:val="0"/>
          <w:numId w:val="4"/>
        </w:numPr>
        <w:spacing w:after="0"/>
        <w:rPr>
          <w:rFonts w:cs="Calibri"/>
          <w:b/>
        </w:rPr>
      </w:pPr>
      <w:r>
        <w:rPr>
          <w:rFonts w:cs="Calibri"/>
          <w:b/>
        </w:rPr>
        <w:t>East Midlands  Ambulance Service (EMAS)</w:t>
      </w:r>
    </w:p>
    <w:p w:rsidR="008A46C2" w:rsidRDefault="008A46C2" w:rsidP="008A46C2">
      <w:pPr>
        <w:ind w:left="720"/>
        <w:jc w:val="both"/>
        <w:rPr>
          <w:rFonts w:asciiTheme="minorHAnsi" w:hAnsiTheme="minorHAnsi" w:cstheme="minorHAnsi"/>
          <w:sz w:val="22"/>
          <w:szCs w:val="22"/>
        </w:rPr>
      </w:pPr>
      <w:r w:rsidRPr="008A46C2">
        <w:rPr>
          <w:rFonts w:asciiTheme="minorHAnsi" w:hAnsiTheme="minorHAnsi" w:cstheme="minorHAnsi"/>
          <w:sz w:val="22"/>
          <w:szCs w:val="22"/>
        </w:rPr>
        <w:t xml:space="preserve">EMAS divisional performance against the ARP standards remains to not be satisfactory.  Further information is required to assess the risk of this position and the local impact.  Concerns have been escalated to the provider and actions are progressing to attain further information and understanding.  </w:t>
      </w:r>
    </w:p>
    <w:p w:rsidR="008A46C2" w:rsidRDefault="008A46C2" w:rsidP="00D62026">
      <w:pPr>
        <w:jc w:val="both"/>
        <w:rPr>
          <w:rFonts w:asciiTheme="minorHAnsi" w:hAnsiTheme="minorHAnsi" w:cstheme="minorHAnsi"/>
          <w:sz w:val="22"/>
          <w:szCs w:val="22"/>
        </w:rPr>
      </w:pPr>
    </w:p>
    <w:p w:rsidR="008A46C2" w:rsidRPr="008A46C2" w:rsidRDefault="008A46C2" w:rsidP="008A46C2">
      <w:pPr>
        <w:pStyle w:val="ListParagraph"/>
        <w:numPr>
          <w:ilvl w:val="0"/>
          <w:numId w:val="4"/>
        </w:numPr>
        <w:spacing w:after="0"/>
        <w:jc w:val="both"/>
        <w:rPr>
          <w:rFonts w:asciiTheme="minorHAnsi" w:hAnsiTheme="minorHAnsi" w:cstheme="minorHAnsi"/>
          <w:b/>
        </w:rPr>
      </w:pPr>
      <w:r w:rsidRPr="008A46C2">
        <w:rPr>
          <w:rFonts w:asciiTheme="minorHAnsi" w:hAnsiTheme="minorHAnsi" w:cstheme="minorHAnsi"/>
          <w:b/>
        </w:rPr>
        <w:t>Celebrating achievements</w:t>
      </w:r>
    </w:p>
    <w:p w:rsidR="008A46C2" w:rsidRDefault="008A46C2" w:rsidP="008A46C2">
      <w:pPr>
        <w:ind w:left="720"/>
        <w:jc w:val="both"/>
        <w:rPr>
          <w:rFonts w:asciiTheme="minorHAnsi" w:hAnsiTheme="minorHAnsi" w:cstheme="minorHAnsi"/>
        </w:rPr>
      </w:pPr>
      <w:r w:rsidRPr="008A46C2">
        <w:rPr>
          <w:rFonts w:asciiTheme="minorHAnsi" w:hAnsiTheme="minorHAnsi" w:cstheme="minorHAnsi"/>
        </w:rPr>
        <w:t>North East Lincolnshire has received full marks for young people’s mental health care in a nationwide study.  The ‘Know Your Place’ project, run by BBC Radio One Newsbeat and BBC Visual Journalism, set out to find the best place to live in Britain for those under the age of 26.  Researchers gathered data from Britain’s local authorities, pinpointing 11 areas that are relevant to the younger population, before grading them out of ten.  NAViGO, the NHS mental health provider for North East Lincolnshire, received a perfect score of ten out of ten.  The BBC calculated the score by considering the number of times the area has hit its mental health target out of the last 12 months, having done so on all 12 occasions.</w:t>
      </w:r>
    </w:p>
    <w:p w:rsidR="00A23656" w:rsidRDefault="00A23656" w:rsidP="008A46C2">
      <w:pPr>
        <w:ind w:left="720"/>
        <w:jc w:val="both"/>
        <w:rPr>
          <w:rFonts w:asciiTheme="minorHAnsi" w:hAnsiTheme="minorHAnsi" w:cstheme="minorHAnsi"/>
        </w:rPr>
      </w:pPr>
    </w:p>
    <w:p w:rsidR="00A23656" w:rsidRDefault="00A23656" w:rsidP="00A23656">
      <w:pPr>
        <w:jc w:val="both"/>
        <w:rPr>
          <w:rFonts w:asciiTheme="minorHAnsi" w:hAnsiTheme="minorHAnsi" w:cstheme="minorHAnsi"/>
        </w:rPr>
      </w:pPr>
    </w:p>
    <w:p w:rsidR="00A23656" w:rsidRPr="00A23656" w:rsidRDefault="00A23656" w:rsidP="00A23656">
      <w:pPr>
        <w:pStyle w:val="ListParagraph"/>
        <w:numPr>
          <w:ilvl w:val="0"/>
          <w:numId w:val="4"/>
        </w:numPr>
        <w:jc w:val="both"/>
        <w:rPr>
          <w:rFonts w:asciiTheme="minorHAnsi" w:hAnsiTheme="minorHAnsi" w:cstheme="minorHAnsi"/>
          <w:b/>
          <w:sz w:val="24"/>
          <w:szCs w:val="24"/>
        </w:rPr>
      </w:pPr>
      <w:r w:rsidRPr="00A23656">
        <w:rPr>
          <w:rFonts w:asciiTheme="minorHAnsi" w:hAnsiTheme="minorHAnsi" w:cstheme="minorHAnsi"/>
          <w:b/>
          <w:sz w:val="24"/>
          <w:szCs w:val="24"/>
        </w:rPr>
        <w:t>Bradley Complex Care</w:t>
      </w:r>
    </w:p>
    <w:p w:rsidR="00A23656" w:rsidRPr="00A23656" w:rsidRDefault="00A23656" w:rsidP="00A23656">
      <w:pPr>
        <w:pStyle w:val="ListParagraph"/>
        <w:jc w:val="both"/>
        <w:rPr>
          <w:rFonts w:asciiTheme="minorHAnsi" w:hAnsiTheme="minorHAnsi" w:cstheme="minorHAnsi"/>
          <w:sz w:val="24"/>
          <w:szCs w:val="24"/>
        </w:rPr>
      </w:pPr>
      <w:r w:rsidRPr="00A23656">
        <w:rPr>
          <w:rFonts w:asciiTheme="minorHAnsi" w:hAnsiTheme="minorHAnsi" w:cstheme="minorHAnsi"/>
          <w:sz w:val="24"/>
          <w:szCs w:val="24"/>
        </w:rPr>
        <w:t>NELCCG have been given the quality oversight role for Bradley Complex Care Unit.    Bradley Complex Care is a non-contracted NHS services.  Service users are funded by CCG’s on individual packages of care.  The unit is a specialist service for adult men and women with complex needs.  The service supports people with complex conditions, needs and risks who display behaviours of concern, including those with highly complex and severe challenging behaviour.  The service offers time limited stabilisation, treatment a</w:t>
      </w:r>
      <w:r>
        <w:rPr>
          <w:rFonts w:asciiTheme="minorHAnsi" w:hAnsiTheme="minorHAnsi" w:cstheme="minorHAnsi"/>
          <w:sz w:val="24"/>
          <w:szCs w:val="24"/>
        </w:rPr>
        <w:t xml:space="preserve">nd rehabilitation placements.  </w:t>
      </w:r>
      <w:r w:rsidRPr="00A23656">
        <w:rPr>
          <w:rFonts w:asciiTheme="minorHAnsi" w:hAnsiTheme="minorHAnsi" w:cstheme="minorHAnsi"/>
          <w:sz w:val="24"/>
          <w:szCs w:val="24"/>
        </w:rPr>
        <w:t xml:space="preserve">Bradley Complex Care has an overall CQC rating of Good (5th of April 2018).  The service has been rated by the CQC as Good across the domains.    </w:t>
      </w:r>
    </w:p>
    <w:p w:rsidR="00A23656" w:rsidRDefault="00A23656" w:rsidP="00A23656">
      <w:pPr>
        <w:pStyle w:val="ListParagraph"/>
        <w:jc w:val="both"/>
        <w:rPr>
          <w:rFonts w:asciiTheme="minorHAnsi" w:hAnsiTheme="minorHAnsi" w:cstheme="minorHAnsi"/>
          <w:sz w:val="24"/>
          <w:szCs w:val="24"/>
        </w:rPr>
      </w:pPr>
    </w:p>
    <w:p w:rsidR="00A23656" w:rsidRPr="00A23656" w:rsidRDefault="00A23656" w:rsidP="00A23656">
      <w:pPr>
        <w:pStyle w:val="ListParagraph"/>
        <w:numPr>
          <w:ilvl w:val="0"/>
          <w:numId w:val="4"/>
        </w:numPr>
        <w:jc w:val="both"/>
        <w:rPr>
          <w:rFonts w:asciiTheme="minorHAnsi" w:hAnsiTheme="minorHAnsi" w:cstheme="minorHAnsi"/>
          <w:b/>
          <w:sz w:val="24"/>
          <w:szCs w:val="24"/>
        </w:rPr>
      </w:pPr>
      <w:r w:rsidRPr="00A23656">
        <w:rPr>
          <w:rFonts w:asciiTheme="minorHAnsi" w:hAnsiTheme="minorHAnsi" w:cstheme="minorHAnsi"/>
          <w:b/>
          <w:sz w:val="24"/>
          <w:szCs w:val="24"/>
        </w:rPr>
        <w:t>Clinical Governance Committee</w:t>
      </w:r>
      <w:r>
        <w:rPr>
          <w:rFonts w:asciiTheme="minorHAnsi" w:hAnsiTheme="minorHAnsi" w:cstheme="minorHAnsi"/>
          <w:b/>
          <w:sz w:val="24"/>
          <w:szCs w:val="24"/>
        </w:rPr>
        <w:t xml:space="preserve"> (CGC)</w:t>
      </w:r>
      <w:r w:rsidRPr="00A23656">
        <w:rPr>
          <w:rFonts w:asciiTheme="minorHAnsi" w:hAnsiTheme="minorHAnsi" w:cstheme="minorHAnsi"/>
          <w:b/>
          <w:sz w:val="24"/>
          <w:szCs w:val="24"/>
        </w:rPr>
        <w:t xml:space="preserve"> Terms of Reference </w:t>
      </w:r>
    </w:p>
    <w:p w:rsidR="00A23656" w:rsidRPr="00A23656" w:rsidRDefault="00A23656" w:rsidP="00A23656">
      <w:pPr>
        <w:pStyle w:val="ListParagraph"/>
        <w:jc w:val="both"/>
        <w:rPr>
          <w:rFonts w:asciiTheme="minorHAnsi" w:hAnsiTheme="minorHAnsi" w:cstheme="minorHAnsi"/>
          <w:sz w:val="24"/>
          <w:szCs w:val="24"/>
        </w:rPr>
        <w:sectPr w:rsidR="00A23656" w:rsidRPr="00A23656" w:rsidSect="008F08E2">
          <w:pgSz w:w="11905" w:h="16837"/>
          <w:pgMar w:top="1134" w:right="743" w:bottom="709" w:left="743" w:header="709" w:footer="709" w:gutter="0"/>
          <w:cols w:space="708"/>
          <w:docGrid w:linePitch="360"/>
        </w:sectPr>
      </w:pPr>
      <w:r w:rsidRPr="00A23656">
        <w:rPr>
          <w:rFonts w:asciiTheme="minorHAnsi" w:hAnsiTheme="minorHAnsi" w:cstheme="minorHAnsi"/>
          <w:szCs w:val="24"/>
        </w:rPr>
        <w:t>We have revised t</w:t>
      </w:r>
      <w:r>
        <w:rPr>
          <w:rFonts w:asciiTheme="minorHAnsi" w:hAnsiTheme="minorHAnsi" w:cstheme="minorHAnsi"/>
          <w:szCs w:val="24"/>
        </w:rPr>
        <w:t>h</w:t>
      </w:r>
      <w:r w:rsidRPr="00A23656">
        <w:rPr>
          <w:rFonts w:asciiTheme="minorHAnsi" w:hAnsiTheme="minorHAnsi" w:cstheme="minorHAnsi"/>
          <w:szCs w:val="24"/>
        </w:rPr>
        <w:t>e Terms of Reference for the Committee.  We are setting up three sub-groups to manage the business of; safety;</w:t>
      </w:r>
      <w:r>
        <w:rPr>
          <w:rFonts w:asciiTheme="minorHAnsi" w:hAnsiTheme="minorHAnsi" w:cstheme="minorHAnsi"/>
          <w:szCs w:val="24"/>
        </w:rPr>
        <w:t xml:space="preserve"> effectiveness and experience – which will report directly into the CGC with assurance statements.    The groups will be live in April and will meet quarterly.</w:t>
      </w:r>
    </w:p>
    <w:p w:rsidR="008675CA" w:rsidRDefault="008675CA" w:rsidP="006F132B">
      <w:pPr>
        <w:spacing w:after="240"/>
        <w:rPr>
          <w:rFonts w:ascii="Verdana" w:eastAsia="Verdana" w:hAnsi="Verdana" w:cs="Verdana"/>
          <w:b/>
          <w:color w:val="000000"/>
          <w:sz w:val="32"/>
        </w:rPr>
      </w:pPr>
      <w:r>
        <w:rPr>
          <w:rFonts w:ascii="Verdana" w:eastAsia="Verdana" w:hAnsi="Verdana" w:cs="Verdana"/>
          <w:b/>
          <w:color w:val="000000"/>
          <w:sz w:val="32"/>
        </w:rPr>
        <w:t>Appendix A - Performance Exception Summary</w:t>
      </w:r>
    </w:p>
    <w:tbl>
      <w:tblPr>
        <w:tblW w:w="26535" w:type="dxa"/>
        <w:tblInd w:w="-386" w:type="dxa"/>
        <w:tblLayout w:type="fixed"/>
        <w:tblLook w:val="0000" w:firstRow="0" w:lastRow="0" w:firstColumn="0" w:lastColumn="0" w:noHBand="0" w:noVBand="0"/>
      </w:tblPr>
      <w:tblGrid>
        <w:gridCol w:w="1018"/>
        <w:gridCol w:w="4372"/>
        <w:gridCol w:w="1166"/>
        <w:gridCol w:w="1166"/>
        <w:gridCol w:w="1166"/>
        <w:gridCol w:w="1166"/>
        <w:gridCol w:w="1166"/>
        <w:gridCol w:w="1166"/>
        <w:gridCol w:w="1166"/>
        <w:gridCol w:w="1166"/>
        <w:gridCol w:w="1017"/>
        <w:gridCol w:w="1080"/>
        <w:gridCol w:w="86"/>
        <w:gridCol w:w="307"/>
        <w:gridCol w:w="687"/>
        <w:gridCol w:w="393"/>
        <w:gridCol w:w="687"/>
        <w:gridCol w:w="1080"/>
        <w:gridCol w:w="1080"/>
        <w:gridCol w:w="1080"/>
        <w:gridCol w:w="1080"/>
        <w:gridCol w:w="1080"/>
        <w:gridCol w:w="1080"/>
        <w:gridCol w:w="1080"/>
      </w:tblGrid>
      <w:tr w:rsidR="006F132B" w:rsidTr="004D5DC0">
        <w:trPr>
          <w:gridAfter w:val="13"/>
          <w:wAfter w:w="10800" w:type="dxa"/>
          <w:trHeight w:val="58"/>
          <w:tblHeader/>
        </w:trPr>
        <w:tc>
          <w:tcPr>
            <w:tcW w:w="1018" w:type="dxa"/>
            <w:vMerge w:val="restart"/>
            <w:tcBorders>
              <w:top w:val="single" w:sz="8" w:space="0" w:color="787878"/>
              <w:left w:val="single" w:sz="8" w:space="0" w:color="787878"/>
              <w:bottom w:val="single" w:sz="8" w:space="0" w:color="787878"/>
              <w:right w:val="single" w:sz="8" w:space="0" w:color="787878"/>
            </w:tcBorders>
            <w:shd w:val="clear" w:color="auto" w:fill="DCDCDC"/>
            <w:tcMar>
              <w:top w:w="40" w:type="dxa"/>
              <w:left w:w="40" w:type="dxa"/>
              <w:bottom w:w="40" w:type="dxa"/>
              <w:right w:w="40" w:type="dxa"/>
            </w:tcMar>
            <w:vAlign w:val="center"/>
          </w:tcPr>
          <w:p w:rsidR="006F132B" w:rsidRDefault="006F132B" w:rsidP="004D5DC0">
            <w:r>
              <w:rPr>
                <w:rFonts w:ascii="Verdana" w:eastAsia="Verdana" w:hAnsi="Verdana" w:cs="Verdana"/>
                <w:b/>
                <w:color w:val="000000"/>
                <w:sz w:val="16"/>
              </w:rPr>
              <w:t>Code</w:t>
            </w:r>
          </w:p>
        </w:tc>
        <w:tc>
          <w:tcPr>
            <w:tcW w:w="4372" w:type="dxa"/>
            <w:vMerge w:val="restart"/>
            <w:tcBorders>
              <w:top w:val="single" w:sz="8" w:space="0" w:color="787878"/>
              <w:left w:val="single" w:sz="8" w:space="0" w:color="787878"/>
              <w:bottom w:val="single" w:sz="8" w:space="0" w:color="787878"/>
              <w:right w:val="single" w:sz="8" w:space="0" w:color="787878"/>
            </w:tcBorders>
            <w:shd w:val="clear" w:color="auto" w:fill="DCDCDC"/>
            <w:tcMar>
              <w:top w:w="40" w:type="dxa"/>
              <w:left w:w="40" w:type="dxa"/>
              <w:bottom w:w="40" w:type="dxa"/>
              <w:right w:w="40" w:type="dxa"/>
            </w:tcMar>
            <w:vAlign w:val="center"/>
          </w:tcPr>
          <w:p w:rsidR="006F132B" w:rsidRDefault="006F132B" w:rsidP="004D5DC0">
            <w:pPr>
              <w:rPr>
                <w:rFonts w:ascii="Verdana" w:eastAsia="Verdana" w:hAnsi="Verdana" w:cs="Verdana"/>
                <w:b/>
                <w:color w:val="000000"/>
                <w:sz w:val="16"/>
              </w:rPr>
            </w:pPr>
            <w:r>
              <w:rPr>
                <w:rFonts w:ascii="Verdana" w:eastAsia="Verdana" w:hAnsi="Verdana" w:cs="Verdana"/>
                <w:b/>
                <w:color w:val="000000"/>
                <w:sz w:val="16"/>
              </w:rPr>
              <w:t>Indicator</w:t>
            </w:r>
          </w:p>
        </w:tc>
        <w:tc>
          <w:tcPr>
            <w:tcW w:w="1166" w:type="dxa"/>
            <w:vMerge w:val="restart"/>
            <w:tcBorders>
              <w:top w:val="single" w:sz="8" w:space="0" w:color="787878"/>
              <w:left w:val="single" w:sz="8" w:space="0" w:color="787878"/>
              <w:right w:val="single" w:sz="8" w:space="0" w:color="787878"/>
            </w:tcBorders>
            <w:shd w:val="clear" w:color="auto" w:fill="DCDCDC"/>
            <w:vAlign w:val="center"/>
          </w:tcPr>
          <w:p w:rsidR="006F132B" w:rsidRDefault="006F132B" w:rsidP="004D5DC0">
            <w:pPr>
              <w:jc w:val="center"/>
              <w:rPr>
                <w:rFonts w:ascii="Verdana" w:eastAsia="Verdana" w:hAnsi="Verdana" w:cs="Verdana"/>
                <w:b/>
                <w:color w:val="000000"/>
                <w:sz w:val="16"/>
              </w:rPr>
            </w:pPr>
            <w:r>
              <w:rPr>
                <w:rFonts w:ascii="Verdana" w:eastAsia="Verdana" w:hAnsi="Verdana" w:cs="Verdana"/>
                <w:b/>
                <w:color w:val="000000"/>
                <w:sz w:val="16"/>
              </w:rPr>
              <w:t>CCG IAF</w:t>
            </w:r>
          </w:p>
        </w:tc>
        <w:tc>
          <w:tcPr>
            <w:tcW w:w="4664" w:type="dxa"/>
            <w:gridSpan w:val="4"/>
            <w:tcBorders>
              <w:top w:val="single" w:sz="8" w:space="0" w:color="787878"/>
              <w:left w:val="single" w:sz="8" w:space="0" w:color="787878"/>
              <w:right w:val="single" w:sz="8" w:space="0" w:color="787878"/>
            </w:tcBorders>
            <w:shd w:val="clear" w:color="auto" w:fill="DCDCDC"/>
            <w:tcMar>
              <w:top w:w="40" w:type="dxa"/>
              <w:left w:w="40" w:type="dxa"/>
              <w:bottom w:w="40" w:type="dxa"/>
              <w:right w:w="40" w:type="dxa"/>
            </w:tcMar>
            <w:vAlign w:val="center"/>
          </w:tcPr>
          <w:p w:rsidR="006F132B" w:rsidRDefault="006F132B" w:rsidP="004D5DC0">
            <w:pPr>
              <w:jc w:val="center"/>
              <w:rPr>
                <w:rFonts w:ascii="Verdana" w:eastAsia="Verdana" w:hAnsi="Verdana" w:cs="Verdana"/>
                <w:b/>
                <w:color w:val="000000"/>
                <w:sz w:val="16"/>
              </w:rPr>
            </w:pPr>
            <w:r>
              <w:rPr>
                <w:rFonts w:ascii="Verdana" w:eastAsia="Verdana" w:hAnsi="Verdana" w:cs="Verdana"/>
                <w:b/>
                <w:color w:val="000000"/>
                <w:sz w:val="16"/>
              </w:rPr>
              <w:t>Latest period</w:t>
            </w:r>
          </w:p>
        </w:tc>
        <w:tc>
          <w:tcPr>
            <w:tcW w:w="3498" w:type="dxa"/>
            <w:gridSpan w:val="3"/>
            <w:tcBorders>
              <w:top w:val="single" w:sz="8" w:space="0" w:color="787878"/>
              <w:left w:val="single" w:sz="8" w:space="0" w:color="787878"/>
              <w:right w:val="single" w:sz="8" w:space="0" w:color="787878"/>
            </w:tcBorders>
            <w:shd w:val="clear" w:color="auto" w:fill="DCDCDC"/>
            <w:tcMar>
              <w:top w:w="40" w:type="dxa"/>
              <w:left w:w="40" w:type="dxa"/>
              <w:bottom w:w="40" w:type="dxa"/>
              <w:right w:w="40" w:type="dxa"/>
            </w:tcMar>
            <w:vAlign w:val="center"/>
          </w:tcPr>
          <w:p w:rsidR="006F132B" w:rsidRDefault="006F132B" w:rsidP="004D5DC0">
            <w:pPr>
              <w:jc w:val="center"/>
              <w:rPr>
                <w:rFonts w:ascii="Verdana" w:eastAsia="Verdana" w:hAnsi="Verdana" w:cs="Verdana"/>
                <w:b/>
                <w:color w:val="000000"/>
                <w:sz w:val="16"/>
              </w:rPr>
            </w:pPr>
            <w:r>
              <w:rPr>
                <w:rFonts w:ascii="Verdana" w:eastAsia="Verdana" w:hAnsi="Verdana" w:cs="Verdana"/>
                <w:b/>
                <w:color w:val="000000"/>
                <w:sz w:val="16"/>
              </w:rPr>
              <w:t>Year to date</w:t>
            </w:r>
          </w:p>
        </w:tc>
        <w:tc>
          <w:tcPr>
            <w:tcW w:w="1017" w:type="dxa"/>
            <w:vMerge w:val="restart"/>
            <w:tcBorders>
              <w:top w:val="single" w:sz="8" w:space="0" w:color="787878"/>
              <w:left w:val="single" w:sz="8" w:space="0" w:color="787878"/>
              <w:bottom w:val="single" w:sz="8" w:space="0" w:color="787878"/>
              <w:right w:val="single" w:sz="8" w:space="0" w:color="787878"/>
            </w:tcBorders>
            <w:shd w:val="clear" w:color="auto" w:fill="DCDCDC"/>
            <w:tcMar>
              <w:top w:w="40" w:type="dxa"/>
              <w:left w:w="40" w:type="dxa"/>
              <w:bottom w:w="40" w:type="dxa"/>
              <w:right w:w="40" w:type="dxa"/>
            </w:tcMar>
            <w:vAlign w:val="center"/>
          </w:tcPr>
          <w:p w:rsidR="006F132B" w:rsidRDefault="006F132B" w:rsidP="004D5DC0">
            <w:pPr>
              <w:jc w:val="center"/>
              <w:rPr>
                <w:rFonts w:ascii="Verdana" w:eastAsia="Verdana" w:hAnsi="Verdana" w:cs="Verdana"/>
                <w:b/>
                <w:color w:val="000000"/>
                <w:sz w:val="16"/>
              </w:rPr>
            </w:pPr>
            <w:r>
              <w:rPr>
                <w:rFonts w:ascii="Verdana" w:eastAsia="Verdana" w:hAnsi="Verdana" w:cs="Verdana"/>
                <w:b/>
                <w:color w:val="000000"/>
                <w:sz w:val="16"/>
              </w:rPr>
              <w:t>Year End Forecast</w:t>
            </w:r>
          </w:p>
        </w:tc>
      </w:tr>
      <w:tr w:rsidR="006F132B" w:rsidTr="004D5DC0">
        <w:trPr>
          <w:gridAfter w:val="13"/>
          <w:wAfter w:w="10800" w:type="dxa"/>
          <w:trHeight w:val="189"/>
          <w:tblHeader/>
        </w:trPr>
        <w:tc>
          <w:tcPr>
            <w:tcW w:w="1018" w:type="dxa"/>
            <w:vMerge/>
            <w:tcBorders>
              <w:top w:val="single" w:sz="8" w:space="0" w:color="787878"/>
              <w:left w:val="single" w:sz="8" w:space="0" w:color="787878"/>
              <w:bottom w:val="single" w:sz="8" w:space="0" w:color="000000"/>
              <w:right w:val="single" w:sz="8" w:space="0" w:color="787878"/>
            </w:tcBorders>
            <w:shd w:val="clear" w:color="auto" w:fill="DCDCDC"/>
            <w:tcMar>
              <w:top w:w="40" w:type="dxa"/>
              <w:left w:w="40" w:type="dxa"/>
              <w:bottom w:w="40" w:type="dxa"/>
              <w:right w:w="40" w:type="dxa"/>
            </w:tcMar>
            <w:vAlign w:val="center"/>
          </w:tcPr>
          <w:p w:rsidR="006F132B" w:rsidRDefault="006F132B" w:rsidP="004D5DC0">
            <w:pPr>
              <w:rPr>
                <w:rFonts w:ascii="Verdana" w:eastAsia="Verdana" w:hAnsi="Verdana" w:cs="Verdana"/>
                <w:b/>
                <w:color w:val="000000"/>
                <w:sz w:val="16"/>
              </w:rPr>
            </w:pPr>
          </w:p>
        </w:tc>
        <w:tc>
          <w:tcPr>
            <w:tcW w:w="4372" w:type="dxa"/>
            <w:vMerge/>
            <w:tcBorders>
              <w:top w:val="single" w:sz="8" w:space="0" w:color="787878"/>
              <w:left w:val="single" w:sz="8" w:space="0" w:color="787878"/>
              <w:bottom w:val="single" w:sz="8" w:space="0" w:color="000000"/>
              <w:right w:val="single" w:sz="8" w:space="0" w:color="787878"/>
            </w:tcBorders>
            <w:shd w:val="clear" w:color="auto" w:fill="DCDCDC"/>
            <w:tcMar>
              <w:top w:w="40" w:type="dxa"/>
              <w:left w:w="40" w:type="dxa"/>
              <w:bottom w:w="40" w:type="dxa"/>
              <w:right w:w="40" w:type="dxa"/>
            </w:tcMar>
            <w:vAlign w:val="center"/>
          </w:tcPr>
          <w:p w:rsidR="006F132B" w:rsidRDefault="006F132B" w:rsidP="004D5DC0">
            <w:pPr>
              <w:rPr>
                <w:rFonts w:ascii="Verdana" w:eastAsia="Verdana" w:hAnsi="Verdana" w:cs="Verdana"/>
                <w:b/>
                <w:color w:val="000000"/>
                <w:sz w:val="16"/>
              </w:rPr>
            </w:pPr>
          </w:p>
        </w:tc>
        <w:tc>
          <w:tcPr>
            <w:tcW w:w="1166" w:type="dxa"/>
            <w:vMerge/>
            <w:tcBorders>
              <w:left w:val="single" w:sz="8" w:space="0" w:color="787878"/>
              <w:bottom w:val="single" w:sz="8" w:space="0" w:color="000000"/>
              <w:right w:val="single" w:sz="8" w:space="0" w:color="787878"/>
            </w:tcBorders>
            <w:shd w:val="clear" w:color="auto" w:fill="DCDCDC"/>
          </w:tcPr>
          <w:p w:rsidR="006F132B" w:rsidRDefault="006F132B" w:rsidP="004D5DC0">
            <w:pPr>
              <w:jc w:val="center"/>
              <w:rPr>
                <w:rFonts w:ascii="Verdana" w:eastAsia="Verdana" w:hAnsi="Verdana" w:cs="Verdana"/>
                <w:b/>
                <w:color w:val="000000"/>
                <w:sz w:val="16"/>
              </w:rPr>
            </w:pPr>
          </w:p>
        </w:tc>
        <w:tc>
          <w:tcPr>
            <w:tcW w:w="1166" w:type="dxa"/>
            <w:tcBorders>
              <w:left w:val="single" w:sz="8" w:space="0" w:color="787878"/>
              <w:bottom w:val="single" w:sz="8" w:space="0" w:color="000000"/>
              <w:right w:val="single" w:sz="8" w:space="0" w:color="787878"/>
            </w:tcBorders>
            <w:shd w:val="clear" w:color="auto" w:fill="DCDCDC"/>
            <w:tcMar>
              <w:top w:w="40" w:type="dxa"/>
              <w:left w:w="40" w:type="dxa"/>
              <w:bottom w:w="40" w:type="dxa"/>
              <w:right w:w="40" w:type="dxa"/>
            </w:tcMar>
            <w:vAlign w:val="center"/>
          </w:tcPr>
          <w:p w:rsidR="006F132B" w:rsidRDefault="006F132B" w:rsidP="004D5DC0">
            <w:pPr>
              <w:jc w:val="center"/>
              <w:rPr>
                <w:rFonts w:ascii="Verdana" w:eastAsia="Verdana" w:hAnsi="Verdana" w:cs="Verdana"/>
                <w:b/>
                <w:color w:val="000000"/>
                <w:sz w:val="16"/>
              </w:rPr>
            </w:pPr>
            <w:r>
              <w:rPr>
                <w:rFonts w:ascii="Verdana" w:eastAsia="Verdana" w:hAnsi="Verdana" w:cs="Verdana"/>
                <w:b/>
                <w:color w:val="000000"/>
                <w:sz w:val="16"/>
              </w:rPr>
              <w:t>Period</w:t>
            </w:r>
          </w:p>
        </w:tc>
        <w:tc>
          <w:tcPr>
            <w:tcW w:w="1166" w:type="dxa"/>
            <w:tcBorders>
              <w:left w:val="single" w:sz="8" w:space="0" w:color="787878"/>
              <w:bottom w:val="single" w:sz="8" w:space="0" w:color="000000"/>
              <w:right w:val="single" w:sz="8" w:space="0" w:color="787878"/>
            </w:tcBorders>
            <w:shd w:val="clear" w:color="auto" w:fill="DCDCDC"/>
            <w:tcMar>
              <w:top w:w="40" w:type="dxa"/>
              <w:left w:w="40" w:type="dxa"/>
              <w:bottom w:w="40" w:type="dxa"/>
              <w:right w:w="40" w:type="dxa"/>
            </w:tcMar>
            <w:vAlign w:val="center"/>
          </w:tcPr>
          <w:p w:rsidR="006F132B" w:rsidRDefault="006F132B" w:rsidP="004D5DC0">
            <w:pPr>
              <w:jc w:val="center"/>
              <w:rPr>
                <w:rFonts w:ascii="Verdana" w:eastAsia="Verdana" w:hAnsi="Verdana" w:cs="Verdana"/>
                <w:b/>
                <w:color w:val="000000"/>
                <w:sz w:val="16"/>
              </w:rPr>
            </w:pPr>
            <w:r>
              <w:rPr>
                <w:rFonts w:ascii="Verdana" w:eastAsia="Verdana" w:hAnsi="Verdana" w:cs="Verdana"/>
                <w:b/>
                <w:color w:val="000000"/>
                <w:sz w:val="16"/>
              </w:rPr>
              <w:t>Target</w:t>
            </w:r>
          </w:p>
        </w:tc>
        <w:tc>
          <w:tcPr>
            <w:tcW w:w="1166" w:type="dxa"/>
            <w:tcBorders>
              <w:left w:val="single" w:sz="8" w:space="0" w:color="787878"/>
              <w:bottom w:val="single" w:sz="8" w:space="0" w:color="000000"/>
              <w:right w:val="single" w:sz="8" w:space="0" w:color="787878"/>
            </w:tcBorders>
            <w:shd w:val="clear" w:color="auto" w:fill="DCDCDC"/>
            <w:tcMar>
              <w:top w:w="40" w:type="dxa"/>
              <w:left w:w="40" w:type="dxa"/>
              <w:bottom w:w="40" w:type="dxa"/>
              <w:right w:w="40" w:type="dxa"/>
            </w:tcMar>
            <w:vAlign w:val="center"/>
          </w:tcPr>
          <w:p w:rsidR="006F132B" w:rsidRDefault="006F132B" w:rsidP="004D5DC0">
            <w:pPr>
              <w:jc w:val="center"/>
              <w:rPr>
                <w:rFonts w:ascii="Verdana" w:eastAsia="Verdana" w:hAnsi="Verdana" w:cs="Verdana"/>
                <w:b/>
                <w:color w:val="000000"/>
                <w:sz w:val="16"/>
              </w:rPr>
            </w:pPr>
            <w:r>
              <w:rPr>
                <w:rFonts w:ascii="Verdana" w:eastAsia="Verdana" w:hAnsi="Verdana" w:cs="Verdana"/>
                <w:b/>
                <w:color w:val="000000"/>
                <w:sz w:val="16"/>
              </w:rPr>
              <w:t>Value</w:t>
            </w:r>
          </w:p>
        </w:tc>
        <w:tc>
          <w:tcPr>
            <w:tcW w:w="1166" w:type="dxa"/>
            <w:tcBorders>
              <w:left w:val="single" w:sz="8" w:space="0" w:color="787878"/>
              <w:bottom w:val="single" w:sz="8" w:space="0" w:color="000000"/>
              <w:right w:val="single" w:sz="8" w:space="0" w:color="787878"/>
            </w:tcBorders>
            <w:shd w:val="clear" w:color="auto" w:fill="DCDCDC"/>
            <w:tcMar>
              <w:top w:w="40" w:type="dxa"/>
              <w:left w:w="40" w:type="dxa"/>
              <w:bottom w:w="40" w:type="dxa"/>
              <w:right w:w="40" w:type="dxa"/>
            </w:tcMar>
            <w:vAlign w:val="center"/>
          </w:tcPr>
          <w:p w:rsidR="006F132B" w:rsidRDefault="006F132B" w:rsidP="004D5DC0">
            <w:pPr>
              <w:jc w:val="center"/>
              <w:rPr>
                <w:rFonts w:ascii="Verdana" w:eastAsia="Verdana" w:hAnsi="Verdana" w:cs="Verdana"/>
                <w:b/>
                <w:color w:val="000000"/>
                <w:sz w:val="16"/>
              </w:rPr>
            </w:pPr>
            <w:r>
              <w:rPr>
                <w:rFonts w:ascii="Verdana" w:eastAsia="Verdana" w:hAnsi="Verdana" w:cs="Verdana"/>
                <w:b/>
                <w:color w:val="000000"/>
                <w:sz w:val="16"/>
              </w:rPr>
              <w:t>Status</w:t>
            </w:r>
          </w:p>
        </w:tc>
        <w:tc>
          <w:tcPr>
            <w:tcW w:w="1166" w:type="dxa"/>
            <w:tcBorders>
              <w:left w:val="single" w:sz="8" w:space="0" w:color="787878"/>
              <w:bottom w:val="single" w:sz="8" w:space="0" w:color="000000"/>
              <w:right w:val="single" w:sz="8" w:space="0" w:color="787878"/>
            </w:tcBorders>
            <w:shd w:val="clear" w:color="auto" w:fill="DCDCDC"/>
            <w:tcMar>
              <w:top w:w="40" w:type="dxa"/>
              <w:left w:w="40" w:type="dxa"/>
              <w:bottom w:w="40" w:type="dxa"/>
              <w:right w:w="40" w:type="dxa"/>
            </w:tcMar>
            <w:vAlign w:val="center"/>
          </w:tcPr>
          <w:p w:rsidR="006F132B" w:rsidRDefault="006F132B" w:rsidP="004D5DC0">
            <w:pPr>
              <w:jc w:val="center"/>
              <w:rPr>
                <w:rFonts w:ascii="Verdana" w:eastAsia="Verdana" w:hAnsi="Verdana" w:cs="Verdana"/>
                <w:b/>
                <w:color w:val="000000"/>
                <w:sz w:val="16"/>
              </w:rPr>
            </w:pPr>
            <w:r>
              <w:rPr>
                <w:rFonts w:ascii="Verdana" w:eastAsia="Verdana" w:hAnsi="Verdana" w:cs="Verdana"/>
                <w:b/>
                <w:color w:val="000000"/>
                <w:sz w:val="16"/>
              </w:rPr>
              <w:t>Target</w:t>
            </w:r>
          </w:p>
        </w:tc>
        <w:tc>
          <w:tcPr>
            <w:tcW w:w="1166" w:type="dxa"/>
            <w:tcBorders>
              <w:left w:val="single" w:sz="8" w:space="0" w:color="787878"/>
              <w:bottom w:val="single" w:sz="8" w:space="0" w:color="000000"/>
              <w:right w:val="single" w:sz="8" w:space="0" w:color="787878"/>
            </w:tcBorders>
            <w:shd w:val="clear" w:color="auto" w:fill="DCDCDC"/>
            <w:tcMar>
              <w:top w:w="40" w:type="dxa"/>
              <w:left w:w="40" w:type="dxa"/>
              <w:bottom w:w="40" w:type="dxa"/>
              <w:right w:w="40" w:type="dxa"/>
            </w:tcMar>
            <w:vAlign w:val="center"/>
          </w:tcPr>
          <w:p w:rsidR="006F132B" w:rsidRDefault="006F132B" w:rsidP="004D5DC0">
            <w:pPr>
              <w:jc w:val="center"/>
              <w:rPr>
                <w:rFonts w:ascii="Verdana" w:eastAsia="Verdana" w:hAnsi="Verdana" w:cs="Verdana"/>
                <w:b/>
                <w:color w:val="000000"/>
                <w:sz w:val="16"/>
              </w:rPr>
            </w:pPr>
            <w:r>
              <w:rPr>
                <w:rFonts w:ascii="Verdana" w:eastAsia="Verdana" w:hAnsi="Verdana" w:cs="Verdana"/>
                <w:b/>
                <w:color w:val="000000"/>
                <w:sz w:val="16"/>
              </w:rPr>
              <w:t>Value</w:t>
            </w:r>
          </w:p>
        </w:tc>
        <w:tc>
          <w:tcPr>
            <w:tcW w:w="1166" w:type="dxa"/>
            <w:tcBorders>
              <w:left w:val="single" w:sz="8" w:space="0" w:color="787878"/>
              <w:bottom w:val="single" w:sz="8" w:space="0" w:color="000000"/>
              <w:right w:val="single" w:sz="8" w:space="0" w:color="787878"/>
            </w:tcBorders>
            <w:shd w:val="clear" w:color="auto" w:fill="DCDCDC"/>
            <w:tcMar>
              <w:top w:w="40" w:type="dxa"/>
              <w:left w:w="40" w:type="dxa"/>
              <w:bottom w:w="40" w:type="dxa"/>
              <w:right w:w="40" w:type="dxa"/>
            </w:tcMar>
            <w:vAlign w:val="center"/>
          </w:tcPr>
          <w:p w:rsidR="006F132B" w:rsidRDefault="006F132B" w:rsidP="004D5DC0">
            <w:pPr>
              <w:jc w:val="center"/>
              <w:rPr>
                <w:rFonts w:ascii="Verdana" w:eastAsia="Verdana" w:hAnsi="Verdana" w:cs="Verdana"/>
                <w:b/>
                <w:color w:val="000000"/>
                <w:sz w:val="16"/>
              </w:rPr>
            </w:pPr>
            <w:r>
              <w:rPr>
                <w:rFonts w:ascii="Verdana" w:eastAsia="Verdana" w:hAnsi="Verdana" w:cs="Verdana"/>
                <w:b/>
                <w:color w:val="000000"/>
                <w:sz w:val="16"/>
              </w:rPr>
              <w:t>Status</w:t>
            </w:r>
          </w:p>
        </w:tc>
        <w:tc>
          <w:tcPr>
            <w:tcW w:w="1017" w:type="dxa"/>
            <w:vMerge/>
            <w:tcBorders>
              <w:top w:val="single" w:sz="8" w:space="0" w:color="787878"/>
              <w:left w:val="single" w:sz="8" w:space="0" w:color="787878"/>
              <w:bottom w:val="single" w:sz="8" w:space="0" w:color="000000"/>
              <w:right w:val="single" w:sz="8" w:space="0" w:color="787878"/>
            </w:tcBorders>
            <w:shd w:val="clear" w:color="auto" w:fill="DCDCDC"/>
            <w:tcMar>
              <w:top w:w="40" w:type="dxa"/>
              <w:left w:w="40" w:type="dxa"/>
              <w:bottom w:w="40" w:type="dxa"/>
              <w:right w:w="40" w:type="dxa"/>
            </w:tcMar>
            <w:vAlign w:val="center"/>
          </w:tcPr>
          <w:p w:rsidR="006F132B" w:rsidRDefault="006F132B" w:rsidP="004D5DC0">
            <w:pPr>
              <w:jc w:val="center"/>
              <w:rPr>
                <w:rFonts w:ascii="Verdana" w:eastAsia="Verdana" w:hAnsi="Verdana" w:cs="Verdana"/>
                <w:b/>
                <w:color w:val="000000"/>
                <w:sz w:val="16"/>
              </w:rPr>
            </w:pPr>
          </w:p>
        </w:tc>
      </w:tr>
      <w:tr w:rsidR="006F132B" w:rsidTr="004D5DC0">
        <w:trPr>
          <w:gridAfter w:val="13"/>
          <w:wAfter w:w="10800" w:type="dxa"/>
          <w:trHeight w:val="2"/>
        </w:trPr>
        <w:tc>
          <w:tcPr>
            <w:tcW w:w="15735" w:type="dxa"/>
            <w:gridSpan w:val="11"/>
            <w:tcBorders>
              <w:top w:val="single" w:sz="8" w:space="0" w:color="000000"/>
              <w:left w:val="single" w:sz="8" w:space="0" w:color="000000"/>
              <w:right w:val="single" w:sz="8" w:space="0" w:color="000000"/>
            </w:tcBorders>
            <w:shd w:val="clear" w:color="auto" w:fill="FFC000"/>
          </w:tcPr>
          <w:p w:rsidR="006F132B" w:rsidRDefault="006F132B" w:rsidP="004D5DC0">
            <w:r>
              <w:rPr>
                <w:rFonts w:ascii="Verdana" w:eastAsia="Verdana" w:hAnsi="Verdana" w:cs="Verdana"/>
                <w:color w:val="000000"/>
                <w:sz w:val="20"/>
              </w:rPr>
              <w:t>Positive experience</w:t>
            </w:r>
          </w:p>
        </w:tc>
      </w:tr>
      <w:tr w:rsidR="00F86092"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DAC1000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Total time in A&amp;E: four hours or less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Yes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January 2019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89%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80.47%</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D245CD" w:rsidP="00F86092">
            <w:pPr>
              <w:jc w:val="center"/>
              <w:rPr>
                <w:rFonts w:ascii="Verdana" w:eastAsia="Verdana" w:hAnsi="Verdana" w:cs="Verdana"/>
                <w:color w:val="000000"/>
                <w:sz w:val="16"/>
              </w:rPr>
            </w:pPr>
            <w:r>
              <w:rPr>
                <w:rFonts w:ascii="Verdana" w:eastAsia="Verdana" w:hAnsi="Verdana" w:cs="Verdana"/>
                <w:color w:val="000000"/>
                <w:sz w:val="16"/>
              </w:rPr>
              <w:pict w14:anchorId="5969A515">
                <v:shape id="_x0000_i1027"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89.11%</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86.02%</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4B8BC169" wp14:editId="4B87BCCC">
                  <wp:extent cx="200025" cy="200025"/>
                  <wp:effectExtent l="0" t="0" r="9525" b="9525"/>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3162CE47" wp14:editId="36905069">
                  <wp:extent cx="152400" cy="15240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F86092"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DAC1010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A&amp;E: No waits from decision to admit to admission over 12 hours - Trust</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January 2019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D245CD" w:rsidP="00F86092">
            <w:pPr>
              <w:jc w:val="center"/>
              <w:rPr>
                <w:rFonts w:ascii="Verdana" w:eastAsia="Verdana" w:hAnsi="Verdana" w:cs="Verdana"/>
                <w:color w:val="000000"/>
                <w:sz w:val="16"/>
              </w:rPr>
            </w:pPr>
            <w:r>
              <w:rPr>
                <w:rFonts w:ascii="Verdana" w:eastAsia="Verdana" w:hAnsi="Verdana" w:cs="Verdana"/>
                <w:color w:val="000000"/>
                <w:sz w:val="16"/>
              </w:rPr>
              <w:pict w14:anchorId="46EE3636">
                <v:shape id="_x0000_i1028" type="#_x0000_t75" style="width:16pt;height:16pt;mso-position-horizontal-relative:text;mso-position-vertical-relative:text">
                  <v:imagedata r:id="rId32"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2</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D245CD" w:rsidP="00F86092">
            <w:pPr>
              <w:jc w:val="center"/>
              <w:rPr>
                <w:rFonts w:ascii="Verdana" w:eastAsia="Verdana" w:hAnsi="Verdana" w:cs="Verdana"/>
                <w:color w:val="000000"/>
                <w:sz w:val="16"/>
              </w:rPr>
            </w:pPr>
            <w:r>
              <w:rPr>
                <w:rFonts w:ascii="Verdana" w:eastAsia="Verdana" w:hAnsi="Verdana" w:cs="Verdana"/>
                <w:color w:val="000000"/>
                <w:sz w:val="16"/>
              </w:rPr>
              <w:pict w14:anchorId="3BA2991F">
                <v:shape id="_x0000_i1029"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D245CD" w:rsidP="00F86092">
            <w:pPr>
              <w:jc w:val="center"/>
              <w:rPr>
                <w:rFonts w:ascii="Verdana" w:eastAsia="Verdana" w:hAnsi="Verdana" w:cs="Verdana"/>
                <w:color w:val="000000"/>
                <w:sz w:val="16"/>
              </w:rPr>
            </w:pPr>
            <w:r>
              <w:rPr>
                <w:rFonts w:ascii="Verdana" w:eastAsia="Verdana" w:hAnsi="Verdana" w:cs="Verdana"/>
                <w:color w:val="000000"/>
                <w:sz w:val="16"/>
              </w:rPr>
              <w:pict w14:anchorId="67D91C7E">
                <v:shape id="_x0000_i1030" type="#_x0000_t75" style="width:12pt;height:12pt;mso-position-horizontal-relative:text;mso-position-vertical-relative:text">
                  <v:imagedata r:id="rId33" o:title=""/>
                </v:shape>
              </w:pict>
            </w:r>
          </w:p>
        </w:tc>
      </w:tr>
      <w:tr w:rsidR="00F86092"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DAC1020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Cancelled Operations offered binding date within 28 days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 xml:space="preserve">No </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Q3 2018/19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5.17%</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1.89%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D245CD" w:rsidP="00F86092">
            <w:pPr>
              <w:jc w:val="center"/>
              <w:rPr>
                <w:rFonts w:ascii="Verdana" w:eastAsia="Verdana" w:hAnsi="Verdana" w:cs="Verdana"/>
                <w:color w:val="000000"/>
                <w:sz w:val="16"/>
              </w:rPr>
            </w:pPr>
            <w:r>
              <w:rPr>
                <w:rFonts w:ascii="Verdana" w:eastAsia="Verdana" w:hAnsi="Verdana" w:cs="Verdana"/>
                <w:color w:val="000000"/>
                <w:sz w:val="16"/>
              </w:rPr>
              <w:pict w14:anchorId="0AC670A8">
                <v:shape id="_x0000_i1031" type="#_x0000_t75" style="width:16pt;height:16pt;mso-position-horizontal-relative:text;mso-position-vertical-relative:text">
                  <v:imagedata r:id="rId32"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7.97%</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11.01%</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2AE8347E" wp14:editId="29329F3D">
                  <wp:extent cx="200025" cy="200025"/>
                  <wp:effectExtent l="0" t="0" r="9525" b="9525"/>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1613BC5B" wp14:editId="0E2DB6B2">
                  <wp:extent cx="152400" cy="152400"/>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F86092"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DAC1040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Numbers of unjustified mixed sex accommodation breaches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 xml:space="preserve">No </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January 2019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D245CD" w:rsidP="00F86092">
            <w:pPr>
              <w:jc w:val="center"/>
              <w:rPr>
                <w:rFonts w:ascii="Verdana" w:eastAsia="Verdana" w:hAnsi="Verdana" w:cs="Verdana"/>
                <w:color w:val="000000"/>
                <w:sz w:val="16"/>
              </w:rPr>
            </w:pPr>
            <w:r>
              <w:rPr>
                <w:rFonts w:ascii="Verdana" w:eastAsia="Verdana" w:hAnsi="Verdana" w:cs="Verdana"/>
                <w:color w:val="000000"/>
                <w:sz w:val="16"/>
              </w:rPr>
              <w:pict w14:anchorId="2385790A">
                <v:shape id="_x0000_i1032" type="#_x0000_t75" style="width:16pt;height:16pt;mso-position-horizontal-relative:text;mso-position-vertical-relative:text">
                  <v:imagedata r:id="rId32"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271</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6F3BE188" wp14:editId="67481ED5">
                  <wp:extent cx="200025" cy="200025"/>
                  <wp:effectExtent l="0" t="0" r="9525"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54D3B81B" wp14:editId="594ABEC5">
                  <wp:extent cx="152400" cy="15240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F86092" w:rsidTr="007C3E46">
        <w:trPr>
          <w:gridAfter w:val="13"/>
          <w:wAfter w:w="10800" w:type="dxa"/>
          <w:trHeight w:val="2"/>
        </w:trPr>
        <w:tc>
          <w:tcPr>
            <w:tcW w:w="1018"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DAC1230</w:t>
            </w:r>
          </w:p>
        </w:tc>
        <w:tc>
          <w:tcPr>
            <w:tcW w:w="4372"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Provision of high quality care: hospital (121a)</w:t>
            </w:r>
          </w:p>
        </w:tc>
        <w:tc>
          <w:tcPr>
            <w:tcW w:w="1166" w:type="dxa"/>
            <w:tcBorders>
              <w:top w:val="single" w:sz="8" w:space="0" w:color="78786E"/>
              <w:left w:val="single" w:sz="8" w:space="0" w:color="78786E"/>
              <w:bottom w:val="single" w:sz="8" w:space="0" w:color="000000"/>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Yes</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Q1 2018/19</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58</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55</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D245CD" w:rsidP="00F86092">
            <w:pPr>
              <w:jc w:val="center"/>
              <w:rPr>
                <w:rFonts w:ascii="Verdana" w:eastAsia="Verdana" w:hAnsi="Verdana" w:cs="Verdana"/>
                <w:color w:val="000000"/>
                <w:sz w:val="16"/>
              </w:rPr>
            </w:pPr>
            <w:r>
              <w:rPr>
                <w:rFonts w:ascii="Verdana" w:eastAsia="Verdana" w:hAnsi="Verdana" w:cs="Verdana"/>
                <w:color w:val="000000"/>
                <w:sz w:val="16"/>
              </w:rPr>
              <w:pict w14:anchorId="67C3FBBF">
                <v:shape id="_x0000_i1033"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58</w:t>
            </w:r>
          </w:p>
        </w:tc>
        <w:tc>
          <w:tcPr>
            <w:tcW w:w="1166" w:type="dxa"/>
            <w:tcBorders>
              <w:top w:val="single" w:sz="8" w:space="0" w:color="78786E"/>
              <w:left w:val="single" w:sz="8" w:space="0" w:color="78786E"/>
              <w:bottom w:val="single" w:sz="8" w:space="0" w:color="000000"/>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55</w:t>
            </w:r>
          </w:p>
        </w:tc>
        <w:tc>
          <w:tcPr>
            <w:tcW w:w="1166" w:type="dxa"/>
            <w:tcBorders>
              <w:top w:val="single" w:sz="8" w:space="0" w:color="78786E"/>
              <w:left w:val="single" w:sz="8" w:space="0" w:color="78786E"/>
              <w:bottom w:val="single" w:sz="8" w:space="0" w:color="000000"/>
              <w:right w:val="single" w:sz="8" w:space="0" w:color="78786E"/>
            </w:tcBorders>
            <w:shd w:val="clear" w:color="auto" w:fill="FFFFFF"/>
            <w:vAlign w:val="center"/>
          </w:tcPr>
          <w:p w:rsidR="00F86092" w:rsidRDefault="00D245CD" w:rsidP="00F86092">
            <w:pPr>
              <w:jc w:val="center"/>
              <w:rPr>
                <w:rFonts w:ascii="Verdana" w:eastAsia="Verdana" w:hAnsi="Verdana" w:cs="Verdana"/>
                <w:color w:val="000000"/>
                <w:sz w:val="16"/>
              </w:rPr>
            </w:pPr>
            <w:r>
              <w:rPr>
                <w:rFonts w:ascii="Verdana" w:eastAsia="Verdana" w:hAnsi="Verdana" w:cs="Verdana"/>
                <w:color w:val="000000"/>
                <w:sz w:val="16"/>
              </w:rPr>
              <w:pict w14:anchorId="649DBAE2">
                <v:shape id="_x0000_i1034"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D245CD" w:rsidP="00F86092">
            <w:pPr>
              <w:jc w:val="center"/>
              <w:rPr>
                <w:rFonts w:ascii="Verdana" w:eastAsia="Verdana" w:hAnsi="Verdana" w:cs="Verdana"/>
                <w:color w:val="000000"/>
                <w:sz w:val="16"/>
              </w:rPr>
            </w:pPr>
            <w:r>
              <w:rPr>
                <w:rFonts w:ascii="Verdana" w:eastAsia="Verdana" w:hAnsi="Verdana" w:cs="Verdana"/>
                <w:color w:val="000000"/>
                <w:sz w:val="16"/>
              </w:rPr>
              <w:pict w14:anchorId="12174A8B">
                <v:shape id="_x0000_i1035" type="#_x0000_t75" style="width:12pt;height:12pt;mso-position-horizontal-relative:text;mso-position-vertical-relative:text">
                  <v:imagedata r:id="rId33" o:title=""/>
                </v:shape>
              </w:pict>
            </w:r>
          </w:p>
        </w:tc>
      </w:tr>
      <w:tr w:rsidR="00F86092" w:rsidTr="004D5DC0">
        <w:trPr>
          <w:gridAfter w:val="13"/>
          <w:wAfter w:w="10800" w:type="dxa"/>
          <w:trHeight w:val="2"/>
        </w:trPr>
        <w:tc>
          <w:tcPr>
            <w:tcW w:w="1018"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DAC1250</w:t>
            </w:r>
          </w:p>
        </w:tc>
        <w:tc>
          <w:tcPr>
            <w:tcW w:w="4372"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Patient experience of GP services (128b)</w:t>
            </w:r>
          </w:p>
        </w:tc>
        <w:tc>
          <w:tcPr>
            <w:tcW w:w="1166" w:type="dxa"/>
            <w:tcBorders>
              <w:top w:val="single" w:sz="8" w:space="0" w:color="78786E"/>
              <w:left w:val="single" w:sz="8" w:space="0" w:color="78786E"/>
              <w:bottom w:val="single" w:sz="8" w:space="0" w:color="000000"/>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Yes</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2017/18</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83.98%</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80.23%</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55219D29" wp14:editId="05971FA4">
                  <wp:extent cx="200025" cy="200025"/>
                  <wp:effectExtent l="0" t="0" r="9525" b="9525"/>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8" w:type="dxa"/>
            <w:gridSpan w:val="3"/>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No data available in 2018/19</w:t>
            </w:r>
          </w:p>
        </w:tc>
        <w:tc>
          <w:tcPr>
            <w:tcW w:w="1017"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11A57FB8" wp14:editId="15215E9C">
                  <wp:extent cx="152400" cy="15240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F86092" w:rsidTr="004D5DC0">
        <w:trPr>
          <w:gridAfter w:val="13"/>
          <w:wAfter w:w="10800" w:type="dxa"/>
          <w:trHeight w:val="2"/>
        </w:trPr>
        <w:tc>
          <w:tcPr>
            <w:tcW w:w="1018"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DAC1280</w:t>
            </w:r>
          </w:p>
        </w:tc>
        <w:tc>
          <w:tcPr>
            <w:tcW w:w="4372"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Cancer patient experience (122d)</w:t>
            </w:r>
          </w:p>
        </w:tc>
        <w:tc>
          <w:tcPr>
            <w:tcW w:w="1166" w:type="dxa"/>
            <w:tcBorders>
              <w:top w:val="single" w:sz="8" w:space="0" w:color="78786E"/>
              <w:left w:val="single" w:sz="8" w:space="0" w:color="78786E"/>
              <w:bottom w:val="single" w:sz="8" w:space="0" w:color="000000"/>
              <w:right w:val="single" w:sz="8" w:space="0" w:color="78786E"/>
            </w:tcBorders>
            <w:shd w:val="clear" w:color="auto" w:fill="FFFFFF"/>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Yes</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2016/17</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8.78</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8.65</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0FCC6E05" wp14:editId="30A57847">
                  <wp:extent cx="200025" cy="200025"/>
                  <wp:effectExtent l="0" t="0" r="9525" b="9525"/>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98" w:type="dxa"/>
            <w:gridSpan w:val="3"/>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color w:val="000000"/>
                <w:sz w:val="16"/>
              </w:rPr>
              <w:t>No data available in 2018/19</w:t>
            </w:r>
          </w:p>
        </w:tc>
        <w:tc>
          <w:tcPr>
            <w:tcW w:w="1017"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57041A0D" wp14:editId="536851E4">
                  <wp:extent cx="152400" cy="152400"/>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F86092" w:rsidTr="004D5DC0">
        <w:trPr>
          <w:gridAfter w:val="13"/>
          <w:wAfter w:w="10800" w:type="dxa"/>
          <w:trHeight w:val="2"/>
        </w:trPr>
        <w:tc>
          <w:tcPr>
            <w:tcW w:w="15735" w:type="dxa"/>
            <w:gridSpan w:val="11"/>
            <w:tcBorders>
              <w:top w:val="single" w:sz="8" w:space="0" w:color="000000"/>
              <w:left w:val="single" w:sz="8" w:space="0" w:color="000000"/>
              <w:bottom w:val="single" w:sz="8" w:space="0" w:color="000000"/>
              <w:right w:val="single" w:sz="8" w:space="0" w:color="000000"/>
            </w:tcBorders>
            <w:shd w:val="clear" w:color="auto" w:fill="92D050"/>
          </w:tcPr>
          <w:p w:rsidR="00F86092" w:rsidRPr="005B5F2C" w:rsidRDefault="00F86092" w:rsidP="00F86092">
            <w:pPr>
              <w:rPr>
                <w:b/>
              </w:rPr>
            </w:pPr>
            <w:r w:rsidRPr="005B5F2C">
              <w:rPr>
                <w:rFonts w:ascii="Verdana" w:eastAsia="Verdana" w:hAnsi="Verdana" w:cs="Verdana"/>
                <w:b/>
                <w:color w:val="000000"/>
                <w:sz w:val="20"/>
              </w:rPr>
              <w:t>Preventing avoidable harm</w:t>
            </w:r>
          </w:p>
        </w:tc>
      </w:tr>
      <w:tr w:rsidR="00F86092" w:rsidTr="006A0A2E">
        <w:trPr>
          <w:gridAfter w:val="13"/>
          <w:wAfter w:w="10800" w:type="dxa"/>
          <w:trHeight w:val="2"/>
        </w:trPr>
        <w:tc>
          <w:tcPr>
            <w:tcW w:w="15735" w:type="dxa"/>
            <w:gridSpan w:val="11"/>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No exceptions</w:t>
            </w:r>
          </w:p>
        </w:tc>
      </w:tr>
      <w:tr w:rsidR="00F86092" w:rsidTr="006A0A2E">
        <w:trPr>
          <w:trHeight w:val="2"/>
        </w:trPr>
        <w:tc>
          <w:tcPr>
            <w:tcW w:w="15735" w:type="dxa"/>
            <w:gridSpan w:val="11"/>
            <w:tcBorders>
              <w:top w:val="single" w:sz="8" w:space="0" w:color="000000"/>
              <w:left w:val="single" w:sz="8" w:space="0" w:color="000000"/>
              <w:bottom w:val="single" w:sz="8" w:space="0" w:color="000000"/>
              <w:right w:val="single" w:sz="8" w:space="0" w:color="000000"/>
            </w:tcBorders>
            <w:shd w:val="clear" w:color="auto" w:fill="92D050"/>
          </w:tcPr>
          <w:p w:rsidR="00F86092" w:rsidRPr="005B5F2C" w:rsidRDefault="00F86092" w:rsidP="00F86092">
            <w:pPr>
              <w:rPr>
                <w:b/>
              </w:rPr>
            </w:pPr>
            <w:r w:rsidRPr="005B5F2C">
              <w:rPr>
                <w:rFonts w:ascii="Verdana" w:eastAsia="Verdana" w:hAnsi="Verdana" w:cs="Verdana"/>
                <w:b/>
                <w:color w:val="000000"/>
                <w:sz w:val="20"/>
              </w:rPr>
              <w:t>Delaying and reducing the need for care and support</w:t>
            </w:r>
          </w:p>
        </w:tc>
        <w:tc>
          <w:tcPr>
            <w:tcW w:w="1080" w:type="dxa"/>
          </w:tcPr>
          <w:p w:rsidR="00F86092" w:rsidRDefault="00F86092" w:rsidP="00F86092"/>
        </w:tc>
        <w:tc>
          <w:tcPr>
            <w:tcW w:w="1080" w:type="dxa"/>
            <w:gridSpan w:val="3"/>
          </w:tcPr>
          <w:p w:rsidR="00F86092" w:rsidRDefault="00F86092" w:rsidP="00F86092"/>
        </w:tc>
        <w:tc>
          <w:tcPr>
            <w:tcW w:w="1080" w:type="dxa"/>
            <w:gridSpan w:val="2"/>
            <w:vAlign w:val="center"/>
          </w:tcPr>
          <w:p w:rsidR="00F86092" w:rsidRDefault="00F86092" w:rsidP="00F86092">
            <w:pPr>
              <w:jc w:val="center"/>
              <w:rPr>
                <w:rFonts w:ascii="Verdana" w:eastAsia="Verdana" w:hAnsi="Verdana" w:cs="Verdana"/>
                <w:color w:val="000000"/>
                <w:sz w:val="16"/>
              </w:rPr>
            </w:pPr>
          </w:p>
        </w:tc>
        <w:tc>
          <w:tcPr>
            <w:tcW w:w="1080" w:type="dxa"/>
            <w:vAlign w:val="center"/>
          </w:tcPr>
          <w:p w:rsidR="00F86092" w:rsidRDefault="00F86092" w:rsidP="00F86092">
            <w:pPr>
              <w:jc w:val="center"/>
              <w:rPr>
                <w:rFonts w:ascii="Verdana" w:eastAsia="Verdana" w:hAnsi="Verdana" w:cs="Verdana"/>
                <w:color w:val="000000"/>
                <w:sz w:val="16"/>
              </w:rPr>
            </w:pPr>
          </w:p>
        </w:tc>
        <w:tc>
          <w:tcPr>
            <w:tcW w:w="1080" w:type="dxa"/>
            <w:vAlign w:val="center"/>
          </w:tcPr>
          <w:p w:rsidR="00F86092" w:rsidRDefault="00F86092" w:rsidP="00F86092">
            <w:pPr>
              <w:jc w:val="center"/>
              <w:rPr>
                <w:rFonts w:ascii="Verdana" w:eastAsia="Verdana" w:hAnsi="Verdana" w:cs="Verdana"/>
                <w:color w:val="000000"/>
                <w:sz w:val="16"/>
              </w:rPr>
            </w:pPr>
          </w:p>
        </w:tc>
        <w:tc>
          <w:tcPr>
            <w:tcW w:w="1080" w:type="dxa"/>
            <w:vAlign w:val="center"/>
          </w:tcPr>
          <w:p w:rsidR="00F86092" w:rsidRDefault="00F86092" w:rsidP="00F86092">
            <w:pPr>
              <w:jc w:val="center"/>
              <w:rPr>
                <w:rFonts w:ascii="Verdana" w:eastAsia="Verdana" w:hAnsi="Verdana" w:cs="Verdana"/>
                <w:color w:val="000000"/>
                <w:sz w:val="16"/>
              </w:rPr>
            </w:pPr>
          </w:p>
        </w:tc>
        <w:tc>
          <w:tcPr>
            <w:tcW w:w="1080" w:type="dxa"/>
            <w:vAlign w:val="center"/>
          </w:tcPr>
          <w:p w:rsidR="00F86092" w:rsidRDefault="00F86092" w:rsidP="00F86092">
            <w:pPr>
              <w:jc w:val="center"/>
              <w:rPr>
                <w:rFonts w:ascii="Verdana" w:eastAsia="Verdana" w:hAnsi="Verdana" w:cs="Verdana"/>
                <w:color w:val="000000"/>
                <w:sz w:val="16"/>
              </w:rPr>
            </w:pPr>
          </w:p>
        </w:tc>
        <w:tc>
          <w:tcPr>
            <w:tcW w:w="1080" w:type="dxa"/>
            <w:vAlign w:val="center"/>
          </w:tcPr>
          <w:p w:rsidR="00F86092" w:rsidRDefault="00F86092" w:rsidP="00F86092">
            <w:pPr>
              <w:jc w:val="center"/>
              <w:rPr>
                <w:rFonts w:ascii="Verdana" w:eastAsia="Verdana" w:hAnsi="Verdana" w:cs="Verdana"/>
                <w:color w:val="000000"/>
                <w:sz w:val="16"/>
              </w:rPr>
            </w:pPr>
          </w:p>
        </w:tc>
        <w:tc>
          <w:tcPr>
            <w:tcW w:w="1080" w:type="dxa"/>
            <w:vAlign w:val="center"/>
          </w:tcPr>
          <w:p w:rsidR="00F86092" w:rsidRDefault="00F86092" w:rsidP="00F86092">
            <w:pPr>
              <w:jc w:val="center"/>
              <w:rPr>
                <w:rFonts w:ascii="Verdana" w:eastAsia="Verdana" w:hAnsi="Verdana" w:cs="Verdana"/>
                <w:color w:val="000000"/>
                <w:sz w:val="16"/>
              </w:rPr>
            </w:pPr>
          </w:p>
        </w:tc>
        <w:tc>
          <w:tcPr>
            <w:tcW w:w="1080" w:type="dxa"/>
            <w:vAlign w:val="center"/>
          </w:tcPr>
          <w:p w:rsidR="00F86092" w:rsidRDefault="00F86092" w:rsidP="00F86092">
            <w:pPr>
              <w:jc w:val="center"/>
              <w:rPr>
                <w:rFonts w:ascii="Verdana" w:eastAsia="Verdana" w:hAnsi="Verdana" w:cs="Verdana"/>
                <w:color w:val="000000"/>
                <w:sz w:val="16"/>
              </w:rPr>
            </w:pPr>
          </w:p>
        </w:tc>
      </w:tr>
      <w:tr w:rsidR="00F86092"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DAC3070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F86092" w:rsidP="00F86092">
            <w:pPr>
              <w:rPr>
                <w:rFonts w:ascii="Verdana" w:eastAsia="Verdana" w:hAnsi="Verdana" w:cs="Verdana"/>
                <w:color w:val="000000"/>
                <w:sz w:val="16"/>
              </w:rPr>
            </w:pPr>
            <w:r>
              <w:rPr>
                <w:rFonts w:ascii="Verdana" w:eastAsia="Verdana" w:hAnsi="Verdana" w:cs="Verdana"/>
                <w:color w:val="000000"/>
                <w:sz w:val="16"/>
              </w:rPr>
              <w:t>Delayed transfers of care (delayed days) from hospital per 100,000 population (aged 18+) - LA</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Pr="001F7C08" w:rsidRDefault="00F86092" w:rsidP="00F86092">
            <w:pPr>
              <w:jc w:val="center"/>
              <w:rPr>
                <w:rFonts w:ascii="Verdana" w:eastAsia="Verdana" w:hAnsi="Verdana" w:cs="Verdana"/>
                <w:color w:val="000000"/>
                <w:sz w:val="16"/>
              </w:rPr>
            </w:pPr>
            <w:r>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4B3C8D" w:rsidP="00F86092">
            <w:pPr>
              <w:jc w:val="center"/>
              <w:rPr>
                <w:rFonts w:ascii="Verdana" w:eastAsia="Verdana" w:hAnsi="Verdana" w:cs="Verdana"/>
                <w:color w:val="000000"/>
                <w:sz w:val="16"/>
              </w:rPr>
            </w:pPr>
            <w:r>
              <w:rPr>
                <w:rFonts w:ascii="Verdana" w:eastAsia="Verdana" w:hAnsi="Verdana" w:cs="Verdana"/>
                <w:color w:val="000000"/>
                <w:sz w:val="16"/>
              </w:rPr>
              <w:t>Nov</w:t>
            </w:r>
            <w:r w:rsidR="00F86092">
              <w:rPr>
                <w:rFonts w:ascii="Verdana" w:eastAsia="Verdana" w:hAnsi="Verdana" w:cs="Verdana"/>
                <w:color w:val="000000"/>
                <w:sz w:val="16"/>
              </w:rPr>
              <w:t>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4B3C8D" w:rsidP="00F86092">
            <w:pPr>
              <w:jc w:val="center"/>
              <w:rPr>
                <w:rFonts w:ascii="Verdana" w:eastAsia="Verdana" w:hAnsi="Verdana" w:cs="Verdana"/>
                <w:color w:val="000000"/>
                <w:sz w:val="16"/>
              </w:rPr>
            </w:pPr>
            <w:r>
              <w:rPr>
                <w:rFonts w:ascii="Verdana" w:eastAsia="Verdana" w:hAnsi="Verdana" w:cs="Verdana"/>
                <w:color w:val="000000"/>
                <w:sz w:val="16"/>
              </w:rPr>
              <w:t>330.14</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4B3C8D" w:rsidP="004B3C8D">
            <w:pPr>
              <w:jc w:val="center"/>
              <w:rPr>
                <w:rFonts w:ascii="Verdana" w:eastAsia="Verdana" w:hAnsi="Verdana" w:cs="Verdana"/>
                <w:color w:val="000000"/>
                <w:sz w:val="16"/>
              </w:rPr>
            </w:pPr>
            <w:r>
              <w:rPr>
                <w:rFonts w:ascii="Verdana" w:eastAsia="Verdana" w:hAnsi="Verdana" w:cs="Verdana"/>
                <w:color w:val="000000"/>
                <w:sz w:val="16"/>
              </w:rPr>
              <w:t>176.57</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D245CD" w:rsidP="00F86092">
            <w:pPr>
              <w:jc w:val="center"/>
              <w:rPr>
                <w:rFonts w:ascii="Verdana" w:eastAsia="Verdana" w:hAnsi="Verdana" w:cs="Verdana"/>
                <w:color w:val="000000"/>
                <w:sz w:val="16"/>
              </w:rPr>
            </w:pPr>
            <w:r>
              <w:rPr>
                <w:rFonts w:ascii="Verdana" w:eastAsia="Verdana" w:hAnsi="Verdana" w:cs="Verdana"/>
                <w:color w:val="000000"/>
                <w:sz w:val="16"/>
              </w:rPr>
              <w:pict w14:anchorId="3B44F7B7">
                <v:shape id="_x0000_i1036"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4B3C8D" w:rsidP="00F86092">
            <w:pPr>
              <w:jc w:val="center"/>
              <w:rPr>
                <w:rFonts w:ascii="Verdana" w:eastAsia="Verdana" w:hAnsi="Verdana" w:cs="Verdana"/>
                <w:color w:val="000000"/>
                <w:sz w:val="16"/>
              </w:rPr>
            </w:pPr>
            <w:r>
              <w:rPr>
                <w:rFonts w:ascii="Verdana" w:eastAsia="Verdana" w:hAnsi="Verdana" w:cs="Verdana"/>
                <w:color w:val="000000"/>
                <w:sz w:val="16"/>
              </w:rPr>
              <w:t>1598.18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4B3C8D" w:rsidP="00F86092">
            <w:pPr>
              <w:jc w:val="center"/>
              <w:rPr>
                <w:rFonts w:ascii="Verdana" w:eastAsia="Verdana" w:hAnsi="Verdana" w:cs="Verdana"/>
                <w:color w:val="000000"/>
                <w:sz w:val="16"/>
              </w:rPr>
            </w:pPr>
            <w:r>
              <w:rPr>
                <w:rFonts w:ascii="Verdana" w:eastAsia="Verdana" w:hAnsi="Verdana" w:cs="Verdana"/>
                <w:color w:val="000000"/>
                <w:sz w:val="16"/>
              </w:rPr>
              <w:t>1762.36</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F86092" w:rsidRDefault="00D245CD" w:rsidP="00F86092">
            <w:pPr>
              <w:jc w:val="center"/>
              <w:rPr>
                <w:rFonts w:ascii="Verdana" w:eastAsia="Verdana" w:hAnsi="Verdana" w:cs="Verdana"/>
                <w:color w:val="000000"/>
                <w:sz w:val="16"/>
              </w:rPr>
            </w:pPr>
            <w:r>
              <w:rPr>
                <w:rFonts w:ascii="Verdana" w:eastAsia="Verdana" w:hAnsi="Verdana" w:cs="Verdana"/>
                <w:color w:val="000000"/>
                <w:sz w:val="16"/>
              </w:rPr>
              <w:pict w14:anchorId="5FDFFCE6">
                <v:shape id="_x0000_i1037"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F86092" w:rsidRDefault="00D245CD" w:rsidP="00F86092">
            <w:pPr>
              <w:jc w:val="center"/>
              <w:rPr>
                <w:rFonts w:ascii="Verdana" w:eastAsia="Verdana" w:hAnsi="Verdana" w:cs="Verdana"/>
                <w:color w:val="000000"/>
                <w:sz w:val="16"/>
              </w:rPr>
            </w:pPr>
            <w:r>
              <w:rPr>
                <w:rFonts w:ascii="Verdana" w:eastAsia="Verdana" w:hAnsi="Verdana" w:cs="Verdana"/>
                <w:color w:val="000000"/>
                <w:sz w:val="16"/>
              </w:rPr>
              <w:pict w14:anchorId="2EF5E018">
                <v:shape id="_x0000_i1038" type="#_x0000_t75" style="width:12pt;height:12pt;mso-position-horizontal-relative:text;mso-position-vertical-relative:text">
                  <v:imagedata r:id="rId35" o:title=""/>
                </v:shape>
              </w:pict>
            </w:r>
          </w:p>
        </w:tc>
      </w:tr>
      <w:tr w:rsidR="00962FCB"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DAC3090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Reduction in the number of antibiotics prescribed in primary care - CCG</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Yes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October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0.965</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1.1</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02EB4BE1">
                <v:shape id="_x0000_i1039" type="#_x0000_t75" style="width:16pt;height:16pt;mso-position-horizontal-relative:text;mso-position-vertical-relative:text">
                  <v:imagedata r:id="rId36"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0.965</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1.1</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17CAA14D">
                <v:shape id="_x0000_i1040" type="#_x0000_t75" style="width:16pt;height:16pt;mso-position-horizontal-relative:text;mso-position-vertical-relative:text">
                  <v:imagedata r:id="rId36"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539AC10B">
                <v:shape id="_x0000_i1041" type="#_x0000_t75" style="width:12pt;height:12pt;mso-position-horizontal-relative:text;mso-position-vertical-relative:text">
                  <v:imagedata r:id="rId35" o:title=""/>
                </v:shape>
              </w:pict>
            </w:r>
          </w:p>
        </w:tc>
      </w:tr>
      <w:tr w:rsidR="00962FCB" w:rsidTr="007C3E46">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DAC3130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The proportion of older people aged 65 and over offered reablement services following discharge from hospital - LA</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2017/18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2.00%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1.79%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2D5EBFBD">
                <v:shape id="_x0000_i1042" type="#_x0000_t75" style="width:16pt;height:16pt;mso-position-horizontal-relative:text;mso-position-vertical-relative:text">
                  <v:imagedata r:id="rId29" o:title=""/>
                </v:shape>
              </w:pict>
            </w:r>
          </w:p>
        </w:tc>
        <w:tc>
          <w:tcPr>
            <w:tcW w:w="3498" w:type="dxa"/>
            <w:gridSpan w:val="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noProof/>
                <w:color w:val="000000"/>
                <w:sz w:val="16"/>
                <w:lang w:eastAsia="en-GB"/>
              </w:rPr>
            </w:pPr>
            <w:r>
              <w:rPr>
                <w:rFonts w:ascii="Verdana" w:eastAsia="Verdana" w:hAnsi="Verdana" w:cs="Verdana"/>
                <w:noProof/>
                <w:color w:val="000000"/>
                <w:sz w:val="16"/>
                <w:lang w:eastAsia="en-GB"/>
              </w:rPr>
              <w:t>No data available in 2018/19</w: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noProof/>
                <w:color w:val="000000"/>
                <w:sz w:val="16"/>
                <w:lang w:eastAsia="en-GB"/>
              </w:rPr>
            </w:pPr>
            <w:r>
              <w:rPr>
                <w:rFonts w:ascii="Verdana" w:eastAsia="Verdana" w:hAnsi="Verdana" w:cs="Verdana"/>
                <w:noProof/>
                <w:color w:val="000000"/>
                <w:sz w:val="16"/>
                <w:lang w:eastAsia="en-GB"/>
              </w:rPr>
              <w:drawing>
                <wp:inline distT="0" distB="0" distL="0" distR="0" wp14:anchorId="7A092071" wp14:editId="4B2E794C">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962FCB"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DAC3195</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Total Non-Elective Spells (Specific Acute)</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pPr>
            <w:r w:rsidRPr="001F7C08">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December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1462</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1559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0BABF614">
                <v:shape id="_x0000_i1043"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12796</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13366</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5F0C208D">
                <v:shape id="_x0000_i1044" type="#_x0000_t75" style="width:16pt;height:16pt;mso-position-horizontal-relative:text;mso-position-vertical-relative:text">
                  <v:imagedata r:id="rId36"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6F499F68">
                <v:shape id="_x0000_i1045" type="#_x0000_t75" style="width:12pt;height:12pt;mso-position-horizontal-relative:text;mso-position-vertical-relative:text">
                  <v:imagedata r:id="rId35" o:title=""/>
                </v:shape>
              </w:pict>
            </w:r>
          </w:p>
        </w:tc>
      </w:tr>
      <w:tr w:rsidR="00962FCB"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DAC3215</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Consultant Led First Outpatient Attendances (Specific Acute)</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pPr>
            <w:r w:rsidRPr="001F7C08">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December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3636</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3699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18229BA7">
                <v:shape id="_x0000_i1046" type="#_x0000_t75" style="width:16pt;height:16pt;mso-position-horizontal-relative:text;mso-position-vertical-relative:text">
                  <v:imagedata r:id="rId36"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37334</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38753</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02BA19EF">
                <v:shape id="_x0000_i1047" type="#_x0000_t75" style="width:16pt;height:16pt;mso-position-horizontal-relative:text;mso-position-vertical-relative:text">
                  <v:imagedata r:id="rId36"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38818525">
                <v:shape id="_x0000_i1048" type="#_x0000_t75" style="width:12pt;height:12pt;mso-position-horizontal-relative:text;mso-position-vertical-relative:text">
                  <v:imagedata r:id="rId35" o:title=""/>
                </v:shape>
              </w:pict>
            </w:r>
          </w:p>
        </w:tc>
      </w:tr>
      <w:tr w:rsidR="00962FCB"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DAC3235</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Consultant Led Follow-Up Outpatient Attendances (Specific Acute)</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pPr>
            <w:r w:rsidRPr="001F7C08">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December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6685</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6355</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3197D4AC">
                <v:shape id="_x0000_i1049" type="#_x0000_t75" style="width:16pt;height:16pt;mso-position-horizontal-relative:text;mso-position-vertical-relative:text">
                  <v:imagedata r:id="rId32"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68998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69357</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28C69FFB">
                <v:shape id="_x0000_i1050" type="#_x0000_t75" style="width:16pt;height:16pt;mso-position-horizontal-relative:text;mso-position-vertical-relative:text">
                  <v:imagedata r:id="rId36"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66F41D53">
                <v:shape id="_x0000_i1051" type="#_x0000_t75" style="width:12pt;height:12pt;mso-position-horizontal-relative:text;mso-position-vertical-relative:text">
                  <v:imagedata r:id="rId35" o:title=""/>
                </v:shape>
              </w:pict>
            </w:r>
          </w:p>
        </w:tc>
      </w:tr>
      <w:tr w:rsidR="00962FCB"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DAC3240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A&amp;E Attendances (NEL Patients)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pPr>
            <w:r w:rsidRPr="001F7C08">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December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4597</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5055</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0074222F">
                <v:shape id="_x0000_i1052"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43910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46734</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02500F6A">
                <v:shape id="_x0000_i1053"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546BFAAC">
                <v:shape id="_x0000_i1054" type="#_x0000_t75" style="width:12pt;height:12pt;mso-position-horizontal-relative:text;mso-position-vertical-relative:text">
                  <v:imagedata r:id="rId35" o:title=""/>
                </v:shape>
              </w:pict>
            </w:r>
          </w:p>
        </w:tc>
      </w:tr>
      <w:tr w:rsidR="00962FCB" w:rsidTr="004D5DC0">
        <w:trPr>
          <w:gridAfter w:val="13"/>
          <w:wAfter w:w="10800" w:type="dxa"/>
          <w:trHeight w:val="2"/>
        </w:trPr>
        <w:tc>
          <w:tcPr>
            <w:tcW w:w="15735" w:type="dxa"/>
            <w:gridSpan w:val="11"/>
            <w:tcBorders>
              <w:top w:val="single" w:sz="8" w:space="0" w:color="000000"/>
              <w:left w:val="single" w:sz="8" w:space="0" w:color="000000"/>
              <w:bottom w:val="single" w:sz="8" w:space="0" w:color="000000"/>
              <w:right w:val="single" w:sz="8" w:space="0" w:color="000000"/>
            </w:tcBorders>
            <w:shd w:val="clear" w:color="auto" w:fill="92D050"/>
          </w:tcPr>
          <w:p w:rsidR="00962FCB" w:rsidRPr="005B5F2C" w:rsidRDefault="00962FCB" w:rsidP="00962FCB">
            <w:pPr>
              <w:rPr>
                <w:b/>
              </w:rPr>
            </w:pPr>
            <w:r w:rsidRPr="005B5F2C">
              <w:rPr>
                <w:rFonts w:ascii="Verdana" w:eastAsia="Verdana" w:hAnsi="Verdana" w:cs="Verdana"/>
                <w:b/>
                <w:color w:val="000000"/>
                <w:sz w:val="20"/>
              </w:rPr>
              <w:t>Enhancing quality of life</w:t>
            </w:r>
          </w:p>
        </w:tc>
      </w:tr>
      <w:tr w:rsidR="00962FCB" w:rsidRPr="00D27A74"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DAC4050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Proportion of adults in contact with secondary mental health services living independently, with or without support</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sidRPr="00A6468F">
              <w:rPr>
                <w:rFonts w:ascii="Verdana" w:eastAsia="Verdana" w:hAnsi="Verdana" w:cs="Verdana"/>
                <w:color w:val="000000"/>
                <w:sz w:val="16"/>
              </w:rPr>
              <w:t>No</w:t>
            </w:r>
            <w:r>
              <w:rPr>
                <w:rFonts w:ascii="Verdana" w:eastAsia="Verdana" w:hAnsi="Verdana" w:cs="Verdana"/>
                <w:color w:val="000000"/>
                <w:sz w:val="16"/>
              </w:rPr>
              <w:t xml:space="preserve"> </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October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80.00%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68.67%</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09835335">
                <v:shape id="_x0000_i1055"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80.00%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73.73%</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0E1BDEB1">
                <v:shape id="_x0000_i1056"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5E3AD5E2">
                <v:shape id="_x0000_i1057" type="#_x0000_t75" style="width:12pt;height:12pt;mso-position-horizontal-relative:text;mso-position-vertical-relative:text">
                  <v:imagedata r:id="rId35" o:title=""/>
                </v:shape>
              </w:pict>
            </w:r>
          </w:p>
        </w:tc>
      </w:tr>
      <w:tr w:rsidR="00962FCB" w:rsidRPr="00D27A74" w:rsidTr="004D5DC0">
        <w:trPr>
          <w:gridAfter w:val="8"/>
          <w:wAfter w:w="8247" w:type="dxa"/>
          <w:trHeight w:val="2"/>
        </w:trPr>
        <w:tc>
          <w:tcPr>
            <w:tcW w:w="1018"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DAC4160</w:t>
            </w:r>
          </w:p>
        </w:tc>
        <w:tc>
          <w:tcPr>
            <w:tcW w:w="4372"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The proportion of carers with a long term condition who feel supported to manage their condition (108a)</w:t>
            </w:r>
          </w:p>
        </w:tc>
        <w:tc>
          <w:tcPr>
            <w:tcW w:w="1166" w:type="dxa"/>
            <w:tcBorders>
              <w:top w:val="single" w:sz="8" w:space="0" w:color="78786E"/>
              <w:left w:val="single" w:sz="8" w:space="0" w:color="78786E"/>
              <w:bottom w:val="single" w:sz="8" w:space="0" w:color="000000"/>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Yes</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2017/18</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59.16%</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58.11%</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34473129">
                <v:shape id="_x0000_i1058" type="#_x0000_t75" style="width:16pt;height:16pt;mso-position-horizontal-relative:text;mso-position-vertical-relative:text">
                  <v:imagedata r:id="rId36" o:title=""/>
                </v:shape>
              </w:pict>
            </w:r>
          </w:p>
        </w:tc>
        <w:tc>
          <w:tcPr>
            <w:tcW w:w="3498" w:type="dxa"/>
            <w:gridSpan w:val="3"/>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No data available in 2018/19</w:t>
            </w:r>
          </w:p>
        </w:tc>
        <w:tc>
          <w:tcPr>
            <w:tcW w:w="1017"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473" w:type="dxa"/>
            <w:gridSpan w:val="3"/>
            <w:vAlign w:val="center"/>
          </w:tcPr>
          <w:p w:rsidR="00962FCB" w:rsidRDefault="00962FCB" w:rsidP="00962FCB">
            <w:pPr>
              <w:jc w:val="center"/>
              <w:rPr>
                <w:rFonts w:ascii="Verdana" w:eastAsia="Verdana" w:hAnsi="Verdana" w:cs="Verdana"/>
                <w:color w:val="000000"/>
                <w:sz w:val="16"/>
              </w:rPr>
            </w:pPr>
          </w:p>
        </w:tc>
        <w:tc>
          <w:tcPr>
            <w:tcW w:w="1080" w:type="dxa"/>
            <w:gridSpan w:val="2"/>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7AB97070" wp14:editId="371B7AEA">
                  <wp:extent cx="152400" cy="152400"/>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962FCB" w:rsidRPr="00D27A74" w:rsidTr="004D5DC0">
        <w:trPr>
          <w:gridAfter w:val="13"/>
          <w:wAfter w:w="10800" w:type="dxa"/>
          <w:trHeight w:val="2"/>
        </w:trPr>
        <w:tc>
          <w:tcPr>
            <w:tcW w:w="15735" w:type="dxa"/>
            <w:gridSpan w:val="11"/>
            <w:tcBorders>
              <w:top w:val="single" w:sz="8" w:space="0" w:color="000000"/>
              <w:left w:val="single" w:sz="8" w:space="0" w:color="000000"/>
              <w:bottom w:val="single" w:sz="8" w:space="0" w:color="000000"/>
              <w:right w:val="single" w:sz="8" w:space="0" w:color="000000"/>
            </w:tcBorders>
            <w:shd w:val="clear" w:color="auto" w:fill="FFC000"/>
          </w:tcPr>
          <w:p w:rsidR="00962FCB" w:rsidRPr="005B5F2C" w:rsidRDefault="00962FCB" w:rsidP="00962FCB">
            <w:pPr>
              <w:rPr>
                <w:rFonts w:ascii="Verdana" w:eastAsia="Verdana" w:hAnsi="Verdana" w:cs="Verdana"/>
                <w:b/>
                <w:color w:val="000000"/>
                <w:sz w:val="20"/>
              </w:rPr>
            </w:pPr>
            <w:r w:rsidRPr="005B5F2C">
              <w:rPr>
                <w:rFonts w:ascii="Verdana" w:eastAsia="Verdana" w:hAnsi="Verdana" w:cs="Verdana"/>
                <w:b/>
                <w:color w:val="000000"/>
                <w:sz w:val="20"/>
              </w:rPr>
              <w:t>Preventing people from dying prematurely</w:t>
            </w:r>
          </w:p>
        </w:tc>
      </w:tr>
      <w:tr w:rsidR="00962FCB" w:rsidRPr="00D27A74" w:rsidTr="004D5DC0">
        <w:trPr>
          <w:gridAfter w:val="13"/>
          <w:wAfter w:w="10800" w:type="dxa"/>
          <w:trHeight w:val="365"/>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DAC5001</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ARP Category 1 Mean Response Time – Calls from people with life-threatening illnesses or injuries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pPr>
            <w:r w:rsidRPr="00BA00B4">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December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00:07:00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00:07:43</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213C5B85">
                <v:shape id="_x0000_i1059"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00:07:00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00:07:45</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238FBCB5">
                <v:shape id="_x0000_i1060"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5C4738DB">
                <v:shape id="_x0000_i1061" type="#_x0000_t75" style="width:12pt;height:12pt;mso-position-horizontal-relative:text;mso-position-vertical-relative:text">
                  <v:imagedata r:id="rId33" o:title=""/>
                </v:shape>
              </w:pict>
            </w:r>
          </w:p>
        </w:tc>
      </w:tr>
      <w:tr w:rsidR="00962FCB" w:rsidRPr="00D27A74"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DAC5011</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ARP Category 2 Mean Response Time – Emergency calls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pPr>
            <w:r w:rsidRPr="00BA00B4">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December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00:18:00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00:31:19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341630F7">
                <v:shape id="_x0000_i1062"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00:18:00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00:31:29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52615357">
                <v:shape id="_x0000_i1063"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7AC701C0">
                <v:shape id="_x0000_i1064" type="#_x0000_t75" style="width:12pt;height:12pt;mso-position-horizontal-relative:text;mso-position-vertical-relative:text">
                  <v:imagedata r:id="rId33" o:title=""/>
                </v:shape>
              </w:pict>
            </w:r>
          </w:p>
        </w:tc>
      </w:tr>
      <w:tr w:rsidR="00962FCB" w:rsidRPr="00D27A74"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DAC5013</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ARP Category 2 90th centile response time  – Emergency Calls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pPr>
            <w:r w:rsidRPr="00BA00B4">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December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00:40:00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01:06:32</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3EB81ACD">
                <v:shape id="_x0000_i1065"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00:40:00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01:06:24</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37E8FAB9">
                <v:shape id="_x0000_i1066"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7FE75349">
                <v:shape id="_x0000_i1067" type="#_x0000_t75" style="width:12pt;height:12pt;mso-position-horizontal-relative:text;mso-position-vertical-relative:text">
                  <v:imagedata r:id="rId33" o:title=""/>
                </v:shape>
              </w:pict>
            </w:r>
          </w:p>
        </w:tc>
      </w:tr>
      <w:tr w:rsidR="00962FCB" w:rsidRPr="00D27A74"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DAC5023</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ARP Category 3 90th centile response time  – Urgent Calls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pPr>
            <w:r w:rsidRPr="00BA00B4">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December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02:00:00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03:39:17</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50A1DCD7">
                <v:shape id="_x0000_i1068"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02:00:00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03:01:43</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6CA214DF">
                <v:shape id="_x0000_i1069"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21079704">
                <v:shape id="_x0000_i1070" type="#_x0000_t75" style="width:12pt;height:12pt;mso-position-horizontal-relative:text;mso-position-vertical-relative:text">
                  <v:imagedata r:id="rId33" o:title=""/>
                </v:shape>
              </w:pict>
            </w:r>
          </w:p>
        </w:tc>
      </w:tr>
      <w:tr w:rsidR="00962FCB" w:rsidRPr="00D27A74"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DAC5040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Ambulance 30 minute average turnaround time target - DPOW</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pPr>
            <w:r w:rsidRPr="00BA00B4">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December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30 mins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35.03 mins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537DDD2D">
                <v:shape id="_x0000_i1071"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30 mins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36.9 mins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1E9AE7C8">
                <v:shape id="_x0000_i1072"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37BAB4BB">
                <v:shape id="_x0000_i1073" type="#_x0000_t75" style="width:12pt;height:12pt;mso-position-horizontal-relative:text;mso-position-vertical-relative:text">
                  <v:imagedata r:id="rId33" o:title=""/>
                </v:shape>
              </w:pict>
            </w:r>
          </w:p>
        </w:tc>
      </w:tr>
      <w:tr w:rsidR="00962FCB" w:rsidRPr="00D27A74" w:rsidTr="004D5DC0">
        <w:trPr>
          <w:gridAfter w:val="13"/>
          <w:wAfter w:w="10800" w:type="dxa"/>
          <w:trHeight w:val="229"/>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DAC5110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Cancer 62 Days Referral to Treatment (GP Referral)</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sidRPr="00A6468F">
              <w:rPr>
                <w:rFonts w:ascii="Verdana" w:eastAsia="Verdana" w:hAnsi="Verdana" w:cs="Verdana"/>
                <w:color w:val="000000"/>
                <w:sz w:val="16"/>
              </w:rPr>
              <w:t>No</w:t>
            </w:r>
            <w:r>
              <w:rPr>
                <w:rFonts w:ascii="Verdana" w:eastAsia="Verdana" w:hAnsi="Verdana" w:cs="Verdana"/>
                <w:color w:val="000000"/>
                <w:sz w:val="16"/>
              </w:rPr>
              <w:t xml:space="preserve"> </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4B3C8D" w:rsidP="00962FCB">
            <w:pPr>
              <w:jc w:val="center"/>
              <w:rPr>
                <w:rFonts w:ascii="Verdana" w:eastAsia="Verdana" w:hAnsi="Verdana" w:cs="Verdana"/>
                <w:color w:val="000000"/>
                <w:sz w:val="16"/>
              </w:rPr>
            </w:pPr>
            <w:r>
              <w:rPr>
                <w:rFonts w:ascii="Verdana" w:eastAsia="Verdana" w:hAnsi="Verdana" w:cs="Verdana"/>
                <w:color w:val="000000"/>
                <w:sz w:val="16"/>
              </w:rPr>
              <w:t>December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85%</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4B3C8D" w:rsidP="00962FCB">
            <w:pPr>
              <w:jc w:val="center"/>
              <w:rPr>
                <w:rFonts w:ascii="Verdana" w:eastAsia="Verdana" w:hAnsi="Verdana" w:cs="Verdana"/>
                <w:color w:val="000000"/>
                <w:sz w:val="16"/>
              </w:rPr>
            </w:pPr>
            <w:r>
              <w:rPr>
                <w:rFonts w:ascii="Verdana" w:eastAsia="Verdana" w:hAnsi="Verdana" w:cs="Verdana"/>
                <w:color w:val="000000"/>
                <w:sz w:val="16"/>
              </w:rPr>
              <w:t>73.81</w:t>
            </w:r>
            <w:r w:rsidR="00962FCB">
              <w:rPr>
                <w:rFonts w:ascii="Verdana" w:eastAsia="Verdana" w:hAnsi="Verdana" w:cs="Verdana"/>
                <w:color w:val="000000"/>
                <w:sz w:val="16"/>
              </w:rPr>
              <w:t>%</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10BB037B">
                <v:shape id="_x0000_i1074"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85%</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4B3C8D" w:rsidP="00962FCB">
            <w:pPr>
              <w:jc w:val="center"/>
              <w:rPr>
                <w:rFonts w:ascii="Verdana" w:eastAsia="Verdana" w:hAnsi="Verdana" w:cs="Verdana"/>
                <w:color w:val="000000"/>
                <w:sz w:val="16"/>
              </w:rPr>
            </w:pPr>
            <w:r>
              <w:rPr>
                <w:rFonts w:ascii="Verdana" w:eastAsia="Verdana" w:hAnsi="Verdana" w:cs="Verdana"/>
                <w:color w:val="000000"/>
                <w:sz w:val="16"/>
              </w:rPr>
              <w:t>72.32</w:t>
            </w:r>
            <w:r w:rsidR="00962FCB">
              <w:rPr>
                <w:rFonts w:ascii="Verdana" w:eastAsia="Verdana" w:hAnsi="Verdana" w:cs="Verdana"/>
                <w:color w:val="000000"/>
                <w:sz w:val="16"/>
              </w:rPr>
              <w:t>%</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7181339D">
                <v:shape id="_x0000_i1075"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04A5F524">
                <v:shape id="_x0000_i1076" type="#_x0000_t75" style="width:12pt;height:12pt;mso-position-horizontal-relative:text;mso-position-vertical-relative:text">
                  <v:imagedata r:id="rId35" o:title=""/>
                </v:shape>
              </w:pict>
            </w:r>
          </w:p>
        </w:tc>
      </w:tr>
      <w:tr w:rsidR="00962FCB" w:rsidRPr="00D27A74" w:rsidTr="004D5DC0">
        <w:trPr>
          <w:gridAfter w:val="13"/>
          <w:wAfter w:w="10800" w:type="dxa"/>
          <w:trHeight w:val="229"/>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DAC5120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Cancer 62 Days Referral to Treatment (Screening Referral) - CCG</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4B3C8D" w:rsidP="00962FCB">
            <w:pPr>
              <w:jc w:val="center"/>
              <w:rPr>
                <w:rFonts w:ascii="Verdana" w:eastAsia="Verdana" w:hAnsi="Verdana" w:cs="Verdana"/>
                <w:color w:val="000000"/>
                <w:sz w:val="16"/>
              </w:rPr>
            </w:pPr>
            <w:r>
              <w:rPr>
                <w:rFonts w:ascii="Verdana" w:eastAsia="Verdana" w:hAnsi="Verdana" w:cs="Verdana"/>
                <w:color w:val="000000"/>
                <w:sz w:val="16"/>
              </w:rPr>
              <w:t>December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90%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4B3C8D" w:rsidP="004B3C8D">
            <w:pPr>
              <w:jc w:val="center"/>
              <w:rPr>
                <w:rFonts w:ascii="Verdana" w:eastAsia="Verdana" w:hAnsi="Verdana" w:cs="Verdana"/>
                <w:color w:val="000000"/>
                <w:sz w:val="16"/>
              </w:rPr>
            </w:pPr>
            <w:r>
              <w:rPr>
                <w:rFonts w:ascii="Verdana" w:eastAsia="Verdana" w:hAnsi="Verdana" w:cs="Verdana"/>
                <w:color w:val="000000"/>
                <w:sz w:val="16"/>
              </w:rPr>
              <w:t>N/A</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104F9E65">
                <v:shape id="_x0000_i1077" type="#_x0000_t75" style="width:16pt;height:16pt;mso-position-horizontal-relative:text;mso-position-vertical-relative:text">
                  <v:imagedata r:id="rId32"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90%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4B3C8D" w:rsidP="00962FCB">
            <w:pPr>
              <w:jc w:val="center"/>
              <w:rPr>
                <w:rFonts w:ascii="Verdana" w:eastAsia="Verdana" w:hAnsi="Verdana" w:cs="Verdana"/>
                <w:color w:val="000000"/>
                <w:sz w:val="16"/>
              </w:rPr>
            </w:pPr>
            <w:r>
              <w:rPr>
                <w:rFonts w:ascii="Verdana" w:eastAsia="Verdana" w:hAnsi="Verdana" w:cs="Verdana"/>
                <w:color w:val="000000"/>
                <w:sz w:val="16"/>
              </w:rPr>
              <w:t>85.2</w:t>
            </w:r>
            <w:r w:rsidR="00962FCB">
              <w:rPr>
                <w:rFonts w:ascii="Verdana" w:eastAsia="Verdana" w:hAnsi="Verdana" w:cs="Verdana"/>
                <w:color w:val="000000"/>
                <w:sz w:val="16"/>
              </w:rPr>
              <w:t>%</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597C3AF8">
                <v:shape id="_x0000_i1078" type="#_x0000_t75" style="width:16pt;height:16pt;mso-position-horizontal-relative:text;mso-position-vertical-relative:text">
                  <v:imagedata r:id="rId36"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0DEF115E">
                <v:shape id="_x0000_i1079" type="#_x0000_t75" style="width:12pt;height:12pt;mso-position-horizontal-relative:text;mso-position-vertical-relative:text">
                  <v:imagedata r:id="rId35" o:title=""/>
                </v:shape>
              </w:pict>
            </w:r>
          </w:p>
        </w:tc>
      </w:tr>
      <w:tr w:rsidR="00962FCB" w:rsidRPr="00D27A74" w:rsidTr="004D5DC0">
        <w:trPr>
          <w:gridAfter w:val="13"/>
          <w:wAfter w:w="10800" w:type="dxa"/>
          <w:trHeight w:val="229"/>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DAC5130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Cancer 62 Days Referral to Treatment (Consultant Upgrade) - CCG</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January 2019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90%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4B3C8D" w:rsidP="00962FCB">
            <w:pPr>
              <w:jc w:val="center"/>
              <w:rPr>
                <w:rFonts w:ascii="Verdana" w:eastAsia="Verdana" w:hAnsi="Verdana" w:cs="Verdana"/>
                <w:color w:val="000000"/>
                <w:sz w:val="16"/>
              </w:rPr>
            </w:pPr>
            <w:r>
              <w:rPr>
                <w:rFonts w:ascii="Verdana" w:eastAsia="Verdana" w:hAnsi="Verdana" w:cs="Verdana"/>
                <w:color w:val="000000"/>
                <w:sz w:val="16"/>
              </w:rPr>
              <w:t>0</w:t>
            </w:r>
            <w:r w:rsidR="00962FCB">
              <w:rPr>
                <w:rFonts w:ascii="Verdana" w:eastAsia="Verdana" w:hAnsi="Verdana" w:cs="Verdana"/>
                <w:color w:val="000000"/>
                <w:sz w:val="16"/>
              </w:rPr>
              <w:t>%</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4B3C8D" w:rsidP="00962FCB">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90%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4B3C8D" w:rsidP="00962FCB">
            <w:pPr>
              <w:jc w:val="center"/>
              <w:rPr>
                <w:rFonts w:ascii="Verdana" w:eastAsia="Verdana" w:hAnsi="Verdana" w:cs="Verdana"/>
                <w:color w:val="000000"/>
                <w:sz w:val="16"/>
              </w:rPr>
            </w:pPr>
            <w:r>
              <w:rPr>
                <w:rFonts w:ascii="Verdana" w:eastAsia="Verdana" w:hAnsi="Verdana" w:cs="Verdana"/>
                <w:color w:val="000000"/>
                <w:sz w:val="16"/>
              </w:rPr>
              <w:t>68.18</w:t>
            </w:r>
            <w:r w:rsidR="00962FCB">
              <w:rPr>
                <w:rFonts w:ascii="Verdana" w:eastAsia="Verdana" w:hAnsi="Verdana" w:cs="Verdana"/>
                <w:color w:val="000000"/>
                <w:sz w:val="16"/>
              </w:rPr>
              <w:t>%</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1AA237B8">
                <v:shape id="_x0000_i1080"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5C403E52">
                <v:shape id="_x0000_i1081" type="#_x0000_t75" style="width:12pt;height:12pt;mso-position-horizontal-relative:text;mso-position-vertical-relative:text">
                  <v:imagedata r:id="rId33" o:title=""/>
                </v:shape>
              </w:pict>
            </w:r>
          </w:p>
        </w:tc>
      </w:tr>
      <w:tr w:rsidR="00962FCB" w:rsidRPr="00D27A74" w:rsidTr="007C3E46">
        <w:trPr>
          <w:gridAfter w:val="13"/>
          <w:wAfter w:w="10800" w:type="dxa"/>
          <w:trHeight w:val="2"/>
        </w:trPr>
        <w:tc>
          <w:tcPr>
            <w:tcW w:w="1018"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DAC5170</w:t>
            </w:r>
          </w:p>
        </w:tc>
        <w:tc>
          <w:tcPr>
            <w:tcW w:w="4372"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962FCB" w:rsidP="00962FCB">
            <w:pPr>
              <w:rPr>
                <w:rFonts w:ascii="Verdana" w:eastAsia="Verdana" w:hAnsi="Verdana" w:cs="Verdana"/>
                <w:color w:val="000000"/>
                <w:sz w:val="16"/>
              </w:rPr>
            </w:pPr>
            <w:r>
              <w:rPr>
                <w:rFonts w:ascii="Verdana" w:eastAsia="Verdana" w:hAnsi="Verdana" w:cs="Verdana"/>
                <w:color w:val="000000"/>
                <w:sz w:val="16"/>
              </w:rPr>
              <w:t>Maternal smoking at delivery (125d)</w:t>
            </w:r>
          </w:p>
        </w:tc>
        <w:tc>
          <w:tcPr>
            <w:tcW w:w="1166" w:type="dxa"/>
            <w:tcBorders>
              <w:top w:val="single" w:sz="8" w:space="0" w:color="78786E"/>
              <w:left w:val="single" w:sz="8" w:space="0" w:color="78786E"/>
              <w:bottom w:val="single" w:sz="8" w:space="0" w:color="000000"/>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Yes</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Q2 2018/19</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14.55%</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24.94%</w: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7265A158">
                <v:shape id="_x0000_i1082"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14.51%</w:t>
            </w:r>
          </w:p>
        </w:tc>
        <w:tc>
          <w:tcPr>
            <w:tcW w:w="1166" w:type="dxa"/>
            <w:tcBorders>
              <w:top w:val="single" w:sz="8" w:space="0" w:color="78786E"/>
              <w:left w:val="single" w:sz="8" w:space="0" w:color="78786E"/>
              <w:bottom w:val="single" w:sz="8" w:space="0" w:color="000000"/>
              <w:right w:val="single" w:sz="8" w:space="0" w:color="78786E"/>
            </w:tcBorders>
            <w:shd w:val="clear" w:color="auto" w:fill="FFFFFF"/>
            <w:vAlign w:val="center"/>
          </w:tcPr>
          <w:p w:rsidR="00962FCB" w:rsidRDefault="00962FCB" w:rsidP="00962FCB">
            <w:pPr>
              <w:jc w:val="center"/>
              <w:rPr>
                <w:rFonts w:ascii="Verdana" w:eastAsia="Verdana" w:hAnsi="Verdana" w:cs="Verdana"/>
                <w:color w:val="000000"/>
                <w:sz w:val="16"/>
              </w:rPr>
            </w:pPr>
            <w:r>
              <w:rPr>
                <w:rFonts w:ascii="Verdana" w:eastAsia="Verdana" w:hAnsi="Verdana" w:cs="Verdana"/>
                <w:color w:val="000000"/>
                <w:sz w:val="16"/>
              </w:rPr>
              <w:t>23.94%</w:t>
            </w:r>
          </w:p>
        </w:tc>
        <w:tc>
          <w:tcPr>
            <w:tcW w:w="1166" w:type="dxa"/>
            <w:tcBorders>
              <w:top w:val="single" w:sz="8" w:space="0" w:color="78786E"/>
              <w:left w:val="single" w:sz="8" w:space="0" w:color="78786E"/>
              <w:bottom w:val="single" w:sz="8" w:space="0" w:color="000000"/>
              <w:right w:val="single" w:sz="8" w:space="0" w:color="78786E"/>
            </w:tcBorders>
            <w:shd w:val="clear" w:color="auto" w:fill="FFFFFF"/>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3FEBA348">
                <v:shape id="_x0000_i1083"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000000"/>
              <w:right w:val="single" w:sz="8" w:space="0" w:color="78786E"/>
            </w:tcBorders>
            <w:shd w:val="clear" w:color="auto" w:fill="FFFFFF"/>
            <w:tcMar>
              <w:top w:w="40" w:type="dxa"/>
              <w:left w:w="40" w:type="dxa"/>
              <w:bottom w:w="40" w:type="dxa"/>
              <w:right w:w="40" w:type="dxa"/>
            </w:tcMar>
            <w:vAlign w:val="center"/>
          </w:tcPr>
          <w:p w:rsidR="00962FCB" w:rsidRDefault="00D245CD" w:rsidP="00962FCB">
            <w:pPr>
              <w:jc w:val="center"/>
              <w:rPr>
                <w:rFonts w:ascii="Verdana" w:eastAsia="Verdana" w:hAnsi="Verdana" w:cs="Verdana"/>
                <w:color w:val="000000"/>
                <w:sz w:val="16"/>
              </w:rPr>
            </w:pPr>
            <w:r>
              <w:rPr>
                <w:rFonts w:ascii="Verdana" w:eastAsia="Verdana" w:hAnsi="Verdana" w:cs="Verdana"/>
                <w:color w:val="000000"/>
                <w:sz w:val="16"/>
              </w:rPr>
              <w:pict w14:anchorId="4DE3D3CD">
                <v:shape id="_x0000_i1084" type="#_x0000_t75" style="width:12pt;height:12pt;mso-position-horizontal-relative:text;mso-position-vertical-relative:text">
                  <v:imagedata r:id="rId33" o:title=""/>
                </v:shape>
              </w:pict>
            </w:r>
          </w:p>
        </w:tc>
      </w:tr>
      <w:tr w:rsidR="00962FCB" w:rsidRPr="00D27A74" w:rsidTr="004D5DC0">
        <w:trPr>
          <w:gridAfter w:val="13"/>
          <w:wAfter w:w="10800" w:type="dxa"/>
          <w:trHeight w:val="2"/>
        </w:trPr>
        <w:tc>
          <w:tcPr>
            <w:tcW w:w="15735" w:type="dxa"/>
            <w:gridSpan w:val="11"/>
            <w:tcBorders>
              <w:top w:val="single" w:sz="8" w:space="0" w:color="000000"/>
              <w:left w:val="single" w:sz="8" w:space="0" w:color="000000"/>
              <w:bottom w:val="single" w:sz="8" w:space="0" w:color="000000"/>
              <w:right w:val="single" w:sz="8" w:space="0" w:color="000000"/>
            </w:tcBorders>
            <w:shd w:val="clear" w:color="auto" w:fill="FFC000"/>
          </w:tcPr>
          <w:p w:rsidR="00962FCB" w:rsidRPr="005B5F2C" w:rsidRDefault="00962FCB" w:rsidP="00962FCB">
            <w:pPr>
              <w:rPr>
                <w:b/>
              </w:rPr>
            </w:pPr>
            <w:r w:rsidRPr="005B5F2C">
              <w:rPr>
                <w:rFonts w:ascii="Verdana" w:eastAsia="Verdana" w:hAnsi="Verdana" w:cs="Verdana"/>
                <w:b/>
                <w:color w:val="000000"/>
                <w:sz w:val="20"/>
              </w:rPr>
              <w:t>Helping people recover from ill health or injury</w:t>
            </w:r>
          </w:p>
        </w:tc>
      </w:tr>
      <w:tr w:rsidR="001469B3" w:rsidRPr="00D27A74"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rPr>
                <w:rFonts w:ascii="Verdana" w:eastAsia="Verdana" w:hAnsi="Verdana" w:cs="Verdana"/>
                <w:b/>
                <w:color w:val="000000"/>
                <w:sz w:val="16"/>
              </w:rPr>
            </w:pPr>
            <w:r>
              <w:rPr>
                <w:rFonts w:ascii="Verdana" w:eastAsia="Verdana" w:hAnsi="Verdana" w:cs="Verdana"/>
                <w:color w:val="000000"/>
                <w:sz w:val="16"/>
              </w:rPr>
              <w:t>DAC6030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rPr>
                <w:rFonts w:ascii="Verdana" w:eastAsia="Verdana" w:hAnsi="Verdana" w:cs="Verdana"/>
                <w:color w:val="000000"/>
                <w:sz w:val="16"/>
              </w:rPr>
            </w:pPr>
            <w:r>
              <w:rPr>
                <w:rFonts w:ascii="Verdana" w:eastAsia="Verdana" w:hAnsi="Verdana" w:cs="Verdana"/>
                <w:color w:val="000000"/>
                <w:sz w:val="16"/>
              </w:rPr>
              <w:t>Percentage of Patients waiting &lt;6 weeks for a diagnostic test - CCG</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Yes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6C355D" w:rsidP="001469B3">
            <w:pPr>
              <w:jc w:val="center"/>
              <w:rPr>
                <w:rFonts w:ascii="Verdana" w:eastAsia="Verdana" w:hAnsi="Verdana" w:cs="Verdana"/>
                <w:color w:val="000000"/>
                <w:sz w:val="16"/>
              </w:rPr>
            </w:pPr>
            <w:r>
              <w:rPr>
                <w:rFonts w:ascii="Verdana" w:eastAsia="Verdana" w:hAnsi="Verdana" w:cs="Verdana"/>
                <w:color w:val="000000"/>
                <w:sz w:val="16"/>
              </w:rPr>
              <w:t>December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92.8%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6C355D" w:rsidP="001469B3">
            <w:pPr>
              <w:jc w:val="center"/>
              <w:rPr>
                <w:rFonts w:ascii="Verdana" w:eastAsia="Verdana" w:hAnsi="Verdana" w:cs="Verdana"/>
                <w:color w:val="000000"/>
                <w:sz w:val="16"/>
              </w:rPr>
            </w:pPr>
            <w:r>
              <w:rPr>
                <w:rFonts w:ascii="Verdana" w:eastAsia="Verdana" w:hAnsi="Verdana" w:cs="Verdana"/>
                <w:color w:val="000000"/>
                <w:sz w:val="16"/>
              </w:rPr>
              <w:t>88.07</w:t>
            </w:r>
            <w:r w:rsidR="001469B3">
              <w:rPr>
                <w:rFonts w:ascii="Verdana" w:eastAsia="Verdana" w:hAnsi="Verdana" w:cs="Verdana"/>
                <w:color w:val="000000"/>
                <w:sz w:val="16"/>
              </w:rPr>
              <w:t>%</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D245CD" w:rsidP="001469B3">
            <w:pPr>
              <w:jc w:val="center"/>
              <w:rPr>
                <w:rFonts w:ascii="Verdana" w:eastAsia="Verdana" w:hAnsi="Verdana" w:cs="Verdana"/>
                <w:color w:val="000000"/>
                <w:sz w:val="16"/>
              </w:rPr>
            </w:pPr>
            <w:r>
              <w:rPr>
                <w:rFonts w:ascii="Verdana" w:eastAsia="Verdana" w:hAnsi="Verdana" w:cs="Verdana"/>
                <w:color w:val="000000"/>
                <w:sz w:val="16"/>
              </w:rPr>
              <w:pict w14:anchorId="629B5863">
                <v:shape id="_x0000_i1085" type="#_x0000_t75" style="width:16pt;height:16pt;mso-position-horizontal-relative:text;mso-position-vertical-relative:text">
                  <v:imagedata r:id="rId36"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92.8%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6C355D" w:rsidP="001469B3">
            <w:pPr>
              <w:jc w:val="center"/>
              <w:rPr>
                <w:rFonts w:ascii="Verdana" w:eastAsia="Verdana" w:hAnsi="Verdana" w:cs="Verdana"/>
                <w:color w:val="000000"/>
                <w:sz w:val="16"/>
              </w:rPr>
            </w:pPr>
            <w:r>
              <w:rPr>
                <w:rFonts w:ascii="Verdana" w:eastAsia="Verdana" w:hAnsi="Verdana" w:cs="Verdana"/>
                <w:color w:val="000000"/>
                <w:sz w:val="16"/>
              </w:rPr>
              <w:t>88.07</w:t>
            </w:r>
            <w:r w:rsidR="001469B3">
              <w:rPr>
                <w:rFonts w:ascii="Verdana" w:eastAsia="Verdana" w:hAnsi="Verdana" w:cs="Verdana"/>
                <w:color w:val="000000"/>
                <w:sz w:val="16"/>
              </w:rPr>
              <w:t>%</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D245CD" w:rsidP="001469B3">
            <w:pPr>
              <w:jc w:val="center"/>
              <w:rPr>
                <w:rFonts w:ascii="Verdana" w:eastAsia="Verdana" w:hAnsi="Verdana" w:cs="Verdana"/>
                <w:color w:val="000000"/>
                <w:sz w:val="16"/>
              </w:rPr>
            </w:pPr>
            <w:r>
              <w:rPr>
                <w:rFonts w:ascii="Verdana" w:eastAsia="Verdana" w:hAnsi="Verdana" w:cs="Verdana"/>
                <w:color w:val="000000"/>
                <w:sz w:val="16"/>
              </w:rPr>
              <w:pict w14:anchorId="7C9AC47F">
                <v:shape id="_x0000_i1086" type="#_x0000_t75" style="width:16pt;height:16pt;mso-position-horizontal-relative:text;mso-position-vertical-relative:text">
                  <v:imagedata r:id="rId36"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D245CD" w:rsidP="001469B3">
            <w:pPr>
              <w:jc w:val="center"/>
              <w:rPr>
                <w:rFonts w:ascii="Verdana" w:eastAsia="Verdana" w:hAnsi="Verdana" w:cs="Verdana"/>
                <w:color w:val="000000"/>
                <w:sz w:val="16"/>
              </w:rPr>
            </w:pPr>
            <w:r>
              <w:rPr>
                <w:rFonts w:ascii="Verdana" w:eastAsia="Verdana" w:hAnsi="Verdana" w:cs="Verdana"/>
                <w:color w:val="000000"/>
                <w:sz w:val="16"/>
              </w:rPr>
              <w:pict w14:anchorId="587149FA">
                <v:shape id="_x0000_i1087" type="#_x0000_t75" style="width:12pt;height:12pt;mso-position-horizontal-relative:text;mso-position-vertical-relative:text">
                  <v:imagedata r:id="rId35" o:title=""/>
                </v:shape>
              </w:pict>
            </w:r>
          </w:p>
        </w:tc>
      </w:tr>
      <w:tr w:rsidR="001469B3" w:rsidRPr="00D27A74"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rPr>
                <w:rFonts w:ascii="Verdana" w:eastAsia="Verdana" w:hAnsi="Verdana" w:cs="Verdana"/>
                <w:color w:val="000000"/>
                <w:sz w:val="16"/>
              </w:rPr>
            </w:pPr>
            <w:r>
              <w:rPr>
                <w:rFonts w:ascii="Verdana" w:eastAsia="Verdana" w:hAnsi="Verdana" w:cs="Verdana"/>
                <w:color w:val="000000"/>
                <w:sz w:val="16"/>
              </w:rPr>
              <w:t>DAC6060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rPr>
                <w:rFonts w:ascii="Verdana" w:eastAsia="Verdana" w:hAnsi="Verdana" w:cs="Verdana"/>
                <w:color w:val="000000"/>
                <w:sz w:val="16"/>
              </w:rPr>
            </w:pPr>
            <w:r>
              <w:rPr>
                <w:rFonts w:ascii="Verdana" w:eastAsia="Verdana" w:hAnsi="Verdana" w:cs="Verdana"/>
                <w:color w:val="000000"/>
                <w:sz w:val="16"/>
              </w:rPr>
              <w:t>RTT - Incomplete Patients: % Seen Within 18 Weeks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Yes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6C355D" w:rsidP="001469B3">
            <w:pPr>
              <w:jc w:val="center"/>
              <w:rPr>
                <w:rFonts w:ascii="Verdana" w:eastAsia="Verdana" w:hAnsi="Verdana" w:cs="Verdana"/>
                <w:color w:val="000000"/>
                <w:sz w:val="16"/>
              </w:rPr>
            </w:pPr>
            <w:r>
              <w:rPr>
                <w:rFonts w:ascii="Verdana" w:eastAsia="Verdana" w:hAnsi="Verdana" w:cs="Verdana"/>
                <w:color w:val="000000"/>
                <w:sz w:val="16"/>
              </w:rPr>
              <w:t>December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74.3%</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6C355D">
            <w:pPr>
              <w:jc w:val="center"/>
              <w:rPr>
                <w:rFonts w:ascii="Verdana" w:eastAsia="Verdana" w:hAnsi="Verdana" w:cs="Verdana"/>
                <w:color w:val="000000"/>
                <w:sz w:val="16"/>
              </w:rPr>
            </w:pPr>
            <w:r>
              <w:rPr>
                <w:rFonts w:ascii="Verdana" w:eastAsia="Verdana" w:hAnsi="Verdana" w:cs="Verdana"/>
                <w:color w:val="000000"/>
                <w:sz w:val="16"/>
              </w:rPr>
              <w:t>78.</w:t>
            </w:r>
            <w:r w:rsidR="006C355D">
              <w:rPr>
                <w:rFonts w:ascii="Verdana" w:eastAsia="Verdana" w:hAnsi="Verdana" w:cs="Verdana"/>
                <w:color w:val="000000"/>
                <w:sz w:val="16"/>
              </w:rPr>
              <w:t>42</w:t>
            </w:r>
            <w:r>
              <w:rPr>
                <w:rFonts w:ascii="Verdana" w:eastAsia="Verdana" w:hAnsi="Verdana" w:cs="Verdana"/>
                <w:color w:val="000000"/>
                <w:sz w:val="16"/>
              </w:rPr>
              <w:t>%</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D245CD" w:rsidP="001469B3">
            <w:pPr>
              <w:jc w:val="center"/>
              <w:rPr>
                <w:rFonts w:ascii="Verdana" w:eastAsia="Verdana" w:hAnsi="Verdana" w:cs="Verdana"/>
                <w:color w:val="000000"/>
                <w:sz w:val="16"/>
              </w:rPr>
            </w:pPr>
            <w:r>
              <w:rPr>
                <w:rFonts w:ascii="Verdana" w:eastAsia="Verdana" w:hAnsi="Verdana" w:cs="Verdana"/>
                <w:color w:val="000000"/>
                <w:sz w:val="16"/>
              </w:rPr>
              <w:pict w14:anchorId="62E3BE66">
                <v:shape id="_x0000_i1088" type="#_x0000_t75" style="width:16pt;height:16pt;mso-position-horizontal-relative:text;mso-position-vertical-relative:text">
                  <v:imagedata r:id="rId32"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74.4%</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6C355D">
            <w:pPr>
              <w:jc w:val="center"/>
              <w:rPr>
                <w:rFonts w:ascii="Verdana" w:eastAsia="Verdana" w:hAnsi="Verdana" w:cs="Verdana"/>
                <w:color w:val="000000"/>
                <w:sz w:val="16"/>
              </w:rPr>
            </w:pPr>
            <w:r>
              <w:rPr>
                <w:rFonts w:ascii="Verdana" w:eastAsia="Verdana" w:hAnsi="Verdana" w:cs="Verdana"/>
                <w:color w:val="000000"/>
                <w:sz w:val="16"/>
              </w:rPr>
              <w:t>78.</w:t>
            </w:r>
            <w:r w:rsidR="006C355D">
              <w:rPr>
                <w:rFonts w:ascii="Verdana" w:eastAsia="Verdana" w:hAnsi="Verdana" w:cs="Verdana"/>
                <w:color w:val="000000"/>
                <w:sz w:val="16"/>
              </w:rPr>
              <w:t>42</w:t>
            </w:r>
            <w:r>
              <w:rPr>
                <w:rFonts w:ascii="Verdana" w:eastAsia="Verdana" w:hAnsi="Verdana" w:cs="Verdana"/>
                <w:color w:val="000000"/>
                <w:sz w:val="16"/>
              </w:rPr>
              <w:t>%</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D245CD" w:rsidP="001469B3">
            <w:pPr>
              <w:jc w:val="center"/>
              <w:rPr>
                <w:rFonts w:ascii="Verdana" w:eastAsia="Verdana" w:hAnsi="Verdana" w:cs="Verdana"/>
                <w:color w:val="000000"/>
                <w:sz w:val="16"/>
              </w:rPr>
            </w:pPr>
            <w:r>
              <w:rPr>
                <w:rFonts w:ascii="Verdana" w:eastAsia="Verdana" w:hAnsi="Verdana" w:cs="Verdana"/>
                <w:color w:val="000000"/>
                <w:sz w:val="16"/>
              </w:rPr>
              <w:pict w14:anchorId="560C4178">
                <v:shape id="_x0000_i1089" type="#_x0000_t75" style="width:16pt;height:16pt;mso-position-horizontal-relative:text;mso-position-vertical-relative:text">
                  <v:imagedata r:id="rId32"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D245CD" w:rsidP="001469B3">
            <w:pPr>
              <w:jc w:val="center"/>
              <w:rPr>
                <w:rFonts w:ascii="Verdana" w:eastAsia="Verdana" w:hAnsi="Verdana" w:cs="Verdana"/>
                <w:color w:val="000000"/>
                <w:sz w:val="16"/>
              </w:rPr>
            </w:pPr>
            <w:r>
              <w:rPr>
                <w:rFonts w:ascii="Verdana" w:eastAsia="Verdana" w:hAnsi="Verdana" w:cs="Verdana"/>
                <w:color w:val="000000"/>
                <w:sz w:val="16"/>
              </w:rPr>
              <w:pict w14:anchorId="2F388072">
                <v:shape id="_x0000_i1090" type="#_x0000_t75" style="width:12pt;height:12pt;mso-position-horizontal-relative:text;mso-position-vertical-relative:text">
                  <v:imagedata r:id="rId33" o:title=""/>
                </v:shape>
              </w:pict>
            </w:r>
          </w:p>
        </w:tc>
      </w:tr>
      <w:tr w:rsidR="001469B3" w:rsidRPr="00D27A74"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rPr>
                <w:rFonts w:ascii="Verdana" w:eastAsia="Verdana" w:hAnsi="Verdana" w:cs="Verdana"/>
                <w:color w:val="000000"/>
                <w:sz w:val="16"/>
              </w:rPr>
            </w:pPr>
            <w:r>
              <w:rPr>
                <w:rFonts w:ascii="Verdana" w:eastAsia="Verdana" w:hAnsi="Verdana" w:cs="Verdana"/>
                <w:color w:val="000000"/>
                <w:sz w:val="16"/>
              </w:rPr>
              <w:t>DAC6120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rPr>
                <w:rFonts w:ascii="Verdana" w:eastAsia="Verdana" w:hAnsi="Verdana" w:cs="Verdana"/>
                <w:color w:val="000000"/>
                <w:sz w:val="16"/>
              </w:rPr>
            </w:pPr>
            <w:r>
              <w:rPr>
                <w:rFonts w:ascii="Verdana" w:eastAsia="Verdana" w:hAnsi="Verdana" w:cs="Verdana"/>
                <w:color w:val="000000"/>
                <w:sz w:val="16"/>
              </w:rPr>
              <w:t>IAPT recovery rate - CCG</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Yes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October 2018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50%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44.44%</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D245CD" w:rsidP="001469B3">
            <w:pPr>
              <w:jc w:val="center"/>
              <w:rPr>
                <w:rFonts w:ascii="Verdana" w:eastAsia="Verdana" w:hAnsi="Verdana" w:cs="Verdana"/>
                <w:color w:val="000000"/>
                <w:sz w:val="16"/>
              </w:rPr>
            </w:pPr>
            <w:r>
              <w:rPr>
                <w:rFonts w:ascii="Verdana" w:eastAsia="Verdana" w:hAnsi="Verdana" w:cs="Verdana"/>
                <w:color w:val="000000"/>
                <w:sz w:val="16"/>
              </w:rPr>
              <w:pict w14:anchorId="6008164B">
                <v:shape id="_x0000_i1091"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50%</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49.26%</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1469B3" w:rsidRDefault="00D245CD" w:rsidP="001469B3">
            <w:pPr>
              <w:jc w:val="center"/>
              <w:rPr>
                <w:rFonts w:ascii="Verdana" w:eastAsia="Verdana" w:hAnsi="Verdana" w:cs="Verdana"/>
                <w:color w:val="000000"/>
                <w:sz w:val="16"/>
              </w:rPr>
            </w:pPr>
            <w:r>
              <w:rPr>
                <w:rFonts w:ascii="Verdana" w:eastAsia="Verdana" w:hAnsi="Verdana" w:cs="Verdana"/>
                <w:color w:val="000000"/>
                <w:sz w:val="16"/>
              </w:rPr>
              <w:pict w14:anchorId="314C257F">
                <v:shape id="_x0000_i1092" type="#_x0000_t75" style="width:16pt;height:16pt;mso-position-horizontal-relative:text;mso-position-vertical-relative:text">
                  <v:imagedata r:id="rId36"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D245CD" w:rsidP="001469B3">
            <w:pPr>
              <w:jc w:val="center"/>
              <w:rPr>
                <w:rFonts w:ascii="Verdana" w:eastAsia="Verdana" w:hAnsi="Verdana" w:cs="Verdana"/>
                <w:color w:val="000000"/>
                <w:sz w:val="16"/>
              </w:rPr>
            </w:pPr>
            <w:r>
              <w:rPr>
                <w:rFonts w:ascii="Verdana" w:eastAsia="Verdana" w:hAnsi="Verdana" w:cs="Verdana"/>
                <w:color w:val="000000"/>
                <w:sz w:val="16"/>
              </w:rPr>
              <w:pict w14:anchorId="51474257">
                <v:shape id="_x0000_i1093" type="#_x0000_t75" style="width:12pt;height:12pt;mso-position-horizontal-relative:text;mso-position-vertical-relative:text">
                  <v:imagedata r:id="rId35" o:title=""/>
                </v:shape>
              </w:pict>
            </w:r>
          </w:p>
        </w:tc>
      </w:tr>
      <w:tr w:rsidR="001469B3" w:rsidRPr="00D27A74" w:rsidTr="004D5DC0">
        <w:trPr>
          <w:gridAfter w:val="13"/>
          <w:wAfter w:w="10800"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rPr>
                <w:rFonts w:ascii="Verdana" w:eastAsia="Verdana" w:hAnsi="Verdana" w:cs="Verdana"/>
                <w:color w:val="000000"/>
                <w:sz w:val="16"/>
              </w:rPr>
            </w:pPr>
            <w:r>
              <w:rPr>
                <w:rFonts w:ascii="Verdana" w:eastAsia="Verdana" w:hAnsi="Verdana" w:cs="Verdana"/>
                <w:color w:val="000000"/>
                <w:sz w:val="16"/>
              </w:rPr>
              <w:t>DAC6140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rPr>
                <w:rFonts w:ascii="Verdana" w:eastAsia="Verdana" w:hAnsi="Verdana" w:cs="Verdana"/>
                <w:color w:val="000000"/>
                <w:sz w:val="16"/>
              </w:rPr>
            </w:pPr>
            <w:r>
              <w:rPr>
                <w:rFonts w:ascii="Verdana" w:eastAsia="Verdana" w:hAnsi="Verdana" w:cs="Verdana"/>
                <w:color w:val="000000"/>
                <w:sz w:val="16"/>
              </w:rPr>
              <w:t>Proportion of children &amp; young people &lt;18 receiving treatment by NHS funded community services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Yes</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Q2 2018/19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6.41%</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4.88%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D245CD" w:rsidP="001469B3">
            <w:pPr>
              <w:jc w:val="center"/>
              <w:rPr>
                <w:rFonts w:ascii="Verdana" w:eastAsia="Verdana" w:hAnsi="Verdana" w:cs="Verdana"/>
                <w:color w:val="000000"/>
                <w:sz w:val="16"/>
              </w:rPr>
            </w:pPr>
            <w:r>
              <w:rPr>
                <w:rFonts w:ascii="Verdana" w:eastAsia="Verdana" w:hAnsi="Verdana" w:cs="Verdana"/>
                <w:color w:val="000000"/>
                <w:sz w:val="16"/>
              </w:rPr>
              <w:pict w14:anchorId="4AF51932">
                <v:shape id="_x0000_i1094" type="#_x0000_t75" style="width:16pt;height:16pt;mso-position-horizontal-relative:text;mso-position-vertical-relative:text">
                  <v:imagedata r:id="rId29" o:title=""/>
                </v:shape>
              </w:pic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19.18%</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16.17%</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1469B3" w:rsidRDefault="00D245CD" w:rsidP="001469B3">
            <w:pPr>
              <w:jc w:val="center"/>
              <w:rPr>
                <w:rFonts w:ascii="Verdana" w:eastAsia="Verdana" w:hAnsi="Verdana" w:cs="Verdana"/>
                <w:color w:val="000000"/>
                <w:sz w:val="16"/>
              </w:rPr>
            </w:pPr>
            <w:r>
              <w:rPr>
                <w:rFonts w:ascii="Verdana" w:eastAsia="Verdana" w:hAnsi="Verdana" w:cs="Verdana"/>
                <w:color w:val="000000"/>
                <w:sz w:val="16"/>
              </w:rPr>
              <w:pict w14:anchorId="37D46A4E">
                <v:shape id="_x0000_i1095" type="#_x0000_t75" style="width:16pt;height:16pt;mso-position-horizontal-relative:text;mso-position-vertical-relative:text">
                  <v:imagedata r:id="rId29" o:title=""/>
                </v:shape>
              </w:pict>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D245CD" w:rsidP="001469B3">
            <w:pPr>
              <w:jc w:val="center"/>
              <w:rPr>
                <w:rFonts w:ascii="Verdana" w:eastAsia="Verdana" w:hAnsi="Verdana" w:cs="Verdana"/>
                <w:color w:val="000000"/>
                <w:sz w:val="16"/>
              </w:rPr>
            </w:pPr>
            <w:r>
              <w:rPr>
                <w:rFonts w:ascii="Verdana" w:eastAsia="Verdana" w:hAnsi="Verdana" w:cs="Verdana"/>
                <w:color w:val="000000"/>
                <w:sz w:val="16"/>
              </w:rPr>
              <w:pict w14:anchorId="6AFF15B0">
                <v:shape id="_x0000_i1096" type="#_x0000_t75" style="width:12pt;height:12pt;mso-position-horizontal-relative:text;mso-position-vertical-relative:text">
                  <v:imagedata r:id="rId33" o:title=""/>
                </v:shape>
              </w:pict>
            </w:r>
          </w:p>
        </w:tc>
      </w:tr>
      <w:tr w:rsidR="001469B3" w:rsidRPr="00D27A74" w:rsidTr="004D5DC0">
        <w:trPr>
          <w:gridAfter w:val="11"/>
          <w:wAfter w:w="9634" w:type="dxa"/>
          <w:trHeight w:val="2"/>
        </w:trPr>
        <w:tc>
          <w:tcPr>
            <w:tcW w:w="101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rPr>
                <w:rFonts w:ascii="Verdana" w:eastAsia="Verdana" w:hAnsi="Verdana" w:cs="Verdana"/>
                <w:color w:val="000000"/>
                <w:sz w:val="16"/>
              </w:rPr>
            </w:pPr>
            <w:r>
              <w:rPr>
                <w:rFonts w:ascii="Verdana" w:eastAsia="Verdana" w:hAnsi="Verdana" w:cs="Verdana"/>
                <w:color w:val="000000"/>
                <w:sz w:val="16"/>
              </w:rPr>
              <w:t>DAC6150</w:t>
            </w:r>
          </w:p>
        </w:tc>
        <w:tc>
          <w:tcPr>
            <w:tcW w:w="43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rPr>
                <w:rFonts w:ascii="Verdana" w:eastAsia="Verdana" w:hAnsi="Verdana" w:cs="Verdana"/>
                <w:color w:val="000000"/>
                <w:sz w:val="16"/>
              </w:rPr>
            </w:pPr>
            <w:r>
              <w:rPr>
                <w:rFonts w:ascii="Verdana" w:eastAsia="Verdana" w:hAnsi="Verdana" w:cs="Verdana"/>
                <w:color w:val="000000"/>
                <w:sz w:val="16"/>
              </w:rPr>
              <w:t>The proportion of CYP with ED (routine cases) that wait 4 weeks or less from referral to start of NICE-approved treatment.</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 xml:space="preserve"> </w:t>
            </w:r>
            <w:r w:rsidRPr="00A6468F">
              <w:rPr>
                <w:rFonts w:ascii="Verdana" w:eastAsia="Verdana" w:hAnsi="Verdana" w:cs="Verdana"/>
                <w:color w:val="000000"/>
                <w:sz w:val="16"/>
              </w:rPr>
              <w:t>No</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Q3 2018/19</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95%</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N/A</w:t>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6E0BB16E" wp14:editId="51A2C51E">
                  <wp:extent cx="200025" cy="2000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66"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95%</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color w:val="000000"/>
                <w:sz w:val="16"/>
              </w:rPr>
              <w:t>75%</w:t>
            </w:r>
          </w:p>
        </w:tc>
        <w:tc>
          <w:tcPr>
            <w:tcW w:w="1166" w:type="dxa"/>
            <w:tcBorders>
              <w:top w:val="single" w:sz="8" w:space="0" w:color="78786E"/>
              <w:left w:val="single" w:sz="8" w:space="0" w:color="78786E"/>
              <w:bottom w:val="single" w:sz="8" w:space="0" w:color="78786E"/>
              <w:right w:val="single" w:sz="8" w:space="0" w:color="78786E"/>
            </w:tcBorders>
            <w:shd w:val="clear" w:color="auto" w:fill="FFFFFF"/>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6C70E8FC" wp14:editId="42A70AA0">
                  <wp:extent cx="200025" cy="2000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17"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1469B3" w:rsidRDefault="001469B3" w:rsidP="001469B3">
            <w:pPr>
              <w:jc w:val="center"/>
              <w:rPr>
                <w:rFonts w:ascii="Verdana" w:eastAsia="Verdana" w:hAnsi="Verdana" w:cs="Verdana"/>
                <w:color w:val="000000"/>
                <w:sz w:val="16"/>
              </w:rPr>
            </w:pPr>
            <w:r>
              <w:rPr>
                <w:rFonts w:ascii="Verdana" w:eastAsia="Verdana" w:hAnsi="Verdana" w:cs="Verdana"/>
                <w:noProof/>
                <w:color w:val="000000"/>
                <w:sz w:val="16"/>
                <w:lang w:eastAsia="en-GB"/>
              </w:rPr>
              <w:drawing>
                <wp:inline distT="0" distB="0" distL="0" distR="0" wp14:anchorId="1D4F785D" wp14:editId="0CC95244">
                  <wp:extent cx="152400" cy="1524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66" w:type="dxa"/>
            <w:gridSpan w:val="2"/>
            <w:vAlign w:val="center"/>
          </w:tcPr>
          <w:p w:rsidR="001469B3" w:rsidRDefault="001469B3" w:rsidP="001469B3">
            <w:pPr>
              <w:jc w:val="center"/>
              <w:rPr>
                <w:rFonts w:ascii="Verdana" w:eastAsia="Verdana" w:hAnsi="Verdana" w:cs="Verdana"/>
                <w:color w:val="000000"/>
                <w:sz w:val="16"/>
              </w:rPr>
            </w:pPr>
          </w:p>
        </w:tc>
      </w:tr>
    </w:tbl>
    <w:p w:rsidR="00B47EA5" w:rsidRDefault="00213942" w:rsidP="008675CA">
      <w:pPr>
        <w:spacing w:after="200" w:line="276" w:lineRule="auto"/>
        <w:rPr>
          <w:rFonts w:ascii="Verdana" w:eastAsia="Verdana" w:hAnsi="Verdana" w:cs="Verdana"/>
          <w:b/>
          <w:color w:val="000000"/>
          <w:sz w:val="32"/>
        </w:rPr>
      </w:pPr>
      <w:r>
        <w:rPr>
          <w:rFonts w:ascii="Verdana" w:eastAsia="Verdana" w:hAnsi="Verdana" w:cs="Verdana"/>
          <w:b/>
          <w:color w:val="000000"/>
          <w:sz w:val="32"/>
        </w:rPr>
        <w:br w:type="page"/>
        <w:t xml:space="preserve">Appendix B – Provider-level Quality </w:t>
      </w:r>
      <w:r w:rsidR="00AB5061">
        <w:rPr>
          <w:rFonts w:ascii="Verdana" w:eastAsia="Verdana" w:hAnsi="Verdana" w:cs="Verdana"/>
          <w:b/>
          <w:color w:val="000000"/>
          <w:sz w:val="32"/>
        </w:rPr>
        <w:t>Surveillance Rating</w:t>
      </w:r>
      <w:r>
        <w:rPr>
          <w:rFonts w:ascii="Verdana" w:eastAsia="Verdana" w:hAnsi="Verdana" w:cs="Verdana"/>
          <w:b/>
          <w:color w:val="000000"/>
          <w:sz w:val="32"/>
        </w:rPr>
        <w:t>s</w:t>
      </w:r>
    </w:p>
    <w:p w:rsidR="00F77729" w:rsidRDefault="0069784F" w:rsidP="008D3FCA">
      <w:pPr>
        <w:spacing w:after="200" w:line="276" w:lineRule="auto"/>
        <w:rPr>
          <w:rFonts w:eastAsia="Verdana"/>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8045450</wp:posOffset>
                </wp:positionH>
                <wp:positionV relativeFrom="paragraph">
                  <wp:posOffset>332105</wp:posOffset>
                </wp:positionV>
                <wp:extent cx="1860550" cy="4485005"/>
                <wp:effectExtent l="0" t="0" r="0" b="254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448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E46" w:rsidRDefault="007C3E46">
                            <w:r>
                              <w:rPr>
                                <w:noProof/>
                                <w:lang w:eastAsia="en-GB"/>
                              </w:rPr>
                              <w:drawing>
                                <wp:inline distT="0" distB="0" distL="0" distR="0">
                                  <wp:extent cx="1677035" cy="4393565"/>
                                  <wp:effectExtent l="0" t="0" r="0" b="69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7035" cy="4393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9" type="#_x0000_t202" style="position:absolute;margin-left:633.5pt;margin-top:26.15pt;width:146.5pt;height:353.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" stroked="f">
                <v:textbox style="mso-fit-shape-to-text:t">
                  <w:txbxContent>
                    <w:p w:rsidR="007C3E46" w:rsidRDefault="007C3E46">
                      <w:r>
                        <w:rPr>
                          <w:noProof/>
                          <w:lang w:eastAsia="en-GB"/>
                        </w:rPr>
                        <w:drawing>
                          <wp:inline distT="0" distB="0" distL="0" distR="0">
                            <wp:extent cx="1677035" cy="4393565"/>
                            <wp:effectExtent l="0" t="0" r="0" b="69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7035" cy="4393565"/>
                                    </a:xfrm>
                                    <a:prstGeom prst="rect">
                                      <a:avLst/>
                                    </a:prstGeom>
                                    <a:noFill/>
                                    <a:ln>
                                      <a:noFill/>
                                    </a:ln>
                                  </pic:spPr>
                                </pic:pic>
                              </a:graphicData>
                            </a:graphic>
                          </wp:inline>
                        </w:drawing>
                      </w:r>
                    </w:p>
                  </w:txbxContent>
                </v:textbox>
              </v:shape>
            </w:pict>
          </mc:Fallback>
        </mc:AlternateContent>
      </w:r>
      <w:r w:rsidR="002E41D1">
        <w:rPr>
          <w:noProof/>
          <w:lang w:eastAsia="en-GB"/>
        </w:rPr>
        <w:t xml:space="preserve">      </w:t>
      </w:r>
      <w:r w:rsidR="002E41D1">
        <w:rPr>
          <w:rFonts w:eastAsia="Verdana"/>
        </w:rPr>
        <w:t xml:space="preserve">  </w:t>
      </w:r>
      <w:r>
        <w:rPr>
          <w:rFonts w:eastAsia="Verdana"/>
          <w:noProof/>
          <w:lang w:eastAsia="en-GB"/>
        </w:rPr>
        <w:drawing>
          <wp:inline distT="0" distB="0" distL="0" distR="0">
            <wp:extent cx="2536825" cy="24828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36825" cy="2482850"/>
                    </a:xfrm>
                    <a:prstGeom prst="rect">
                      <a:avLst/>
                    </a:prstGeom>
                    <a:noFill/>
                    <a:ln>
                      <a:noFill/>
                    </a:ln>
                  </pic:spPr>
                </pic:pic>
              </a:graphicData>
            </a:graphic>
          </wp:inline>
        </w:drawing>
      </w:r>
      <w:r w:rsidR="009B2860" w:rsidRPr="009B2860">
        <w:rPr>
          <w:rFonts w:eastAsia="Verdana"/>
        </w:rPr>
        <w:t xml:space="preserve"> </w:t>
      </w:r>
      <w:r>
        <w:rPr>
          <w:rFonts w:eastAsia="Verdana"/>
          <w:noProof/>
          <w:lang w:eastAsia="en-GB"/>
        </w:rPr>
        <w:drawing>
          <wp:inline distT="0" distB="0" distL="0" distR="0">
            <wp:extent cx="2541270" cy="24847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41270" cy="2484755"/>
                    </a:xfrm>
                    <a:prstGeom prst="rect">
                      <a:avLst/>
                    </a:prstGeom>
                    <a:noFill/>
                    <a:ln>
                      <a:noFill/>
                    </a:ln>
                  </pic:spPr>
                </pic:pic>
              </a:graphicData>
            </a:graphic>
          </wp:inline>
        </w:drawing>
      </w:r>
      <w:r>
        <w:rPr>
          <w:rFonts w:eastAsia="Verdana"/>
          <w:noProof/>
          <w:lang w:eastAsia="en-GB"/>
        </w:rPr>
        <w:drawing>
          <wp:inline distT="0" distB="0" distL="0" distR="0">
            <wp:extent cx="2409825" cy="2459355"/>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09825" cy="2459355"/>
                    </a:xfrm>
                    <a:prstGeom prst="rect">
                      <a:avLst/>
                    </a:prstGeom>
                    <a:noFill/>
                    <a:ln>
                      <a:noFill/>
                    </a:ln>
                  </pic:spPr>
                </pic:pic>
              </a:graphicData>
            </a:graphic>
          </wp:inline>
        </w:drawing>
      </w:r>
    </w:p>
    <w:p w:rsidR="00152FAC" w:rsidRDefault="0069784F" w:rsidP="00A34B2E">
      <w:pPr>
        <w:spacing w:after="200" w:line="276" w:lineRule="auto"/>
        <w:rPr>
          <w:rFonts w:ascii="Arial" w:hAnsi="Arial" w:cs="Arial"/>
          <w:sz w:val="20"/>
          <w:u w:val="single"/>
        </w:rPr>
      </w:pPr>
      <w:r>
        <w:rPr>
          <w:noProof/>
          <w:lang w:eastAsia="en-GB"/>
        </w:rPr>
        <w:drawing>
          <wp:anchor distT="0" distB="0" distL="114300" distR="114300" simplePos="0" relativeHeight="251658240" behindDoc="0" locked="0" layoutInCell="1" allowOverlap="1">
            <wp:simplePos x="0" y="0"/>
            <wp:positionH relativeFrom="column">
              <wp:posOffset>500380</wp:posOffset>
            </wp:positionH>
            <wp:positionV relativeFrom="paragraph">
              <wp:posOffset>756920</wp:posOffset>
            </wp:positionV>
            <wp:extent cx="1504315" cy="397510"/>
            <wp:effectExtent l="0" t="0" r="635" b="2540"/>
            <wp:wrapNone/>
            <wp:docPr id="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a:extLst>
                        <a:ext uri="{28A0092B-C50C-407E-A947-70E740481C1C}">
                          <a14:useLocalDpi xmlns:a14="http://schemas.microsoft.com/office/drawing/2010/main" val="0"/>
                        </a:ext>
                      </a:extLst>
                    </a:blip>
                    <a:srcRect l="19843" t="31549" r="20192" b="52673"/>
                    <a:stretch>
                      <a:fillRect/>
                    </a:stretch>
                  </pic:blipFill>
                  <pic:spPr bwMode="auto">
                    <a:xfrm>
                      <a:off x="0" y="0"/>
                      <a:ext cx="1504315" cy="397510"/>
                    </a:xfrm>
                    <a:prstGeom prst="rect">
                      <a:avLst/>
                    </a:prstGeom>
                    <a:solidFill>
                      <a:srgbClr val="548DD4"/>
                    </a:solidFill>
                    <a:ln>
                      <a:noFill/>
                    </a:ln>
                  </pic:spPr>
                </pic:pic>
              </a:graphicData>
            </a:graphic>
            <wp14:sizeRelH relativeFrom="page">
              <wp14:pctWidth>0</wp14:pctWidth>
            </wp14:sizeRelH>
            <wp14:sizeRelV relativeFrom="page">
              <wp14:pctHeight>0</wp14:pctHeight>
            </wp14:sizeRelV>
          </wp:anchor>
        </w:drawing>
      </w:r>
      <w:r>
        <w:rPr>
          <w:rFonts w:eastAsia="Verdana"/>
          <w:noProof/>
          <w:lang w:eastAsia="en-GB"/>
        </w:rPr>
        <w:drawing>
          <wp:inline distT="0" distB="0" distL="0" distR="0">
            <wp:extent cx="2533650" cy="2477135"/>
            <wp:effectExtent l="0" t="0" r="0" b="0"/>
            <wp:docPr id="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0" cy="2477135"/>
                    </a:xfrm>
                    <a:prstGeom prst="rect">
                      <a:avLst/>
                    </a:prstGeom>
                    <a:noFill/>
                  </pic:spPr>
                </pic:pic>
              </a:graphicData>
            </a:graphic>
          </wp:inline>
        </w:drawing>
      </w:r>
      <w:r>
        <w:rPr>
          <w:rFonts w:eastAsia="Verdana"/>
          <w:noProof/>
          <w:lang w:eastAsia="en-GB"/>
        </w:rPr>
        <w:drawing>
          <wp:inline distT="0" distB="0" distL="0" distR="0">
            <wp:extent cx="2543810" cy="2477770"/>
            <wp:effectExtent l="0" t="0" r="889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43810" cy="2477770"/>
                    </a:xfrm>
                    <a:prstGeom prst="rect">
                      <a:avLst/>
                    </a:prstGeom>
                    <a:noFill/>
                    <a:ln>
                      <a:noFill/>
                    </a:ln>
                  </pic:spPr>
                </pic:pic>
              </a:graphicData>
            </a:graphic>
          </wp:inline>
        </w:drawing>
      </w:r>
      <w:r>
        <w:rPr>
          <w:rFonts w:eastAsia="Verdana"/>
          <w:noProof/>
          <w:lang w:eastAsia="en-GB"/>
        </w:rPr>
        <w:drawing>
          <wp:inline distT="0" distB="0" distL="0" distR="0">
            <wp:extent cx="2552065" cy="2479040"/>
            <wp:effectExtent l="0" t="0" r="63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52065" cy="2479040"/>
                    </a:xfrm>
                    <a:prstGeom prst="rect">
                      <a:avLst/>
                    </a:prstGeom>
                    <a:noFill/>
                    <a:ln>
                      <a:noFill/>
                    </a:ln>
                  </pic:spPr>
                </pic:pic>
              </a:graphicData>
            </a:graphic>
          </wp:inline>
        </w:drawing>
      </w:r>
      <w:r w:rsidR="00AB5061">
        <w:rPr>
          <w:rFonts w:eastAsia="Verdana"/>
        </w:rPr>
        <w:t xml:space="preserve">  </w:t>
      </w:r>
    </w:p>
    <w:sectPr w:rsidR="00152FAC" w:rsidSect="00715A33">
      <w:type w:val="continuous"/>
      <w:pgSz w:w="16838" w:h="11906" w:orient="landscape"/>
      <w:pgMar w:top="1440" w:right="743" w:bottom="1440" w:left="7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F20" w:rsidRDefault="00A01F20" w:rsidP="00E1284E">
      <w:r>
        <w:separator/>
      </w:r>
    </w:p>
  </w:endnote>
  <w:endnote w:type="continuationSeparator" w:id="0">
    <w:p w:rsidR="00A01F20" w:rsidRDefault="00A01F20"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46" w:rsidRDefault="007C3E46">
    <w:pPr>
      <w:pStyle w:val="Footer"/>
    </w:pPr>
    <w:r>
      <w:fldChar w:fldCharType="begin"/>
    </w:r>
    <w:r>
      <w:instrText xml:space="preserve"> PAGE   \* MERGEFORMAT </w:instrText>
    </w:r>
    <w:r>
      <w:fldChar w:fldCharType="separate"/>
    </w:r>
    <w:r w:rsidR="00D245CD">
      <w:rPr>
        <w:noProof/>
      </w:rPr>
      <w:t>2</w:t>
    </w:r>
    <w:r>
      <w:rPr>
        <w:noProof/>
      </w:rPr>
      <w:fldChar w:fldCharType="end"/>
    </w:r>
  </w:p>
  <w:p w:rsidR="007C3E46" w:rsidRDefault="007C3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46" w:rsidRDefault="007C3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F20" w:rsidRDefault="00A01F20" w:rsidP="00E1284E">
      <w:r>
        <w:separator/>
      </w:r>
    </w:p>
  </w:footnote>
  <w:footnote w:type="continuationSeparator" w:id="0">
    <w:p w:rsidR="00A01F20" w:rsidRDefault="00A01F20"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46" w:rsidRDefault="007C3E46">
    <w:pPr>
      <w:pStyle w:val="Header"/>
    </w:pPr>
    <w:r>
      <w:rPr>
        <w:noProof/>
        <w:lang w:val="en-GB" w:eastAsia="en-GB"/>
      </w:rPr>
      <mc:AlternateContent>
        <mc:Choice Requires="wps">
          <w:drawing>
            <wp:anchor distT="0" distB="0" distL="114300" distR="114300" simplePos="0" relativeHeight="251657728" behindDoc="0" locked="0" layoutInCell="0" allowOverlap="1">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E46" w:rsidRPr="00893409" w:rsidRDefault="007C3E46">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7C3E46" w:rsidRPr="00893409" w:rsidRDefault="007C3E46">
                    <w:pPr>
                      <w:pStyle w:val="Footer"/>
                      <w:rPr>
                        <w:rFonts w:eastAsia="Times New Roman"/>
                        <w:sz w:val="44"/>
                        <w:szCs w:val="4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46" w:rsidRDefault="007C3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04A8E"/>
    <w:multiLevelType w:val="hybridMultilevel"/>
    <w:tmpl w:val="F124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F5D7F"/>
    <w:multiLevelType w:val="hybridMultilevel"/>
    <w:tmpl w:val="1504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30EE"/>
    <w:multiLevelType w:val="hybridMultilevel"/>
    <w:tmpl w:val="BD90EEC2"/>
    <w:lvl w:ilvl="0" w:tplc="3738D954">
      <w:start w:val="1"/>
      <w:numFmt w:val="bullet"/>
      <w:lvlText w:val="•"/>
      <w:lvlJc w:val="left"/>
      <w:pPr>
        <w:tabs>
          <w:tab w:val="num" w:pos="720"/>
        </w:tabs>
        <w:ind w:left="720" w:hanging="360"/>
      </w:pPr>
      <w:rPr>
        <w:rFonts w:ascii="Arial" w:hAnsi="Arial" w:hint="default"/>
      </w:rPr>
    </w:lvl>
    <w:lvl w:ilvl="1" w:tplc="E604C904">
      <w:start w:val="1"/>
      <w:numFmt w:val="bullet"/>
      <w:lvlText w:val="•"/>
      <w:lvlJc w:val="left"/>
      <w:pPr>
        <w:tabs>
          <w:tab w:val="num" w:pos="1440"/>
        </w:tabs>
        <w:ind w:left="1440" w:hanging="360"/>
      </w:pPr>
      <w:rPr>
        <w:rFonts w:ascii="Arial" w:hAnsi="Arial" w:hint="default"/>
      </w:rPr>
    </w:lvl>
    <w:lvl w:ilvl="2" w:tplc="33128FF6">
      <w:start w:val="1"/>
      <w:numFmt w:val="bullet"/>
      <w:lvlText w:val="•"/>
      <w:lvlJc w:val="left"/>
      <w:pPr>
        <w:tabs>
          <w:tab w:val="num" w:pos="2160"/>
        </w:tabs>
        <w:ind w:left="2160" w:hanging="360"/>
      </w:pPr>
      <w:rPr>
        <w:rFonts w:ascii="Arial" w:hAnsi="Arial" w:hint="default"/>
      </w:rPr>
    </w:lvl>
    <w:lvl w:ilvl="3" w:tplc="69C40BBC" w:tentative="1">
      <w:start w:val="1"/>
      <w:numFmt w:val="bullet"/>
      <w:lvlText w:val="•"/>
      <w:lvlJc w:val="left"/>
      <w:pPr>
        <w:tabs>
          <w:tab w:val="num" w:pos="2880"/>
        </w:tabs>
        <w:ind w:left="2880" w:hanging="360"/>
      </w:pPr>
      <w:rPr>
        <w:rFonts w:ascii="Arial" w:hAnsi="Arial" w:hint="default"/>
      </w:rPr>
    </w:lvl>
    <w:lvl w:ilvl="4" w:tplc="91C4A9E8" w:tentative="1">
      <w:start w:val="1"/>
      <w:numFmt w:val="bullet"/>
      <w:lvlText w:val="•"/>
      <w:lvlJc w:val="left"/>
      <w:pPr>
        <w:tabs>
          <w:tab w:val="num" w:pos="3600"/>
        </w:tabs>
        <w:ind w:left="3600" w:hanging="360"/>
      </w:pPr>
      <w:rPr>
        <w:rFonts w:ascii="Arial" w:hAnsi="Arial" w:hint="default"/>
      </w:rPr>
    </w:lvl>
    <w:lvl w:ilvl="5" w:tplc="DD989118" w:tentative="1">
      <w:start w:val="1"/>
      <w:numFmt w:val="bullet"/>
      <w:lvlText w:val="•"/>
      <w:lvlJc w:val="left"/>
      <w:pPr>
        <w:tabs>
          <w:tab w:val="num" w:pos="4320"/>
        </w:tabs>
        <w:ind w:left="4320" w:hanging="360"/>
      </w:pPr>
      <w:rPr>
        <w:rFonts w:ascii="Arial" w:hAnsi="Arial" w:hint="default"/>
      </w:rPr>
    </w:lvl>
    <w:lvl w:ilvl="6" w:tplc="D9E6EBC6" w:tentative="1">
      <w:start w:val="1"/>
      <w:numFmt w:val="bullet"/>
      <w:lvlText w:val="•"/>
      <w:lvlJc w:val="left"/>
      <w:pPr>
        <w:tabs>
          <w:tab w:val="num" w:pos="5040"/>
        </w:tabs>
        <w:ind w:left="5040" w:hanging="360"/>
      </w:pPr>
      <w:rPr>
        <w:rFonts w:ascii="Arial" w:hAnsi="Arial" w:hint="default"/>
      </w:rPr>
    </w:lvl>
    <w:lvl w:ilvl="7" w:tplc="A5B8167E" w:tentative="1">
      <w:start w:val="1"/>
      <w:numFmt w:val="bullet"/>
      <w:lvlText w:val="•"/>
      <w:lvlJc w:val="left"/>
      <w:pPr>
        <w:tabs>
          <w:tab w:val="num" w:pos="5760"/>
        </w:tabs>
        <w:ind w:left="5760" w:hanging="360"/>
      </w:pPr>
      <w:rPr>
        <w:rFonts w:ascii="Arial" w:hAnsi="Arial" w:hint="default"/>
      </w:rPr>
    </w:lvl>
    <w:lvl w:ilvl="8" w:tplc="5B32E2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73126F"/>
    <w:multiLevelType w:val="hybridMultilevel"/>
    <w:tmpl w:val="BA54E2F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C1A3A"/>
    <w:multiLevelType w:val="hybridMultilevel"/>
    <w:tmpl w:val="C680A772"/>
    <w:lvl w:ilvl="0" w:tplc="3738D954">
      <w:start w:val="1"/>
      <w:numFmt w:val="bullet"/>
      <w:lvlText w:val="•"/>
      <w:lvlJc w:val="left"/>
      <w:pPr>
        <w:tabs>
          <w:tab w:val="num" w:pos="720"/>
        </w:tabs>
        <w:ind w:left="720" w:hanging="360"/>
      </w:pPr>
      <w:rPr>
        <w:rFonts w:ascii="Arial" w:hAnsi="Arial" w:hint="default"/>
      </w:rPr>
    </w:lvl>
    <w:lvl w:ilvl="1" w:tplc="E604C904">
      <w:start w:val="1"/>
      <w:numFmt w:val="bullet"/>
      <w:lvlText w:val="•"/>
      <w:lvlJc w:val="left"/>
      <w:pPr>
        <w:tabs>
          <w:tab w:val="num" w:pos="1440"/>
        </w:tabs>
        <w:ind w:left="1440" w:hanging="360"/>
      </w:pPr>
      <w:rPr>
        <w:rFonts w:ascii="Arial" w:hAnsi="Arial" w:hint="default"/>
      </w:rPr>
    </w:lvl>
    <w:lvl w:ilvl="2" w:tplc="0809000D">
      <w:start w:val="1"/>
      <w:numFmt w:val="bullet"/>
      <w:lvlText w:val=""/>
      <w:lvlJc w:val="left"/>
      <w:pPr>
        <w:tabs>
          <w:tab w:val="num" w:pos="2160"/>
        </w:tabs>
        <w:ind w:left="2160" w:hanging="360"/>
      </w:pPr>
      <w:rPr>
        <w:rFonts w:ascii="Wingdings" w:hAnsi="Wingdings" w:hint="default"/>
      </w:rPr>
    </w:lvl>
    <w:lvl w:ilvl="3" w:tplc="69C40BBC" w:tentative="1">
      <w:start w:val="1"/>
      <w:numFmt w:val="bullet"/>
      <w:lvlText w:val="•"/>
      <w:lvlJc w:val="left"/>
      <w:pPr>
        <w:tabs>
          <w:tab w:val="num" w:pos="2880"/>
        </w:tabs>
        <w:ind w:left="2880" w:hanging="360"/>
      </w:pPr>
      <w:rPr>
        <w:rFonts w:ascii="Arial" w:hAnsi="Arial" w:hint="default"/>
      </w:rPr>
    </w:lvl>
    <w:lvl w:ilvl="4" w:tplc="91C4A9E8" w:tentative="1">
      <w:start w:val="1"/>
      <w:numFmt w:val="bullet"/>
      <w:lvlText w:val="•"/>
      <w:lvlJc w:val="left"/>
      <w:pPr>
        <w:tabs>
          <w:tab w:val="num" w:pos="3600"/>
        </w:tabs>
        <w:ind w:left="3600" w:hanging="360"/>
      </w:pPr>
      <w:rPr>
        <w:rFonts w:ascii="Arial" w:hAnsi="Arial" w:hint="default"/>
      </w:rPr>
    </w:lvl>
    <w:lvl w:ilvl="5" w:tplc="DD989118" w:tentative="1">
      <w:start w:val="1"/>
      <w:numFmt w:val="bullet"/>
      <w:lvlText w:val="•"/>
      <w:lvlJc w:val="left"/>
      <w:pPr>
        <w:tabs>
          <w:tab w:val="num" w:pos="4320"/>
        </w:tabs>
        <w:ind w:left="4320" w:hanging="360"/>
      </w:pPr>
      <w:rPr>
        <w:rFonts w:ascii="Arial" w:hAnsi="Arial" w:hint="default"/>
      </w:rPr>
    </w:lvl>
    <w:lvl w:ilvl="6" w:tplc="D9E6EBC6" w:tentative="1">
      <w:start w:val="1"/>
      <w:numFmt w:val="bullet"/>
      <w:lvlText w:val="•"/>
      <w:lvlJc w:val="left"/>
      <w:pPr>
        <w:tabs>
          <w:tab w:val="num" w:pos="5040"/>
        </w:tabs>
        <w:ind w:left="5040" w:hanging="360"/>
      </w:pPr>
      <w:rPr>
        <w:rFonts w:ascii="Arial" w:hAnsi="Arial" w:hint="default"/>
      </w:rPr>
    </w:lvl>
    <w:lvl w:ilvl="7" w:tplc="A5B8167E" w:tentative="1">
      <w:start w:val="1"/>
      <w:numFmt w:val="bullet"/>
      <w:lvlText w:val="•"/>
      <w:lvlJc w:val="left"/>
      <w:pPr>
        <w:tabs>
          <w:tab w:val="num" w:pos="5760"/>
        </w:tabs>
        <w:ind w:left="5760" w:hanging="360"/>
      </w:pPr>
      <w:rPr>
        <w:rFonts w:ascii="Arial" w:hAnsi="Arial" w:hint="default"/>
      </w:rPr>
    </w:lvl>
    <w:lvl w:ilvl="8" w:tplc="5B32E2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FC4ADF"/>
    <w:multiLevelType w:val="hybridMultilevel"/>
    <w:tmpl w:val="8F8ED0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DB02AF"/>
    <w:multiLevelType w:val="hybridMultilevel"/>
    <w:tmpl w:val="40928956"/>
    <w:lvl w:ilvl="0" w:tplc="3738D954">
      <w:start w:val="1"/>
      <w:numFmt w:val="bullet"/>
      <w:lvlText w:val="•"/>
      <w:lvlJc w:val="left"/>
      <w:pPr>
        <w:tabs>
          <w:tab w:val="num" w:pos="720"/>
        </w:tabs>
        <w:ind w:left="720" w:hanging="360"/>
      </w:pPr>
      <w:rPr>
        <w:rFonts w:ascii="Arial" w:hAnsi="Arial" w:hint="default"/>
      </w:rPr>
    </w:lvl>
    <w:lvl w:ilvl="1" w:tplc="0809000D">
      <w:start w:val="1"/>
      <w:numFmt w:val="bullet"/>
      <w:lvlText w:val=""/>
      <w:lvlJc w:val="left"/>
      <w:pPr>
        <w:tabs>
          <w:tab w:val="num" w:pos="1440"/>
        </w:tabs>
        <w:ind w:left="1440" w:hanging="360"/>
      </w:pPr>
      <w:rPr>
        <w:rFonts w:ascii="Wingdings" w:hAnsi="Wingdings" w:hint="default"/>
      </w:rPr>
    </w:lvl>
    <w:lvl w:ilvl="2" w:tplc="33128FF6">
      <w:start w:val="1"/>
      <w:numFmt w:val="bullet"/>
      <w:lvlText w:val="•"/>
      <w:lvlJc w:val="left"/>
      <w:pPr>
        <w:tabs>
          <w:tab w:val="num" w:pos="2160"/>
        </w:tabs>
        <w:ind w:left="2160" w:hanging="360"/>
      </w:pPr>
      <w:rPr>
        <w:rFonts w:ascii="Arial" w:hAnsi="Arial" w:hint="default"/>
      </w:rPr>
    </w:lvl>
    <w:lvl w:ilvl="3" w:tplc="69C40BBC" w:tentative="1">
      <w:start w:val="1"/>
      <w:numFmt w:val="bullet"/>
      <w:lvlText w:val="•"/>
      <w:lvlJc w:val="left"/>
      <w:pPr>
        <w:tabs>
          <w:tab w:val="num" w:pos="2880"/>
        </w:tabs>
        <w:ind w:left="2880" w:hanging="360"/>
      </w:pPr>
      <w:rPr>
        <w:rFonts w:ascii="Arial" w:hAnsi="Arial" w:hint="default"/>
      </w:rPr>
    </w:lvl>
    <w:lvl w:ilvl="4" w:tplc="91C4A9E8" w:tentative="1">
      <w:start w:val="1"/>
      <w:numFmt w:val="bullet"/>
      <w:lvlText w:val="•"/>
      <w:lvlJc w:val="left"/>
      <w:pPr>
        <w:tabs>
          <w:tab w:val="num" w:pos="3600"/>
        </w:tabs>
        <w:ind w:left="3600" w:hanging="360"/>
      </w:pPr>
      <w:rPr>
        <w:rFonts w:ascii="Arial" w:hAnsi="Arial" w:hint="default"/>
      </w:rPr>
    </w:lvl>
    <w:lvl w:ilvl="5" w:tplc="DD989118" w:tentative="1">
      <w:start w:val="1"/>
      <w:numFmt w:val="bullet"/>
      <w:lvlText w:val="•"/>
      <w:lvlJc w:val="left"/>
      <w:pPr>
        <w:tabs>
          <w:tab w:val="num" w:pos="4320"/>
        </w:tabs>
        <w:ind w:left="4320" w:hanging="360"/>
      </w:pPr>
      <w:rPr>
        <w:rFonts w:ascii="Arial" w:hAnsi="Arial" w:hint="default"/>
      </w:rPr>
    </w:lvl>
    <w:lvl w:ilvl="6" w:tplc="D9E6EBC6" w:tentative="1">
      <w:start w:val="1"/>
      <w:numFmt w:val="bullet"/>
      <w:lvlText w:val="•"/>
      <w:lvlJc w:val="left"/>
      <w:pPr>
        <w:tabs>
          <w:tab w:val="num" w:pos="5040"/>
        </w:tabs>
        <w:ind w:left="5040" w:hanging="360"/>
      </w:pPr>
      <w:rPr>
        <w:rFonts w:ascii="Arial" w:hAnsi="Arial" w:hint="default"/>
      </w:rPr>
    </w:lvl>
    <w:lvl w:ilvl="7" w:tplc="A5B8167E" w:tentative="1">
      <w:start w:val="1"/>
      <w:numFmt w:val="bullet"/>
      <w:lvlText w:val="•"/>
      <w:lvlJc w:val="left"/>
      <w:pPr>
        <w:tabs>
          <w:tab w:val="num" w:pos="5760"/>
        </w:tabs>
        <w:ind w:left="5760" w:hanging="360"/>
      </w:pPr>
      <w:rPr>
        <w:rFonts w:ascii="Arial" w:hAnsi="Arial" w:hint="default"/>
      </w:rPr>
    </w:lvl>
    <w:lvl w:ilvl="8" w:tplc="5B32E2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8673BE"/>
    <w:multiLevelType w:val="hybridMultilevel"/>
    <w:tmpl w:val="1EC4AF28"/>
    <w:lvl w:ilvl="0" w:tplc="3738D954">
      <w:start w:val="1"/>
      <w:numFmt w:val="bullet"/>
      <w:lvlText w:val="•"/>
      <w:lvlJc w:val="left"/>
      <w:pPr>
        <w:tabs>
          <w:tab w:val="num" w:pos="720"/>
        </w:tabs>
        <w:ind w:left="720" w:hanging="360"/>
      </w:pPr>
      <w:rPr>
        <w:rFonts w:ascii="Arial" w:hAnsi="Arial" w:hint="default"/>
      </w:rPr>
    </w:lvl>
    <w:lvl w:ilvl="1" w:tplc="0809000D">
      <w:start w:val="1"/>
      <w:numFmt w:val="bullet"/>
      <w:lvlText w:val=""/>
      <w:lvlJc w:val="left"/>
      <w:pPr>
        <w:tabs>
          <w:tab w:val="num" w:pos="1440"/>
        </w:tabs>
        <w:ind w:left="1440" w:hanging="360"/>
      </w:pPr>
      <w:rPr>
        <w:rFonts w:ascii="Wingdings" w:hAnsi="Wingdings" w:hint="default"/>
      </w:rPr>
    </w:lvl>
    <w:lvl w:ilvl="2" w:tplc="33128FF6">
      <w:start w:val="1"/>
      <w:numFmt w:val="bullet"/>
      <w:lvlText w:val="•"/>
      <w:lvlJc w:val="left"/>
      <w:pPr>
        <w:tabs>
          <w:tab w:val="num" w:pos="2160"/>
        </w:tabs>
        <w:ind w:left="2160" w:hanging="360"/>
      </w:pPr>
      <w:rPr>
        <w:rFonts w:ascii="Arial" w:hAnsi="Arial" w:hint="default"/>
      </w:rPr>
    </w:lvl>
    <w:lvl w:ilvl="3" w:tplc="69C40BBC" w:tentative="1">
      <w:start w:val="1"/>
      <w:numFmt w:val="bullet"/>
      <w:lvlText w:val="•"/>
      <w:lvlJc w:val="left"/>
      <w:pPr>
        <w:tabs>
          <w:tab w:val="num" w:pos="2880"/>
        </w:tabs>
        <w:ind w:left="2880" w:hanging="360"/>
      </w:pPr>
      <w:rPr>
        <w:rFonts w:ascii="Arial" w:hAnsi="Arial" w:hint="default"/>
      </w:rPr>
    </w:lvl>
    <w:lvl w:ilvl="4" w:tplc="91C4A9E8" w:tentative="1">
      <w:start w:val="1"/>
      <w:numFmt w:val="bullet"/>
      <w:lvlText w:val="•"/>
      <w:lvlJc w:val="left"/>
      <w:pPr>
        <w:tabs>
          <w:tab w:val="num" w:pos="3600"/>
        </w:tabs>
        <w:ind w:left="3600" w:hanging="360"/>
      </w:pPr>
      <w:rPr>
        <w:rFonts w:ascii="Arial" w:hAnsi="Arial" w:hint="default"/>
      </w:rPr>
    </w:lvl>
    <w:lvl w:ilvl="5" w:tplc="DD989118" w:tentative="1">
      <w:start w:val="1"/>
      <w:numFmt w:val="bullet"/>
      <w:lvlText w:val="•"/>
      <w:lvlJc w:val="left"/>
      <w:pPr>
        <w:tabs>
          <w:tab w:val="num" w:pos="4320"/>
        </w:tabs>
        <w:ind w:left="4320" w:hanging="360"/>
      </w:pPr>
      <w:rPr>
        <w:rFonts w:ascii="Arial" w:hAnsi="Arial" w:hint="default"/>
      </w:rPr>
    </w:lvl>
    <w:lvl w:ilvl="6" w:tplc="D9E6EBC6" w:tentative="1">
      <w:start w:val="1"/>
      <w:numFmt w:val="bullet"/>
      <w:lvlText w:val="•"/>
      <w:lvlJc w:val="left"/>
      <w:pPr>
        <w:tabs>
          <w:tab w:val="num" w:pos="5040"/>
        </w:tabs>
        <w:ind w:left="5040" w:hanging="360"/>
      </w:pPr>
      <w:rPr>
        <w:rFonts w:ascii="Arial" w:hAnsi="Arial" w:hint="default"/>
      </w:rPr>
    </w:lvl>
    <w:lvl w:ilvl="7" w:tplc="A5B8167E" w:tentative="1">
      <w:start w:val="1"/>
      <w:numFmt w:val="bullet"/>
      <w:lvlText w:val="•"/>
      <w:lvlJc w:val="left"/>
      <w:pPr>
        <w:tabs>
          <w:tab w:val="num" w:pos="5760"/>
        </w:tabs>
        <w:ind w:left="5760" w:hanging="360"/>
      </w:pPr>
      <w:rPr>
        <w:rFonts w:ascii="Arial" w:hAnsi="Arial" w:hint="default"/>
      </w:rPr>
    </w:lvl>
    <w:lvl w:ilvl="8" w:tplc="5B32E2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082A50"/>
    <w:multiLevelType w:val="hybridMultilevel"/>
    <w:tmpl w:val="CED0A958"/>
    <w:lvl w:ilvl="0" w:tplc="3738D954">
      <w:start w:val="1"/>
      <w:numFmt w:val="bullet"/>
      <w:lvlText w:val="•"/>
      <w:lvlJc w:val="left"/>
      <w:pPr>
        <w:tabs>
          <w:tab w:val="num" w:pos="720"/>
        </w:tabs>
        <w:ind w:left="720" w:hanging="360"/>
      </w:pPr>
      <w:rPr>
        <w:rFonts w:ascii="Arial" w:hAnsi="Arial" w:hint="default"/>
      </w:rPr>
    </w:lvl>
    <w:lvl w:ilvl="1" w:tplc="0809000D">
      <w:start w:val="1"/>
      <w:numFmt w:val="bullet"/>
      <w:lvlText w:val=""/>
      <w:lvlJc w:val="left"/>
      <w:pPr>
        <w:tabs>
          <w:tab w:val="num" w:pos="1440"/>
        </w:tabs>
        <w:ind w:left="1440" w:hanging="360"/>
      </w:pPr>
      <w:rPr>
        <w:rFonts w:ascii="Wingdings" w:hAnsi="Wingdings" w:hint="default"/>
      </w:rPr>
    </w:lvl>
    <w:lvl w:ilvl="2" w:tplc="33128FF6">
      <w:start w:val="1"/>
      <w:numFmt w:val="bullet"/>
      <w:lvlText w:val="•"/>
      <w:lvlJc w:val="left"/>
      <w:pPr>
        <w:tabs>
          <w:tab w:val="num" w:pos="2160"/>
        </w:tabs>
        <w:ind w:left="2160" w:hanging="360"/>
      </w:pPr>
      <w:rPr>
        <w:rFonts w:ascii="Arial" w:hAnsi="Arial" w:hint="default"/>
      </w:rPr>
    </w:lvl>
    <w:lvl w:ilvl="3" w:tplc="69C40BBC" w:tentative="1">
      <w:start w:val="1"/>
      <w:numFmt w:val="bullet"/>
      <w:lvlText w:val="•"/>
      <w:lvlJc w:val="left"/>
      <w:pPr>
        <w:tabs>
          <w:tab w:val="num" w:pos="2880"/>
        </w:tabs>
        <w:ind w:left="2880" w:hanging="360"/>
      </w:pPr>
      <w:rPr>
        <w:rFonts w:ascii="Arial" w:hAnsi="Arial" w:hint="default"/>
      </w:rPr>
    </w:lvl>
    <w:lvl w:ilvl="4" w:tplc="91C4A9E8" w:tentative="1">
      <w:start w:val="1"/>
      <w:numFmt w:val="bullet"/>
      <w:lvlText w:val="•"/>
      <w:lvlJc w:val="left"/>
      <w:pPr>
        <w:tabs>
          <w:tab w:val="num" w:pos="3600"/>
        </w:tabs>
        <w:ind w:left="3600" w:hanging="360"/>
      </w:pPr>
      <w:rPr>
        <w:rFonts w:ascii="Arial" w:hAnsi="Arial" w:hint="default"/>
      </w:rPr>
    </w:lvl>
    <w:lvl w:ilvl="5" w:tplc="DD989118" w:tentative="1">
      <w:start w:val="1"/>
      <w:numFmt w:val="bullet"/>
      <w:lvlText w:val="•"/>
      <w:lvlJc w:val="left"/>
      <w:pPr>
        <w:tabs>
          <w:tab w:val="num" w:pos="4320"/>
        </w:tabs>
        <w:ind w:left="4320" w:hanging="360"/>
      </w:pPr>
      <w:rPr>
        <w:rFonts w:ascii="Arial" w:hAnsi="Arial" w:hint="default"/>
      </w:rPr>
    </w:lvl>
    <w:lvl w:ilvl="6" w:tplc="D9E6EBC6" w:tentative="1">
      <w:start w:val="1"/>
      <w:numFmt w:val="bullet"/>
      <w:lvlText w:val="•"/>
      <w:lvlJc w:val="left"/>
      <w:pPr>
        <w:tabs>
          <w:tab w:val="num" w:pos="5040"/>
        </w:tabs>
        <w:ind w:left="5040" w:hanging="360"/>
      </w:pPr>
      <w:rPr>
        <w:rFonts w:ascii="Arial" w:hAnsi="Arial" w:hint="default"/>
      </w:rPr>
    </w:lvl>
    <w:lvl w:ilvl="7" w:tplc="A5B8167E" w:tentative="1">
      <w:start w:val="1"/>
      <w:numFmt w:val="bullet"/>
      <w:lvlText w:val="•"/>
      <w:lvlJc w:val="left"/>
      <w:pPr>
        <w:tabs>
          <w:tab w:val="num" w:pos="5760"/>
        </w:tabs>
        <w:ind w:left="5760" w:hanging="360"/>
      </w:pPr>
      <w:rPr>
        <w:rFonts w:ascii="Arial" w:hAnsi="Arial" w:hint="default"/>
      </w:rPr>
    </w:lvl>
    <w:lvl w:ilvl="8" w:tplc="5B32E2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413400"/>
    <w:multiLevelType w:val="hybridMultilevel"/>
    <w:tmpl w:val="21DE9E4E"/>
    <w:lvl w:ilvl="0" w:tplc="0809000D">
      <w:start w:val="1"/>
      <w:numFmt w:val="bullet"/>
      <w:lvlText w:val=""/>
      <w:lvlJc w:val="left"/>
      <w:pPr>
        <w:tabs>
          <w:tab w:val="num" w:pos="1440"/>
        </w:tabs>
        <w:ind w:left="1440" w:hanging="360"/>
      </w:pPr>
      <w:rPr>
        <w:rFonts w:ascii="Wingdings" w:hAnsi="Wingdings" w:hint="default"/>
      </w:rPr>
    </w:lvl>
    <w:lvl w:ilvl="1" w:tplc="20D62BE8">
      <w:start w:val="722"/>
      <w:numFmt w:val="bullet"/>
      <w:lvlText w:val="–"/>
      <w:lvlJc w:val="left"/>
      <w:pPr>
        <w:tabs>
          <w:tab w:val="num" w:pos="2160"/>
        </w:tabs>
        <w:ind w:left="2160" w:hanging="360"/>
      </w:pPr>
      <w:rPr>
        <w:rFonts w:ascii="Arial" w:hAnsi="Arial" w:hint="default"/>
      </w:rPr>
    </w:lvl>
    <w:lvl w:ilvl="2" w:tplc="AEC8E232">
      <w:start w:val="1"/>
      <w:numFmt w:val="bullet"/>
      <w:lvlText w:val="•"/>
      <w:lvlJc w:val="left"/>
      <w:pPr>
        <w:tabs>
          <w:tab w:val="num" w:pos="2880"/>
        </w:tabs>
        <w:ind w:left="2880" w:hanging="360"/>
      </w:pPr>
      <w:rPr>
        <w:rFonts w:ascii="Arial" w:hAnsi="Arial" w:hint="default"/>
      </w:rPr>
    </w:lvl>
    <w:lvl w:ilvl="3" w:tplc="57920418" w:tentative="1">
      <w:start w:val="1"/>
      <w:numFmt w:val="bullet"/>
      <w:lvlText w:val="•"/>
      <w:lvlJc w:val="left"/>
      <w:pPr>
        <w:tabs>
          <w:tab w:val="num" w:pos="3600"/>
        </w:tabs>
        <w:ind w:left="3600" w:hanging="360"/>
      </w:pPr>
      <w:rPr>
        <w:rFonts w:ascii="Arial" w:hAnsi="Arial" w:hint="default"/>
      </w:rPr>
    </w:lvl>
    <w:lvl w:ilvl="4" w:tplc="74D44914" w:tentative="1">
      <w:start w:val="1"/>
      <w:numFmt w:val="bullet"/>
      <w:lvlText w:val="•"/>
      <w:lvlJc w:val="left"/>
      <w:pPr>
        <w:tabs>
          <w:tab w:val="num" w:pos="4320"/>
        </w:tabs>
        <w:ind w:left="4320" w:hanging="360"/>
      </w:pPr>
      <w:rPr>
        <w:rFonts w:ascii="Arial" w:hAnsi="Arial" w:hint="default"/>
      </w:rPr>
    </w:lvl>
    <w:lvl w:ilvl="5" w:tplc="0316ABF6" w:tentative="1">
      <w:start w:val="1"/>
      <w:numFmt w:val="bullet"/>
      <w:lvlText w:val="•"/>
      <w:lvlJc w:val="left"/>
      <w:pPr>
        <w:tabs>
          <w:tab w:val="num" w:pos="5040"/>
        </w:tabs>
        <w:ind w:left="5040" w:hanging="360"/>
      </w:pPr>
      <w:rPr>
        <w:rFonts w:ascii="Arial" w:hAnsi="Arial" w:hint="default"/>
      </w:rPr>
    </w:lvl>
    <w:lvl w:ilvl="6" w:tplc="9BDE3068" w:tentative="1">
      <w:start w:val="1"/>
      <w:numFmt w:val="bullet"/>
      <w:lvlText w:val="•"/>
      <w:lvlJc w:val="left"/>
      <w:pPr>
        <w:tabs>
          <w:tab w:val="num" w:pos="5760"/>
        </w:tabs>
        <w:ind w:left="5760" w:hanging="360"/>
      </w:pPr>
      <w:rPr>
        <w:rFonts w:ascii="Arial" w:hAnsi="Arial" w:hint="default"/>
      </w:rPr>
    </w:lvl>
    <w:lvl w:ilvl="7" w:tplc="5E0ED646" w:tentative="1">
      <w:start w:val="1"/>
      <w:numFmt w:val="bullet"/>
      <w:lvlText w:val="•"/>
      <w:lvlJc w:val="left"/>
      <w:pPr>
        <w:tabs>
          <w:tab w:val="num" w:pos="6480"/>
        </w:tabs>
        <w:ind w:left="6480" w:hanging="360"/>
      </w:pPr>
      <w:rPr>
        <w:rFonts w:ascii="Arial" w:hAnsi="Arial" w:hint="default"/>
      </w:rPr>
    </w:lvl>
    <w:lvl w:ilvl="8" w:tplc="E8746604"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2BDA06A6"/>
    <w:multiLevelType w:val="hybridMultilevel"/>
    <w:tmpl w:val="ECCA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A6D94"/>
    <w:multiLevelType w:val="hybridMultilevel"/>
    <w:tmpl w:val="112058D2"/>
    <w:lvl w:ilvl="0" w:tplc="FE24526A">
      <w:start w:val="1"/>
      <w:numFmt w:val="bullet"/>
      <w:lvlText w:val="•"/>
      <w:lvlJc w:val="left"/>
      <w:pPr>
        <w:tabs>
          <w:tab w:val="num" w:pos="720"/>
        </w:tabs>
        <w:ind w:left="720" w:hanging="360"/>
      </w:pPr>
      <w:rPr>
        <w:rFonts w:ascii="Arial" w:hAnsi="Arial" w:hint="default"/>
      </w:rPr>
    </w:lvl>
    <w:lvl w:ilvl="1" w:tplc="20D62BE8">
      <w:start w:val="722"/>
      <w:numFmt w:val="bullet"/>
      <w:lvlText w:val="–"/>
      <w:lvlJc w:val="left"/>
      <w:pPr>
        <w:tabs>
          <w:tab w:val="num" w:pos="1440"/>
        </w:tabs>
        <w:ind w:left="1440" w:hanging="360"/>
      </w:pPr>
      <w:rPr>
        <w:rFonts w:ascii="Arial" w:hAnsi="Arial" w:hint="default"/>
      </w:rPr>
    </w:lvl>
    <w:lvl w:ilvl="2" w:tplc="AEC8E232">
      <w:start w:val="1"/>
      <w:numFmt w:val="bullet"/>
      <w:lvlText w:val="•"/>
      <w:lvlJc w:val="left"/>
      <w:pPr>
        <w:tabs>
          <w:tab w:val="num" w:pos="2160"/>
        </w:tabs>
        <w:ind w:left="2160" w:hanging="360"/>
      </w:pPr>
      <w:rPr>
        <w:rFonts w:ascii="Arial" w:hAnsi="Arial" w:hint="default"/>
      </w:rPr>
    </w:lvl>
    <w:lvl w:ilvl="3" w:tplc="57920418" w:tentative="1">
      <w:start w:val="1"/>
      <w:numFmt w:val="bullet"/>
      <w:lvlText w:val="•"/>
      <w:lvlJc w:val="left"/>
      <w:pPr>
        <w:tabs>
          <w:tab w:val="num" w:pos="2880"/>
        </w:tabs>
        <w:ind w:left="2880" w:hanging="360"/>
      </w:pPr>
      <w:rPr>
        <w:rFonts w:ascii="Arial" w:hAnsi="Arial" w:hint="default"/>
      </w:rPr>
    </w:lvl>
    <w:lvl w:ilvl="4" w:tplc="74D44914" w:tentative="1">
      <w:start w:val="1"/>
      <w:numFmt w:val="bullet"/>
      <w:lvlText w:val="•"/>
      <w:lvlJc w:val="left"/>
      <w:pPr>
        <w:tabs>
          <w:tab w:val="num" w:pos="3600"/>
        </w:tabs>
        <w:ind w:left="3600" w:hanging="360"/>
      </w:pPr>
      <w:rPr>
        <w:rFonts w:ascii="Arial" w:hAnsi="Arial" w:hint="default"/>
      </w:rPr>
    </w:lvl>
    <w:lvl w:ilvl="5" w:tplc="0316ABF6" w:tentative="1">
      <w:start w:val="1"/>
      <w:numFmt w:val="bullet"/>
      <w:lvlText w:val="•"/>
      <w:lvlJc w:val="left"/>
      <w:pPr>
        <w:tabs>
          <w:tab w:val="num" w:pos="4320"/>
        </w:tabs>
        <w:ind w:left="4320" w:hanging="360"/>
      </w:pPr>
      <w:rPr>
        <w:rFonts w:ascii="Arial" w:hAnsi="Arial" w:hint="default"/>
      </w:rPr>
    </w:lvl>
    <w:lvl w:ilvl="6" w:tplc="9BDE3068" w:tentative="1">
      <w:start w:val="1"/>
      <w:numFmt w:val="bullet"/>
      <w:lvlText w:val="•"/>
      <w:lvlJc w:val="left"/>
      <w:pPr>
        <w:tabs>
          <w:tab w:val="num" w:pos="5040"/>
        </w:tabs>
        <w:ind w:left="5040" w:hanging="360"/>
      </w:pPr>
      <w:rPr>
        <w:rFonts w:ascii="Arial" w:hAnsi="Arial" w:hint="default"/>
      </w:rPr>
    </w:lvl>
    <w:lvl w:ilvl="7" w:tplc="5E0ED646" w:tentative="1">
      <w:start w:val="1"/>
      <w:numFmt w:val="bullet"/>
      <w:lvlText w:val="•"/>
      <w:lvlJc w:val="left"/>
      <w:pPr>
        <w:tabs>
          <w:tab w:val="num" w:pos="5760"/>
        </w:tabs>
        <w:ind w:left="5760" w:hanging="360"/>
      </w:pPr>
      <w:rPr>
        <w:rFonts w:ascii="Arial" w:hAnsi="Arial" w:hint="default"/>
      </w:rPr>
    </w:lvl>
    <w:lvl w:ilvl="8" w:tplc="E87466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395329"/>
    <w:multiLevelType w:val="hybridMultilevel"/>
    <w:tmpl w:val="1EF2A5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A140B0"/>
    <w:multiLevelType w:val="hybridMultilevel"/>
    <w:tmpl w:val="E612D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5490F"/>
    <w:multiLevelType w:val="hybridMultilevel"/>
    <w:tmpl w:val="B480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140D5"/>
    <w:multiLevelType w:val="hybridMultilevel"/>
    <w:tmpl w:val="C0922E16"/>
    <w:lvl w:ilvl="0" w:tplc="3738D954">
      <w:start w:val="1"/>
      <w:numFmt w:val="bullet"/>
      <w:lvlText w:val="•"/>
      <w:lvlJc w:val="left"/>
      <w:pPr>
        <w:tabs>
          <w:tab w:val="num" w:pos="720"/>
        </w:tabs>
        <w:ind w:left="720" w:hanging="360"/>
      </w:pPr>
      <w:rPr>
        <w:rFonts w:ascii="Arial" w:hAnsi="Arial" w:hint="default"/>
      </w:rPr>
    </w:lvl>
    <w:lvl w:ilvl="1" w:tplc="0809000D">
      <w:start w:val="1"/>
      <w:numFmt w:val="bullet"/>
      <w:lvlText w:val=""/>
      <w:lvlJc w:val="left"/>
      <w:pPr>
        <w:tabs>
          <w:tab w:val="num" w:pos="1440"/>
        </w:tabs>
        <w:ind w:left="1440" w:hanging="360"/>
      </w:pPr>
      <w:rPr>
        <w:rFonts w:ascii="Wingdings" w:hAnsi="Wingdings" w:hint="default"/>
      </w:rPr>
    </w:lvl>
    <w:lvl w:ilvl="2" w:tplc="33128FF6">
      <w:start w:val="1"/>
      <w:numFmt w:val="bullet"/>
      <w:lvlText w:val="•"/>
      <w:lvlJc w:val="left"/>
      <w:pPr>
        <w:tabs>
          <w:tab w:val="num" w:pos="2160"/>
        </w:tabs>
        <w:ind w:left="2160" w:hanging="360"/>
      </w:pPr>
      <w:rPr>
        <w:rFonts w:ascii="Arial" w:hAnsi="Arial" w:hint="default"/>
      </w:rPr>
    </w:lvl>
    <w:lvl w:ilvl="3" w:tplc="69C40BBC" w:tentative="1">
      <w:start w:val="1"/>
      <w:numFmt w:val="bullet"/>
      <w:lvlText w:val="•"/>
      <w:lvlJc w:val="left"/>
      <w:pPr>
        <w:tabs>
          <w:tab w:val="num" w:pos="2880"/>
        </w:tabs>
        <w:ind w:left="2880" w:hanging="360"/>
      </w:pPr>
      <w:rPr>
        <w:rFonts w:ascii="Arial" w:hAnsi="Arial" w:hint="default"/>
      </w:rPr>
    </w:lvl>
    <w:lvl w:ilvl="4" w:tplc="91C4A9E8" w:tentative="1">
      <w:start w:val="1"/>
      <w:numFmt w:val="bullet"/>
      <w:lvlText w:val="•"/>
      <w:lvlJc w:val="left"/>
      <w:pPr>
        <w:tabs>
          <w:tab w:val="num" w:pos="3600"/>
        </w:tabs>
        <w:ind w:left="3600" w:hanging="360"/>
      </w:pPr>
      <w:rPr>
        <w:rFonts w:ascii="Arial" w:hAnsi="Arial" w:hint="default"/>
      </w:rPr>
    </w:lvl>
    <w:lvl w:ilvl="5" w:tplc="DD989118" w:tentative="1">
      <w:start w:val="1"/>
      <w:numFmt w:val="bullet"/>
      <w:lvlText w:val="•"/>
      <w:lvlJc w:val="left"/>
      <w:pPr>
        <w:tabs>
          <w:tab w:val="num" w:pos="4320"/>
        </w:tabs>
        <w:ind w:left="4320" w:hanging="360"/>
      </w:pPr>
      <w:rPr>
        <w:rFonts w:ascii="Arial" w:hAnsi="Arial" w:hint="default"/>
      </w:rPr>
    </w:lvl>
    <w:lvl w:ilvl="6" w:tplc="D9E6EBC6" w:tentative="1">
      <w:start w:val="1"/>
      <w:numFmt w:val="bullet"/>
      <w:lvlText w:val="•"/>
      <w:lvlJc w:val="left"/>
      <w:pPr>
        <w:tabs>
          <w:tab w:val="num" w:pos="5040"/>
        </w:tabs>
        <w:ind w:left="5040" w:hanging="360"/>
      </w:pPr>
      <w:rPr>
        <w:rFonts w:ascii="Arial" w:hAnsi="Arial" w:hint="default"/>
      </w:rPr>
    </w:lvl>
    <w:lvl w:ilvl="7" w:tplc="A5B8167E" w:tentative="1">
      <w:start w:val="1"/>
      <w:numFmt w:val="bullet"/>
      <w:lvlText w:val="•"/>
      <w:lvlJc w:val="left"/>
      <w:pPr>
        <w:tabs>
          <w:tab w:val="num" w:pos="5760"/>
        </w:tabs>
        <w:ind w:left="5760" w:hanging="360"/>
      </w:pPr>
      <w:rPr>
        <w:rFonts w:ascii="Arial" w:hAnsi="Arial" w:hint="default"/>
      </w:rPr>
    </w:lvl>
    <w:lvl w:ilvl="8" w:tplc="5B32E2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A2274E"/>
    <w:multiLevelType w:val="hybridMultilevel"/>
    <w:tmpl w:val="3AAA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A1461"/>
    <w:multiLevelType w:val="hybridMultilevel"/>
    <w:tmpl w:val="2826927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10661"/>
    <w:multiLevelType w:val="multilevel"/>
    <w:tmpl w:val="C4FA358E"/>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20C14FF"/>
    <w:multiLevelType w:val="hybridMultilevel"/>
    <w:tmpl w:val="55E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326EB"/>
    <w:multiLevelType w:val="hybridMultilevel"/>
    <w:tmpl w:val="85FE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D4926"/>
    <w:multiLevelType w:val="hybridMultilevel"/>
    <w:tmpl w:val="AA9E0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6921768"/>
    <w:multiLevelType w:val="hybridMultilevel"/>
    <w:tmpl w:val="C53E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75D89"/>
    <w:multiLevelType w:val="hybridMultilevel"/>
    <w:tmpl w:val="501A4644"/>
    <w:lvl w:ilvl="0" w:tplc="3738D954">
      <w:start w:val="1"/>
      <w:numFmt w:val="bullet"/>
      <w:lvlText w:val="•"/>
      <w:lvlJc w:val="left"/>
      <w:pPr>
        <w:tabs>
          <w:tab w:val="num" w:pos="720"/>
        </w:tabs>
        <w:ind w:left="720" w:hanging="360"/>
      </w:pPr>
      <w:rPr>
        <w:rFonts w:ascii="Arial" w:hAnsi="Arial" w:hint="default"/>
      </w:rPr>
    </w:lvl>
    <w:lvl w:ilvl="1" w:tplc="0809000D">
      <w:start w:val="1"/>
      <w:numFmt w:val="bullet"/>
      <w:lvlText w:val=""/>
      <w:lvlJc w:val="left"/>
      <w:pPr>
        <w:tabs>
          <w:tab w:val="num" w:pos="1440"/>
        </w:tabs>
        <w:ind w:left="1440" w:hanging="360"/>
      </w:pPr>
      <w:rPr>
        <w:rFonts w:ascii="Wingdings" w:hAnsi="Wingdings" w:hint="default"/>
      </w:rPr>
    </w:lvl>
    <w:lvl w:ilvl="2" w:tplc="33128FF6">
      <w:start w:val="1"/>
      <w:numFmt w:val="bullet"/>
      <w:lvlText w:val="•"/>
      <w:lvlJc w:val="left"/>
      <w:pPr>
        <w:tabs>
          <w:tab w:val="num" w:pos="2160"/>
        </w:tabs>
        <w:ind w:left="2160" w:hanging="360"/>
      </w:pPr>
      <w:rPr>
        <w:rFonts w:ascii="Arial" w:hAnsi="Arial" w:hint="default"/>
      </w:rPr>
    </w:lvl>
    <w:lvl w:ilvl="3" w:tplc="69C40BBC" w:tentative="1">
      <w:start w:val="1"/>
      <w:numFmt w:val="bullet"/>
      <w:lvlText w:val="•"/>
      <w:lvlJc w:val="left"/>
      <w:pPr>
        <w:tabs>
          <w:tab w:val="num" w:pos="2880"/>
        </w:tabs>
        <w:ind w:left="2880" w:hanging="360"/>
      </w:pPr>
      <w:rPr>
        <w:rFonts w:ascii="Arial" w:hAnsi="Arial" w:hint="default"/>
      </w:rPr>
    </w:lvl>
    <w:lvl w:ilvl="4" w:tplc="91C4A9E8" w:tentative="1">
      <w:start w:val="1"/>
      <w:numFmt w:val="bullet"/>
      <w:lvlText w:val="•"/>
      <w:lvlJc w:val="left"/>
      <w:pPr>
        <w:tabs>
          <w:tab w:val="num" w:pos="3600"/>
        </w:tabs>
        <w:ind w:left="3600" w:hanging="360"/>
      </w:pPr>
      <w:rPr>
        <w:rFonts w:ascii="Arial" w:hAnsi="Arial" w:hint="default"/>
      </w:rPr>
    </w:lvl>
    <w:lvl w:ilvl="5" w:tplc="DD989118" w:tentative="1">
      <w:start w:val="1"/>
      <w:numFmt w:val="bullet"/>
      <w:lvlText w:val="•"/>
      <w:lvlJc w:val="left"/>
      <w:pPr>
        <w:tabs>
          <w:tab w:val="num" w:pos="4320"/>
        </w:tabs>
        <w:ind w:left="4320" w:hanging="360"/>
      </w:pPr>
      <w:rPr>
        <w:rFonts w:ascii="Arial" w:hAnsi="Arial" w:hint="default"/>
      </w:rPr>
    </w:lvl>
    <w:lvl w:ilvl="6" w:tplc="D9E6EBC6" w:tentative="1">
      <w:start w:val="1"/>
      <w:numFmt w:val="bullet"/>
      <w:lvlText w:val="•"/>
      <w:lvlJc w:val="left"/>
      <w:pPr>
        <w:tabs>
          <w:tab w:val="num" w:pos="5040"/>
        </w:tabs>
        <w:ind w:left="5040" w:hanging="360"/>
      </w:pPr>
      <w:rPr>
        <w:rFonts w:ascii="Arial" w:hAnsi="Arial" w:hint="default"/>
      </w:rPr>
    </w:lvl>
    <w:lvl w:ilvl="7" w:tplc="A5B8167E" w:tentative="1">
      <w:start w:val="1"/>
      <w:numFmt w:val="bullet"/>
      <w:lvlText w:val="•"/>
      <w:lvlJc w:val="left"/>
      <w:pPr>
        <w:tabs>
          <w:tab w:val="num" w:pos="5760"/>
        </w:tabs>
        <w:ind w:left="5760" w:hanging="360"/>
      </w:pPr>
      <w:rPr>
        <w:rFonts w:ascii="Arial" w:hAnsi="Arial" w:hint="default"/>
      </w:rPr>
    </w:lvl>
    <w:lvl w:ilvl="8" w:tplc="5B32E2F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507450"/>
    <w:multiLevelType w:val="hybridMultilevel"/>
    <w:tmpl w:val="F4C48B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802C3B"/>
    <w:multiLevelType w:val="hybridMultilevel"/>
    <w:tmpl w:val="FF527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0"/>
  </w:num>
  <w:num w:numId="4">
    <w:abstractNumId w:val="20"/>
  </w:num>
  <w:num w:numId="5">
    <w:abstractNumId w:val="24"/>
  </w:num>
  <w:num w:numId="6">
    <w:abstractNumId w:val="3"/>
  </w:num>
  <w:num w:numId="7">
    <w:abstractNumId w:val="25"/>
  </w:num>
  <w:num w:numId="8">
    <w:abstractNumId w:val="9"/>
  </w:num>
  <w:num w:numId="9">
    <w:abstractNumId w:val="5"/>
  </w:num>
  <w:num w:numId="10">
    <w:abstractNumId w:val="8"/>
  </w:num>
  <w:num w:numId="11">
    <w:abstractNumId w:val="10"/>
  </w:num>
  <w:num w:numId="12">
    <w:abstractNumId w:val="17"/>
  </w:num>
  <w:num w:numId="13">
    <w:abstractNumId w:val="2"/>
  </w:num>
  <w:num w:numId="14">
    <w:abstractNumId w:val="1"/>
  </w:num>
  <w:num w:numId="15">
    <w:abstractNumId w:val="22"/>
  </w:num>
  <w:num w:numId="16">
    <w:abstractNumId w:val="15"/>
  </w:num>
  <w:num w:numId="17">
    <w:abstractNumId w:val="7"/>
  </w:num>
  <w:num w:numId="18">
    <w:abstractNumId w:val="4"/>
  </w:num>
  <w:num w:numId="19">
    <w:abstractNumId w:val="26"/>
  </w:num>
  <w:num w:numId="20">
    <w:abstractNumId w:val="12"/>
  </w:num>
  <w:num w:numId="21">
    <w:abstractNumId w:val="13"/>
  </w:num>
  <w:num w:numId="22">
    <w:abstractNumId w:val="19"/>
  </w:num>
  <w:num w:numId="23">
    <w:abstractNumId w:val="11"/>
  </w:num>
  <w:num w:numId="24">
    <w:abstractNumId w:val="14"/>
  </w:num>
  <w:num w:numId="25">
    <w:abstractNumId w:val="21"/>
  </w:num>
  <w:num w:numId="26">
    <w:abstractNumId w:val="23"/>
  </w:num>
  <w:num w:numId="27">
    <w:abstractNumId w:val="18"/>
  </w:num>
  <w:num w:numId="2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2468"/>
    <w:rsid w:val="00003BAC"/>
    <w:rsid w:val="00005BBC"/>
    <w:rsid w:val="00006E07"/>
    <w:rsid w:val="000257B0"/>
    <w:rsid w:val="000274FB"/>
    <w:rsid w:val="000350E4"/>
    <w:rsid w:val="0004376B"/>
    <w:rsid w:val="0004594E"/>
    <w:rsid w:val="00047D95"/>
    <w:rsid w:val="0005024B"/>
    <w:rsid w:val="00050BAF"/>
    <w:rsid w:val="00060076"/>
    <w:rsid w:val="0006198F"/>
    <w:rsid w:val="00070613"/>
    <w:rsid w:val="00075CDB"/>
    <w:rsid w:val="0007695D"/>
    <w:rsid w:val="000771D2"/>
    <w:rsid w:val="000833CC"/>
    <w:rsid w:val="00083852"/>
    <w:rsid w:val="00084AC8"/>
    <w:rsid w:val="00087F1C"/>
    <w:rsid w:val="000944A6"/>
    <w:rsid w:val="000952C3"/>
    <w:rsid w:val="00095DF8"/>
    <w:rsid w:val="00096E41"/>
    <w:rsid w:val="000976E0"/>
    <w:rsid w:val="000A2E3E"/>
    <w:rsid w:val="000A554D"/>
    <w:rsid w:val="000A7EB7"/>
    <w:rsid w:val="000B1D46"/>
    <w:rsid w:val="000B4A33"/>
    <w:rsid w:val="000B5B70"/>
    <w:rsid w:val="000B6969"/>
    <w:rsid w:val="000B7916"/>
    <w:rsid w:val="000C416B"/>
    <w:rsid w:val="000C4D3C"/>
    <w:rsid w:val="000C6B2B"/>
    <w:rsid w:val="000C70E4"/>
    <w:rsid w:val="000D1426"/>
    <w:rsid w:val="000D1B0D"/>
    <w:rsid w:val="000D2E77"/>
    <w:rsid w:val="000E21AA"/>
    <w:rsid w:val="000E66B6"/>
    <w:rsid w:val="000F41A8"/>
    <w:rsid w:val="000F4974"/>
    <w:rsid w:val="000F54E7"/>
    <w:rsid w:val="000F746B"/>
    <w:rsid w:val="00100FD9"/>
    <w:rsid w:val="001023FA"/>
    <w:rsid w:val="00107535"/>
    <w:rsid w:val="00114A2F"/>
    <w:rsid w:val="0012144A"/>
    <w:rsid w:val="0012326C"/>
    <w:rsid w:val="00126472"/>
    <w:rsid w:val="001333A9"/>
    <w:rsid w:val="00133DE1"/>
    <w:rsid w:val="0013468B"/>
    <w:rsid w:val="0013656D"/>
    <w:rsid w:val="00136B75"/>
    <w:rsid w:val="0014170F"/>
    <w:rsid w:val="00145099"/>
    <w:rsid w:val="001469B3"/>
    <w:rsid w:val="00146A19"/>
    <w:rsid w:val="00152879"/>
    <w:rsid w:val="00152C13"/>
    <w:rsid w:val="00152FAC"/>
    <w:rsid w:val="00153035"/>
    <w:rsid w:val="00154D61"/>
    <w:rsid w:val="00154EB5"/>
    <w:rsid w:val="001556E0"/>
    <w:rsid w:val="00157CC8"/>
    <w:rsid w:val="00160A60"/>
    <w:rsid w:val="0016479A"/>
    <w:rsid w:val="00166815"/>
    <w:rsid w:val="00176707"/>
    <w:rsid w:val="0018421C"/>
    <w:rsid w:val="00192D16"/>
    <w:rsid w:val="00193BB3"/>
    <w:rsid w:val="00197E49"/>
    <w:rsid w:val="001B143C"/>
    <w:rsid w:val="001B16A1"/>
    <w:rsid w:val="001B786A"/>
    <w:rsid w:val="001B7B61"/>
    <w:rsid w:val="001C03F7"/>
    <w:rsid w:val="001D2055"/>
    <w:rsid w:val="001D50B5"/>
    <w:rsid w:val="001D6035"/>
    <w:rsid w:val="001D6455"/>
    <w:rsid w:val="001E2B21"/>
    <w:rsid w:val="001E3408"/>
    <w:rsid w:val="001E454C"/>
    <w:rsid w:val="001E51B0"/>
    <w:rsid w:val="001F167A"/>
    <w:rsid w:val="00203C25"/>
    <w:rsid w:val="002044CF"/>
    <w:rsid w:val="00213733"/>
    <w:rsid w:val="00213942"/>
    <w:rsid w:val="002250E1"/>
    <w:rsid w:val="00227AB2"/>
    <w:rsid w:val="00231234"/>
    <w:rsid w:val="00246A4E"/>
    <w:rsid w:val="00246EFA"/>
    <w:rsid w:val="00256067"/>
    <w:rsid w:val="002636B3"/>
    <w:rsid w:val="0027011A"/>
    <w:rsid w:val="00271442"/>
    <w:rsid w:val="002803C2"/>
    <w:rsid w:val="00280FD9"/>
    <w:rsid w:val="00281200"/>
    <w:rsid w:val="00282A26"/>
    <w:rsid w:val="0028310B"/>
    <w:rsid w:val="0028419C"/>
    <w:rsid w:val="0028618A"/>
    <w:rsid w:val="00290124"/>
    <w:rsid w:val="00296EE5"/>
    <w:rsid w:val="00297BF1"/>
    <w:rsid w:val="002A0363"/>
    <w:rsid w:val="002A199E"/>
    <w:rsid w:val="002A2751"/>
    <w:rsid w:val="002A7028"/>
    <w:rsid w:val="002B27D3"/>
    <w:rsid w:val="002B302B"/>
    <w:rsid w:val="002C1EBC"/>
    <w:rsid w:val="002C3030"/>
    <w:rsid w:val="002C4504"/>
    <w:rsid w:val="002C47E4"/>
    <w:rsid w:val="002C51A6"/>
    <w:rsid w:val="002D114F"/>
    <w:rsid w:val="002D15A9"/>
    <w:rsid w:val="002D594D"/>
    <w:rsid w:val="002E204E"/>
    <w:rsid w:val="002E41D1"/>
    <w:rsid w:val="002E478C"/>
    <w:rsid w:val="002F277D"/>
    <w:rsid w:val="002F43D7"/>
    <w:rsid w:val="0031091B"/>
    <w:rsid w:val="003146BA"/>
    <w:rsid w:val="00316A2D"/>
    <w:rsid w:val="00320168"/>
    <w:rsid w:val="00321347"/>
    <w:rsid w:val="00324513"/>
    <w:rsid w:val="00326DBC"/>
    <w:rsid w:val="0033418E"/>
    <w:rsid w:val="003375B0"/>
    <w:rsid w:val="00343D58"/>
    <w:rsid w:val="0034526F"/>
    <w:rsid w:val="00346797"/>
    <w:rsid w:val="00346F94"/>
    <w:rsid w:val="00350D19"/>
    <w:rsid w:val="00351078"/>
    <w:rsid w:val="00351374"/>
    <w:rsid w:val="00352BA3"/>
    <w:rsid w:val="00355B9A"/>
    <w:rsid w:val="00356E07"/>
    <w:rsid w:val="00365DBE"/>
    <w:rsid w:val="00376F6E"/>
    <w:rsid w:val="00377F53"/>
    <w:rsid w:val="00384283"/>
    <w:rsid w:val="0038601A"/>
    <w:rsid w:val="00386E77"/>
    <w:rsid w:val="00387E22"/>
    <w:rsid w:val="00390278"/>
    <w:rsid w:val="00391095"/>
    <w:rsid w:val="00394795"/>
    <w:rsid w:val="0039510D"/>
    <w:rsid w:val="003A0F4D"/>
    <w:rsid w:val="003A27FD"/>
    <w:rsid w:val="003A62B7"/>
    <w:rsid w:val="003B19AD"/>
    <w:rsid w:val="003B4CEF"/>
    <w:rsid w:val="003B74A8"/>
    <w:rsid w:val="003B7D1C"/>
    <w:rsid w:val="003C09E8"/>
    <w:rsid w:val="003C0EC4"/>
    <w:rsid w:val="003D0191"/>
    <w:rsid w:val="003D7845"/>
    <w:rsid w:val="003E298A"/>
    <w:rsid w:val="003E3415"/>
    <w:rsid w:val="003E3F7C"/>
    <w:rsid w:val="003F30ED"/>
    <w:rsid w:val="0040051A"/>
    <w:rsid w:val="004058DB"/>
    <w:rsid w:val="00407B68"/>
    <w:rsid w:val="00414D13"/>
    <w:rsid w:val="0041636A"/>
    <w:rsid w:val="004168AE"/>
    <w:rsid w:val="00417C6B"/>
    <w:rsid w:val="004228C3"/>
    <w:rsid w:val="00430D42"/>
    <w:rsid w:val="00431D57"/>
    <w:rsid w:val="004353EC"/>
    <w:rsid w:val="00435B4E"/>
    <w:rsid w:val="004421D6"/>
    <w:rsid w:val="00447314"/>
    <w:rsid w:val="0044754D"/>
    <w:rsid w:val="00447E0D"/>
    <w:rsid w:val="00453E4B"/>
    <w:rsid w:val="004564B8"/>
    <w:rsid w:val="0046114F"/>
    <w:rsid w:val="00462732"/>
    <w:rsid w:val="004657A4"/>
    <w:rsid w:val="004668C0"/>
    <w:rsid w:val="00466C51"/>
    <w:rsid w:val="004673F8"/>
    <w:rsid w:val="004739B5"/>
    <w:rsid w:val="00473CC5"/>
    <w:rsid w:val="00475962"/>
    <w:rsid w:val="00482B9D"/>
    <w:rsid w:val="00483CDA"/>
    <w:rsid w:val="00484085"/>
    <w:rsid w:val="00487B1E"/>
    <w:rsid w:val="00491CBC"/>
    <w:rsid w:val="00493295"/>
    <w:rsid w:val="00497EBF"/>
    <w:rsid w:val="004A18DD"/>
    <w:rsid w:val="004A1933"/>
    <w:rsid w:val="004A6D6C"/>
    <w:rsid w:val="004A6EFD"/>
    <w:rsid w:val="004B3C8D"/>
    <w:rsid w:val="004B597D"/>
    <w:rsid w:val="004B6252"/>
    <w:rsid w:val="004C3542"/>
    <w:rsid w:val="004C3EAD"/>
    <w:rsid w:val="004C4025"/>
    <w:rsid w:val="004C4158"/>
    <w:rsid w:val="004C41EB"/>
    <w:rsid w:val="004C5B99"/>
    <w:rsid w:val="004C5CEA"/>
    <w:rsid w:val="004D2BBE"/>
    <w:rsid w:val="004D5DC0"/>
    <w:rsid w:val="004E0257"/>
    <w:rsid w:val="004E0F7C"/>
    <w:rsid w:val="004E32B2"/>
    <w:rsid w:val="004E32B5"/>
    <w:rsid w:val="004E58C8"/>
    <w:rsid w:val="004F38F5"/>
    <w:rsid w:val="004F3950"/>
    <w:rsid w:val="004F5317"/>
    <w:rsid w:val="005003DC"/>
    <w:rsid w:val="00502FE5"/>
    <w:rsid w:val="005071CC"/>
    <w:rsid w:val="00517BA2"/>
    <w:rsid w:val="00517CE1"/>
    <w:rsid w:val="00526AA2"/>
    <w:rsid w:val="005272CD"/>
    <w:rsid w:val="005321EF"/>
    <w:rsid w:val="00533EF1"/>
    <w:rsid w:val="00542F91"/>
    <w:rsid w:val="0054308A"/>
    <w:rsid w:val="005434A5"/>
    <w:rsid w:val="005434B1"/>
    <w:rsid w:val="00543BEC"/>
    <w:rsid w:val="0054612F"/>
    <w:rsid w:val="00550508"/>
    <w:rsid w:val="0055215C"/>
    <w:rsid w:val="00555B62"/>
    <w:rsid w:val="00556ADD"/>
    <w:rsid w:val="0056797D"/>
    <w:rsid w:val="00571A8C"/>
    <w:rsid w:val="0058163A"/>
    <w:rsid w:val="00592F7B"/>
    <w:rsid w:val="0059326B"/>
    <w:rsid w:val="00594A92"/>
    <w:rsid w:val="00595080"/>
    <w:rsid w:val="005A0D0A"/>
    <w:rsid w:val="005A25BD"/>
    <w:rsid w:val="005A4EC5"/>
    <w:rsid w:val="005A53D1"/>
    <w:rsid w:val="005A712D"/>
    <w:rsid w:val="005B0C13"/>
    <w:rsid w:val="005B2B55"/>
    <w:rsid w:val="005B2D3F"/>
    <w:rsid w:val="005B5B4F"/>
    <w:rsid w:val="005B73F7"/>
    <w:rsid w:val="005C0E95"/>
    <w:rsid w:val="005C6FC1"/>
    <w:rsid w:val="005D2600"/>
    <w:rsid w:val="005D34C6"/>
    <w:rsid w:val="005E302D"/>
    <w:rsid w:val="005E33AF"/>
    <w:rsid w:val="005E481B"/>
    <w:rsid w:val="005F244A"/>
    <w:rsid w:val="005F2965"/>
    <w:rsid w:val="005F46EC"/>
    <w:rsid w:val="005F6A75"/>
    <w:rsid w:val="005F6F2A"/>
    <w:rsid w:val="0060055C"/>
    <w:rsid w:val="00600A69"/>
    <w:rsid w:val="0060278C"/>
    <w:rsid w:val="00603D89"/>
    <w:rsid w:val="0061134C"/>
    <w:rsid w:val="006113BF"/>
    <w:rsid w:val="006138AD"/>
    <w:rsid w:val="00614F30"/>
    <w:rsid w:val="00626A7A"/>
    <w:rsid w:val="00627122"/>
    <w:rsid w:val="0062737A"/>
    <w:rsid w:val="006277AE"/>
    <w:rsid w:val="00631481"/>
    <w:rsid w:val="00634F2B"/>
    <w:rsid w:val="00636BEB"/>
    <w:rsid w:val="00640AD3"/>
    <w:rsid w:val="00645673"/>
    <w:rsid w:val="006614D3"/>
    <w:rsid w:val="00663808"/>
    <w:rsid w:val="00665E93"/>
    <w:rsid w:val="006674C7"/>
    <w:rsid w:val="00672029"/>
    <w:rsid w:val="0067273D"/>
    <w:rsid w:val="00673B2B"/>
    <w:rsid w:val="006759C0"/>
    <w:rsid w:val="006759CE"/>
    <w:rsid w:val="00680409"/>
    <w:rsid w:val="0068502A"/>
    <w:rsid w:val="006903F4"/>
    <w:rsid w:val="00694040"/>
    <w:rsid w:val="006946E4"/>
    <w:rsid w:val="00697443"/>
    <w:rsid w:val="0069784F"/>
    <w:rsid w:val="00697B0F"/>
    <w:rsid w:val="00697D2D"/>
    <w:rsid w:val="006A07A5"/>
    <w:rsid w:val="006A0A2E"/>
    <w:rsid w:val="006A1F73"/>
    <w:rsid w:val="006B3FC7"/>
    <w:rsid w:val="006B4304"/>
    <w:rsid w:val="006B53BD"/>
    <w:rsid w:val="006C1C04"/>
    <w:rsid w:val="006C2C24"/>
    <w:rsid w:val="006C355D"/>
    <w:rsid w:val="006C455C"/>
    <w:rsid w:val="006D1C7C"/>
    <w:rsid w:val="006E7E16"/>
    <w:rsid w:val="006F1110"/>
    <w:rsid w:val="006F132B"/>
    <w:rsid w:val="006F1491"/>
    <w:rsid w:val="006F1FB1"/>
    <w:rsid w:val="006F3A4E"/>
    <w:rsid w:val="006F3F19"/>
    <w:rsid w:val="007012E2"/>
    <w:rsid w:val="00703268"/>
    <w:rsid w:val="00707665"/>
    <w:rsid w:val="00707D36"/>
    <w:rsid w:val="00710190"/>
    <w:rsid w:val="00710CD9"/>
    <w:rsid w:val="00714366"/>
    <w:rsid w:val="00715A33"/>
    <w:rsid w:val="007271BF"/>
    <w:rsid w:val="00727B0D"/>
    <w:rsid w:val="00730575"/>
    <w:rsid w:val="00734128"/>
    <w:rsid w:val="00737E93"/>
    <w:rsid w:val="00741427"/>
    <w:rsid w:val="00741440"/>
    <w:rsid w:val="00755483"/>
    <w:rsid w:val="00760CA7"/>
    <w:rsid w:val="007663C8"/>
    <w:rsid w:val="00766ED9"/>
    <w:rsid w:val="00767173"/>
    <w:rsid w:val="0077071B"/>
    <w:rsid w:val="00770C3E"/>
    <w:rsid w:val="0077275D"/>
    <w:rsid w:val="00772B4E"/>
    <w:rsid w:val="00775BBB"/>
    <w:rsid w:val="007807BC"/>
    <w:rsid w:val="00782DAA"/>
    <w:rsid w:val="00790E1E"/>
    <w:rsid w:val="007A15A4"/>
    <w:rsid w:val="007A3032"/>
    <w:rsid w:val="007A6F6F"/>
    <w:rsid w:val="007A768A"/>
    <w:rsid w:val="007C08FE"/>
    <w:rsid w:val="007C3E46"/>
    <w:rsid w:val="007C526F"/>
    <w:rsid w:val="007C5A57"/>
    <w:rsid w:val="007C7808"/>
    <w:rsid w:val="007D0F4B"/>
    <w:rsid w:val="007D1799"/>
    <w:rsid w:val="007D1986"/>
    <w:rsid w:val="007D4B7C"/>
    <w:rsid w:val="007D5E21"/>
    <w:rsid w:val="007D60FC"/>
    <w:rsid w:val="007E16DC"/>
    <w:rsid w:val="007E1C2F"/>
    <w:rsid w:val="007E2A23"/>
    <w:rsid w:val="007F351A"/>
    <w:rsid w:val="007F35CC"/>
    <w:rsid w:val="007F571C"/>
    <w:rsid w:val="0080065B"/>
    <w:rsid w:val="008044FD"/>
    <w:rsid w:val="0081357D"/>
    <w:rsid w:val="008257FC"/>
    <w:rsid w:val="008316C4"/>
    <w:rsid w:val="008336DE"/>
    <w:rsid w:val="008358CC"/>
    <w:rsid w:val="00840B3B"/>
    <w:rsid w:val="00841C96"/>
    <w:rsid w:val="00842E29"/>
    <w:rsid w:val="0085109B"/>
    <w:rsid w:val="00856797"/>
    <w:rsid w:val="00860551"/>
    <w:rsid w:val="00861345"/>
    <w:rsid w:val="008675CA"/>
    <w:rsid w:val="008719C2"/>
    <w:rsid w:val="00871DF3"/>
    <w:rsid w:val="00876684"/>
    <w:rsid w:val="00876931"/>
    <w:rsid w:val="008774ED"/>
    <w:rsid w:val="00880E7F"/>
    <w:rsid w:val="0089157B"/>
    <w:rsid w:val="00892498"/>
    <w:rsid w:val="00892BB9"/>
    <w:rsid w:val="00893409"/>
    <w:rsid w:val="008A17D9"/>
    <w:rsid w:val="008A18D4"/>
    <w:rsid w:val="008A1BEE"/>
    <w:rsid w:val="008A397F"/>
    <w:rsid w:val="008A46C2"/>
    <w:rsid w:val="008A55DD"/>
    <w:rsid w:val="008A593B"/>
    <w:rsid w:val="008B0319"/>
    <w:rsid w:val="008B1194"/>
    <w:rsid w:val="008B7F0C"/>
    <w:rsid w:val="008C5A15"/>
    <w:rsid w:val="008C731B"/>
    <w:rsid w:val="008D3FCA"/>
    <w:rsid w:val="008D5DB7"/>
    <w:rsid w:val="008D6EEF"/>
    <w:rsid w:val="008E6240"/>
    <w:rsid w:val="008E64EC"/>
    <w:rsid w:val="008F08E2"/>
    <w:rsid w:val="008F2A6E"/>
    <w:rsid w:val="008F56FB"/>
    <w:rsid w:val="008F6DF8"/>
    <w:rsid w:val="009016AD"/>
    <w:rsid w:val="009030A1"/>
    <w:rsid w:val="009070D8"/>
    <w:rsid w:val="00911417"/>
    <w:rsid w:val="00911F40"/>
    <w:rsid w:val="009169E9"/>
    <w:rsid w:val="009202B6"/>
    <w:rsid w:val="00920869"/>
    <w:rsid w:val="009238D9"/>
    <w:rsid w:val="00923F28"/>
    <w:rsid w:val="0092546C"/>
    <w:rsid w:val="00933BFE"/>
    <w:rsid w:val="00934F92"/>
    <w:rsid w:val="009446C6"/>
    <w:rsid w:val="00944AD7"/>
    <w:rsid w:val="0094791B"/>
    <w:rsid w:val="0095367C"/>
    <w:rsid w:val="00962FCB"/>
    <w:rsid w:val="00966616"/>
    <w:rsid w:val="00971F37"/>
    <w:rsid w:val="00972499"/>
    <w:rsid w:val="009753E1"/>
    <w:rsid w:val="00976BA9"/>
    <w:rsid w:val="009773AF"/>
    <w:rsid w:val="00981E8B"/>
    <w:rsid w:val="009825DA"/>
    <w:rsid w:val="0098436E"/>
    <w:rsid w:val="00991A1C"/>
    <w:rsid w:val="009945A0"/>
    <w:rsid w:val="00994A24"/>
    <w:rsid w:val="00995A9E"/>
    <w:rsid w:val="009A48C6"/>
    <w:rsid w:val="009A696B"/>
    <w:rsid w:val="009B2860"/>
    <w:rsid w:val="009B572A"/>
    <w:rsid w:val="009B6CD3"/>
    <w:rsid w:val="009B7A66"/>
    <w:rsid w:val="009B7F32"/>
    <w:rsid w:val="009C03F5"/>
    <w:rsid w:val="009D16C7"/>
    <w:rsid w:val="009D4EDC"/>
    <w:rsid w:val="009D5435"/>
    <w:rsid w:val="009E4084"/>
    <w:rsid w:val="009E45D2"/>
    <w:rsid w:val="009E5BA9"/>
    <w:rsid w:val="009F2A0B"/>
    <w:rsid w:val="009F2AE2"/>
    <w:rsid w:val="009F3294"/>
    <w:rsid w:val="009F47D3"/>
    <w:rsid w:val="009F48E2"/>
    <w:rsid w:val="009F4D1A"/>
    <w:rsid w:val="00A0148B"/>
    <w:rsid w:val="00A01F20"/>
    <w:rsid w:val="00A04D38"/>
    <w:rsid w:val="00A06D73"/>
    <w:rsid w:val="00A06DA0"/>
    <w:rsid w:val="00A0763A"/>
    <w:rsid w:val="00A133EA"/>
    <w:rsid w:val="00A17D08"/>
    <w:rsid w:val="00A17ED1"/>
    <w:rsid w:val="00A218A3"/>
    <w:rsid w:val="00A23656"/>
    <w:rsid w:val="00A256FB"/>
    <w:rsid w:val="00A25FC6"/>
    <w:rsid w:val="00A30422"/>
    <w:rsid w:val="00A33704"/>
    <w:rsid w:val="00A34173"/>
    <w:rsid w:val="00A34B2E"/>
    <w:rsid w:val="00A3704C"/>
    <w:rsid w:val="00A45139"/>
    <w:rsid w:val="00A519C6"/>
    <w:rsid w:val="00A700DF"/>
    <w:rsid w:val="00A73661"/>
    <w:rsid w:val="00A760A1"/>
    <w:rsid w:val="00A76B78"/>
    <w:rsid w:val="00A819D4"/>
    <w:rsid w:val="00A81C62"/>
    <w:rsid w:val="00A8390E"/>
    <w:rsid w:val="00A85A8D"/>
    <w:rsid w:val="00A9172C"/>
    <w:rsid w:val="00A9358C"/>
    <w:rsid w:val="00A94B27"/>
    <w:rsid w:val="00A977E0"/>
    <w:rsid w:val="00A97F9C"/>
    <w:rsid w:val="00AB5061"/>
    <w:rsid w:val="00AC1E5B"/>
    <w:rsid w:val="00AC785D"/>
    <w:rsid w:val="00AD2264"/>
    <w:rsid w:val="00AD7ED6"/>
    <w:rsid w:val="00AE0BFB"/>
    <w:rsid w:val="00AE1F24"/>
    <w:rsid w:val="00AE2A13"/>
    <w:rsid w:val="00AE6E8B"/>
    <w:rsid w:val="00AF2374"/>
    <w:rsid w:val="00AF4A4F"/>
    <w:rsid w:val="00AF50F5"/>
    <w:rsid w:val="00AF5F2F"/>
    <w:rsid w:val="00AF712F"/>
    <w:rsid w:val="00B0023A"/>
    <w:rsid w:val="00B04FB4"/>
    <w:rsid w:val="00B05D5D"/>
    <w:rsid w:val="00B05DD6"/>
    <w:rsid w:val="00B07766"/>
    <w:rsid w:val="00B22AA8"/>
    <w:rsid w:val="00B371E8"/>
    <w:rsid w:val="00B42C79"/>
    <w:rsid w:val="00B4427A"/>
    <w:rsid w:val="00B4777F"/>
    <w:rsid w:val="00B47EA5"/>
    <w:rsid w:val="00B507F4"/>
    <w:rsid w:val="00B53DE4"/>
    <w:rsid w:val="00B53E31"/>
    <w:rsid w:val="00B54E31"/>
    <w:rsid w:val="00B562AD"/>
    <w:rsid w:val="00B62790"/>
    <w:rsid w:val="00B62F45"/>
    <w:rsid w:val="00B658DC"/>
    <w:rsid w:val="00B70ED2"/>
    <w:rsid w:val="00B723AF"/>
    <w:rsid w:val="00B74EF0"/>
    <w:rsid w:val="00B76E57"/>
    <w:rsid w:val="00B84D4C"/>
    <w:rsid w:val="00B90193"/>
    <w:rsid w:val="00B91E14"/>
    <w:rsid w:val="00B968B6"/>
    <w:rsid w:val="00B96B78"/>
    <w:rsid w:val="00B971B9"/>
    <w:rsid w:val="00B97D14"/>
    <w:rsid w:val="00BA0DBD"/>
    <w:rsid w:val="00BB40A8"/>
    <w:rsid w:val="00BB59F5"/>
    <w:rsid w:val="00BC230B"/>
    <w:rsid w:val="00BC2ABA"/>
    <w:rsid w:val="00BC691C"/>
    <w:rsid w:val="00BD6FBD"/>
    <w:rsid w:val="00BD780E"/>
    <w:rsid w:val="00BE058D"/>
    <w:rsid w:val="00BE2588"/>
    <w:rsid w:val="00BE2870"/>
    <w:rsid w:val="00BE4470"/>
    <w:rsid w:val="00BE727A"/>
    <w:rsid w:val="00BE765A"/>
    <w:rsid w:val="00BE7675"/>
    <w:rsid w:val="00BE77DE"/>
    <w:rsid w:val="00BF6357"/>
    <w:rsid w:val="00BF79B9"/>
    <w:rsid w:val="00C05B13"/>
    <w:rsid w:val="00C10DDB"/>
    <w:rsid w:val="00C148F8"/>
    <w:rsid w:val="00C23961"/>
    <w:rsid w:val="00C306DE"/>
    <w:rsid w:val="00C3206A"/>
    <w:rsid w:val="00C40418"/>
    <w:rsid w:val="00C40942"/>
    <w:rsid w:val="00C41576"/>
    <w:rsid w:val="00C4440A"/>
    <w:rsid w:val="00C4780A"/>
    <w:rsid w:val="00C5086C"/>
    <w:rsid w:val="00C52856"/>
    <w:rsid w:val="00C53AD5"/>
    <w:rsid w:val="00C54B5B"/>
    <w:rsid w:val="00C64717"/>
    <w:rsid w:val="00C64AF0"/>
    <w:rsid w:val="00C64C3C"/>
    <w:rsid w:val="00C67926"/>
    <w:rsid w:val="00C702D3"/>
    <w:rsid w:val="00C73512"/>
    <w:rsid w:val="00C74ACF"/>
    <w:rsid w:val="00C76179"/>
    <w:rsid w:val="00C81EF3"/>
    <w:rsid w:val="00C902C1"/>
    <w:rsid w:val="00C96F5F"/>
    <w:rsid w:val="00CA348E"/>
    <w:rsid w:val="00CA4E8E"/>
    <w:rsid w:val="00CB1860"/>
    <w:rsid w:val="00CB75F9"/>
    <w:rsid w:val="00CB7985"/>
    <w:rsid w:val="00CC01B8"/>
    <w:rsid w:val="00CC2C55"/>
    <w:rsid w:val="00CD176B"/>
    <w:rsid w:val="00CD176D"/>
    <w:rsid w:val="00CE193F"/>
    <w:rsid w:val="00CE6584"/>
    <w:rsid w:val="00CF20A6"/>
    <w:rsid w:val="00CF241A"/>
    <w:rsid w:val="00CF347F"/>
    <w:rsid w:val="00CF37AB"/>
    <w:rsid w:val="00CF395E"/>
    <w:rsid w:val="00CF6C09"/>
    <w:rsid w:val="00D06EDE"/>
    <w:rsid w:val="00D1133C"/>
    <w:rsid w:val="00D16109"/>
    <w:rsid w:val="00D17302"/>
    <w:rsid w:val="00D1758E"/>
    <w:rsid w:val="00D1789C"/>
    <w:rsid w:val="00D21512"/>
    <w:rsid w:val="00D220B9"/>
    <w:rsid w:val="00D2303C"/>
    <w:rsid w:val="00D245CD"/>
    <w:rsid w:val="00D27554"/>
    <w:rsid w:val="00D30682"/>
    <w:rsid w:val="00D30DB1"/>
    <w:rsid w:val="00D3211A"/>
    <w:rsid w:val="00D355BD"/>
    <w:rsid w:val="00D373FD"/>
    <w:rsid w:val="00D4196D"/>
    <w:rsid w:val="00D45575"/>
    <w:rsid w:val="00D45E11"/>
    <w:rsid w:val="00D503F2"/>
    <w:rsid w:val="00D52193"/>
    <w:rsid w:val="00D55639"/>
    <w:rsid w:val="00D56AF2"/>
    <w:rsid w:val="00D57250"/>
    <w:rsid w:val="00D62026"/>
    <w:rsid w:val="00D62382"/>
    <w:rsid w:val="00D64F2F"/>
    <w:rsid w:val="00D66726"/>
    <w:rsid w:val="00D6692D"/>
    <w:rsid w:val="00D71DF1"/>
    <w:rsid w:val="00D73075"/>
    <w:rsid w:val="00D73481"/>
    <w:rsid w:val="00D7667F"/>
    <w:rsid w:val="00D80DDB"/>
    <w:rsid w:val="00D94D62"/>
    <w:rsid w:val="00DA1CEC"/>
    <w:rsid w:val="00DB06D9"/>
    <w:rsid w:val="00DB0AB8"/>
    <w:rsid w:val="00DB0F5A"/>
    <w:rsid w:val="00DB1483"/>
    <w:rsid w:val="00DB69FE"/>
    <w:rsid w:val="00DB6ECB"/>
    <w:rsid w:val="00DC11F1"/>
    <w:rsid w:val="00DC2354"/>
    <w:rsid w:val="00DC32E7"/>
    <w:rsid w:val="00DC38F6"/>
    <w:rsid w:val="00DC3986"/>
    <w:rsid w:val="00DC3EAC"/>
    <w:rsid w:val="00DD2C9D"/>
    <w:rsid w:val="00DD7634"/>
    <w:rsid w:val="00DD7CE0"/>
    <w:rsid w:val="00DE01D0"/>
    <w:rsid w:val="00DE185E"/>
    <w:rsid w:val="00DE4CF4"/>
    <w:rsid w:val="00DF5E3A"/>
    <w:rsid w:val="00E01C44"/>
    <w:rsid w:val="00E07772"/>
    <w:rsid w:val="00E07E8F"/>
    <w:rsid w:val="00E115F0"/>
    <w:rsid w:val="00E1284E"/>
    <w:rsid w:val="00E13DCB"/>
    <w:rsid w:val="00E15965"/>
    <w:rsid w:val="00E2071B"/>
    <w:rsid w:val="00E23D6B"/>
    <w:rsid w:val="00E26D6F"/>
    <w:rsid w:val="00E27FDC"/>
    <w:rsid w:val="00E34FDF"/>
    <w:rsid w:val="00E37943"/>
    <w:rsid w:val="00E4286A"/>
    <w:rsid w:val="00E43A94"/>
    <w:rsid w:val="00E43ED0"/>
    <w:rsid w:val="00E52CC9"/>
    <w:rsid w:val="00E52FDA"/>
    <w:rsid w:val="00E61AF0"/>
    <w:rsid w:val="00E61EF4"/>
    <w:rsid w:val="00E65C3D"/>
    <w:rsid w:val="00E6726A"/>
    <w:rsid w:val="00E7103E"/>
    <w:rsid w:val="00E72942"/>
    <w:rsid w:val="00E72F52"/>
    <w:rsid w:val="00E73F03"/>
    <w:rsid w:val="00E76606"/>
    <w:rsid w:val="00E82AD8"/>
    <w:rsid w:val="00E83479"/>
    <w:rsid w:val="00E849C7"/>
    <w:rsid w:val="00E86651"/>
    <w:rsid w:val="00E906A5"/>
    <w:rsid w:val="00E925F9"/>
    <w:rsid w:val="00E93288"/>
    <w:rsid w:val="00EA1BA1"/>
    <w:rsid w:val="00EA2734"/>
    <w:rsid w:val="00EA4E01"/>
    <w:rsid w:val="00EA5DB8"/>
    <w:rsid w:val="00EA7C58"/>
    <w:rsid w:val="00EB1285"/>
    <w:rsid w:val="00EB1A52"/>
    <w:rsid w:val="00EB2F48"/>
    <w:rsid w:val="00EB5BA1"/>
    <w:rsid w:val="00EB634A"/>
    <w:rsid w:val="00EB6AF6"/>
    <w:rsid w:val="00EC1BFA"/>
    <w:rsid w:val="00EC218E"/>
    <w:rsid w:val="00EC2BE4"/>
    <w:rsid w:val="00EC73C9"/>
    <w:rsid w:val="00ED0709"/>
    <w:rsid w:val="00ED2667"/>
    <w:rsid w:val="00ED542C"/>
    <w:rsid w:val="00ED6CB1"/>
    <w:rsid w:val="00EE6911"/>
    <w:rsid w:val="00EE6F41"/>
    <w:rsid w:val="00EE706C"/>
    <w:rsid w:val="00EF0288"/>
    <w:rsid w:val="00EF2FCC"/>
    <w:rsid w:val="00EF395E"/>
    <w:rsid w:val="00EF5668"/>
    <w:rsid w:val="00EF5A90"/>
    <w:rsid w:val="00EF7724"/>
    <w:rsid w:val="00F00CE4"/>
    <w:rsid w:val="00F06828"/>
    <w:rsid w:val="00F128DE"/>
    <w:rsid w:val="00F15E4E"/>
    <w:rsid w:val="00F169B3"/>
    <w:rsid w:val="00F20903"/>
    <w:rsid w:val="00F23E7F"/>
    <w:rsid w:val="00F311C1"/>
    <w:rsid w:val="00F31FE4"/>
    <w:rsid w:val="00F3606E"/>
    <w:rsid w:val="00F43CFF"/>
    <w:rsid w:val="00F4672C"/>
    <w:rsid w:val="00F54DEB"/>
    <w:rsid w:val="00F62F42"/>
    <w:rsid w:val="00F63DE1"/>
    <w:rsid w:val="00F77729"/>
    <w:rsid w:val="00F77E38"/>
    <w:rsid w:val="00F86092"/>
    <w:rsid w:val="00F94331"/>
    <w:rsid w:val="00F97C62"/>
    <w:rsid w:val="00FA1005"/>
    <w:rsid w:val="00FA2C31"/>
    <w:rsid w:val="00FA4CC9"/>
    <w:rsid w:val="00FA4E17"/>
    <w:rsid w:val="00FB1C4E"/>
    <w:rsid w:val="00FB1E12"/>
    <w:rsid w:val="00FB3F65"/>
    <w:rsid w:val="00FB449C"/>
    <w:rsid w:val="00FB4CC9"/>
    <w:rsid w:val="00FB533E"/>
    <w:rsid w:val="00FB69AE"/>
    <w:rsid w:val="00FC0293"/>
    <w:rsid w:val="00FC1AAC"/>
    <w:rsid w:val="00FD75E4"/>
    <w:rsid w:val="00FE0913"/>
    <w:rsid w:val="00FE346A"/>
    <w:rsid w:val="00FE37C1"/>
    <w:rsid w:val="00FF34B2"/>
    <w:rsid w:val="00FF5302"/>
    <w:rsid w:val="00FF6C6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4DD616"/>
  <w15:docId w15:val="{0AC576EE-9A15-4130-8B1A-C623D2FD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paragraph" w:styleId="Heading1">
    <w:name w:val="heading 1"/>
    <w:basedOn w:val="Normal"/>
    <w:next w:val="Normal"/>
    <w:link w:val="Heading1Char"/>
    <w:qFormat/>
    <w:rsid w:val="00203C25"/>
    <w:pPr>
      <w:keepNext/>
      <w:spacing w:before="240" w:after="60"/>
      <w:outlineLvl w:val="0"/>
    </w:pPr>
    <w:rPr>
      <w:rFonts w:ascii="Cambria"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rsid w:val="00E1284E"/>
  </w:style>
  <w:style w:type="paragraph" w:styleId="Footer">
    <w:name w:val="footer"/>
    <w:basedOn w:val="Normal"/>
    <w:link w:val="FooterChar"/>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B533E"/>
    <w:rPr>
      <w:rFonts w:ascii="Tahoma" w:hAnsi="Tahoma" w:cs="Tahoma"/>
      <w:sz w:val="16"/>
      <w:szCs w:val="16"/>
    </w:rPr>
  </w:style>
  <w:style w:type="character" w:customStyle="1" w:styleId="BalloonTextChar">
    <w:name w:val="Balloon Text Char"/>
    <w:link w:val="BalloonText"/>
    <w:rsid w:val="00FB533E"/>
    <w:rPr>
      <w:rFonts w:ascii="Tahoma" w:eastAsia="Times New Roman" w:hAnsi="Tahoma" w:cs="Tahoma"/>
      <w:sz w:val="16"/>
      <w:szCs w:val="16"/>
      <w:lang w:eastAsia="en-US"/>
    </w:rPr>
  </w:style>
  <w:style w:type="character" w:styleId="CommentReference">
    <w:name w:val="annotation reference"/>
    <w:uiPriority w:val="99"/>
    <w:semiHidden/>
    <w:unhideWhenUsed/>
    <w:rsid w:val="005E481B"/>
    <w:rPr>
      <w:sz w:val="16"/>
      <w:szCs w:val="16"/>
    </w:rPr>
  </w:style>
  <w:style w:type="paragraph" w:styleId="CommentText">
    <w:name w:val="annotation text"/>
    <w:basedOn w:val="Normal"/>
    <w:link w:val="CommentTextChar"/>
    <w:uiPriority w:val="99"/>
    <w:semiHidden/>
    <w:unhideWhenUsed/>
    <w:rsid w:val="005E481B"/>
    <w:rPr>
      <w:sz w:val="20"/>
    </w:rPr>
  </w:style>
  <w:style w:type="character" w:customStyle="1" w:styleId="CommentTextChar">
    <w:name w:val="Comment Text Char"/>
    <w:link w:val="CommentText"/>
    <w:uiPriority w:val="99"/>
    <w:semiHidden/>
    <w:rsid w:val="005E481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E481B"/>
    <w:rPr>
      <w:b/>
      <w:bCs/>
    </w:rPr>
  </w:style>
  <w:style w:type="character" w:customStyle="1" w:styleId="CommentSubjectChar">
    <w:name w:val="Comment Subject Char"/>
    <w:link w:val="CommentSubject"/>
    <w:uiPriority w:val="99"/>
    <w:semiHidden/>
    <w:rsid w:val="005E481B"/>
    <w:rPr>
      <w:rFonts w:ascii="Times New Roman" w:eastAsia="Times New Roman" w:hAnsi="Times New Roman"/>
      <w:b/>
      <w:bCs/>
      <w:lang w:eastAsia="en-US"/>
    </w:rPr>
  </w:style>
  <w:style w:type="paragraph" w:styleId="NormalWeb">
    <w:name w:val="Normal (Web)"/>
    <w:basedOn w:val="Normal"/>
    <w:uiPriority w:val="99"/>
    <w:unhideWhenUsed/>
    <w:rsid w:val="00BF79B9"/>
    <w:pPr>
      <w:spacing w:before="100" w:beforeAutospacing="1" w:after="100" w:afterAutospacing="1"/>
    </w:pPr>
    <w:rPr>
      <w:szCs w:val="24"/>
      <w:lang w:eastAsia="en-GB"/>
    </w:rPr>
  </w:style>
  <w:style w:type="character" w:customStyle="1" w:styleId="apple-converted-space">
    <w:name w:val="apple-converted-space"/>
    <w:rsid w:val="00BF79B9"/>
  </w:style>
  <w:style w:type="character" w:customStyle="1" w:styleId="Heading1Char">
    <w:name w:val="Heading 1 Char"/>
    <w:link w:val="Heading1"/>
    <w:rsid w:val="00203C25"/>
    <w:rPr>
      <w:rFonts w:eastAsia="Times New Roman"/>
      <w:b/>
      <w:bCs/>
      <w:kern w:val="32"/>
      <w:sz w:val="32"/>
      <w:szCs w:val="32"/>
      <w:lang w:val="en-US" w:eastAsia="en-US"/>
    </w:rPr>
  </w:style>
  <w:style w:type="paragraph" w:customStyle="1" w:styleId="Normal1">
    <w:name w:val="Normal1"/>
    <w:basedOn w:val="Normal"/>
    <w:rsid w:val="00203C25"/>
    <w:pPr>
      <w:spacing w:after="200" w:line="260" w:lineRule="atLeast"/>
    </w:pPr>
    <w:rPr>
      <w:rFonts w:ascii="Calibri" w:hAnsi="Calibri"/>
      <w:sz w:val="22"/>
      <w:szCs w:val="22"/>
      <w:lang w:eastAsia="en-GB"/>
    </w:rPr>
  </w:style>
  <w:style w:type="character" w:customStyle="1" w:styleId="normalchar1">
    <w:name w:val="normal__char1"/>
    <w:rsid w:val="00203C25"/>
    <w:rPr>
      <w:rFonts w:ascii="Calibri" w:hAnsi="Calibri" w:hint="default"/>
      <w:strike w:val="0"/>
      <w:dstrike w:val="0"/>
      <w:sz w:val="22"/>
      <w:szCs w:val="22"/>
      <w:u w:val="none"/>
      <w:effect w:val="none"/>
    </w:rPr>
  </w:style>
  <w:style w:type="paragraph" w:styleId="BodyText2">
    <w:name w:val="Body Text 2"/>
    <w:basedOn w:val="Normal"/>
    <w:link w:val="BodyText2Char"/>
    <w:uiPriority w:val="99"/>
    <w:semiHidden/>
    <w:unhideWhenUsed/>
    <w:rsid w:val="005C0E95"/>
    <w:pPr>
      <w:spacing w:after="120" w:line="480" w:lineRule="auto"/>
    </w:pPr>
    <w:rPr>
      <w:rFonts w:eastAsia="Calibri"/>
      <w:szCs w:val="24"/>
    </w:rPr>
  </w:style>
  <w:style w:type="character" w:customStyle="1" w:styleId="BodyText2Char">
    <w:name w:val="Body Text 2 Char"/>
    <w:link w:val="BodyText2"/>
    <w:uiPriority w:val="99"/>
    <w:semiHidden/>
    <w:rsid w:val="005C0E95"/>
    <w:rPr>
      <w:rFonts w:ascii="Times New Roman" w:eastAsia="Calibr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680">
      <w:bodyDiv w:val="1"/>
      <w:marLeft w:val="0"/>
      <w:marRight w:val="0"/>
      <w:marTop w:val="0"/>
      <w:marBottom w:val="0"/>
      <w:divBdr>
        <w:top w:val="none" w:sz="0" w:space="0" w:color="auto"/>
        <w:left w:val="none" w:sz="0" w:space="0" w:color="auto"/>
        <w:bottom w:val="none" w:sz="0" w:space="0" w:color="auto"/>
        <w:right w:val="none" w:sz="0" w:space="0" w:color="auto"/>
      </w:divBdr>
    </w:div>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117799554">
      <w:bodyDiv w:val="1"/>
      <w:marLeft w:val="0"/>
      <w:marRight w:val="0"/>
      <w:marTop w:val="0"/>
      <w:marBottom w:val="0"/>
      <w:divBdr>
        <w:top w:val="none" w:sz="0" w:space="0" w:color="auto"/>
        <w:left w:val="none" w:sz="0" w:space="0" w:color="auto"/>
        <w:bottom w:val="none" w:sz="0" w:space="0" w:color="auto"/>
        <w:right w:val="none" w:sz="0" w:space="0" w:color="auto"/>
      </w:divBdr>
    </w:div>
    <w:div w:id="388114842">
      <w:bodyDiv w:val="1"/>
      <w:marLeft w:val="0"/>
      <w:marRight w:val="0"/>
      <w:marTop w:val="0"/>
      <w:marBottom w:val="0"/>
      <w:divBdr>
        <w:top w:val="none" w:sz="0" w:space="0" w:color="auto"/>
        <w:left w:val="none" w:sz="0" w:space="0" w:color="auto"/>
        <w:bottom w:val="none" w:sz="0" w:space="0" w:color="auto"/>
        <w:right w:val="none" w:sz="0" w:space="0" w:color="auto"/>
      </w:divBdr>
    </w:div>
    <w:div w:id="481309717">
      <w:bodyDiv w:val="1"/>
      <w:marLeft w:val="0"/>
      <w:marRight w:val="0"/>
      <w:marTop w:val="0"/>
      <w:marBottom w:val="0"/>
      <w:divBdr>
        <w:top w:val="none" w:sz="0" w:space="0" w:color="auto"/>
        <w:left w:val="none" w:sz="0" w:space="0" w:color="auto"/>
        <w:bottom w:val="none" w:sz="0" w:space="0" w:color="auto"/>
        <w:right w:val="none" w:sz="0" w:space="0" w:color="auto"/>
      </w:divBdr>
    </w:div>
    <w:div w:id="492842948">
      <w:bodyDiv w:val="1"/>
      <w:marLeft w:val="0"/>
      <w:marRight w:val="0"/>
      <w:marTop w:val="0"/>
      <w:marBottom w:val="0"/>
      <w:divBdr>
        <w:top w:val="none" w:sz="0" w:space="0" w:color="auto"/>
        <w:left w:val="none" w:sz="0" w:space="0" w:color="auto"/>
        <w:bottom w:val="none" w:sz="0" w:space="0" w:color="auto"/>
        <w:right w:val="none" w:sz="0" w:space="0" w:color="auto"/>
      </w:divBdr>
    </w:div>
    <w:div w:id="517088865">
      <w:bodyDiv w:val="1"/>
      <w:marLeft w:val="0"/>
      <w:marRight w:val="0"/>
      <w:marTop w:val="0"/>
      <w:marBottom w:val="0"/>
      <w:divBdr>
        <w:top w:val="none" w:sz="0" w:space="0" w:color="auto"/>
        <w:left w:val="none" w:sz="0" w:space="0" w:color="auto"/>
        <w:bottom w:val="none" w:sz="0" w:space="0" w:color="auto"/>
        <w:right w:val="none" w:sz="0" w:space="0" w:color="auto"/>
      </w:divBdr>
      <w:divsChild>
        <w:div w:id="68962220">
          <w:marLeft w:val="446"/>
          <w:marRight w:val="0"/>
          <w:marTop w:val="0"/>
          <w:marBottom w:val="0"/>
          <w:divBdr>
            <w:top w:val="none" w:sz="0" w:space="0" w:color="auto"/>
            <w:left w:val="none" w:sz="0" w:space="0" w:color="auto"/>
            <w:bottom w:val="none" w:sz="0" w:space="0" w:color="auto"/>
            <w:right w:val="none" w:sz="0" w:space="0" w:color="auto"/>
          </w:divBdr>
        </w:div>
        <w:div w:id="748237654">
          <w:marLeft w:val="446"/>
          <w:marRight w:val="0"/>
          <w:marTop w:val="0"/>
          <w:marBottom w:val="0"/>
          <w:divBdr>
            <w:top w:val="none" w:sz="0" w:space="0" w:color="auto"/>
            <w:left w:val="none" w:sz="0" w:space="0" w:color="auto"/>
            <w:bottom w:val="none" w:sz="0" w:space="0" w:color="auto"/>
            <w:right w:val="none" w:sz="0" w:space="0" w:color="auto"/>
          </w:divBdr>
        </w:div>
        <w:div w:id="911237956">
          <w:marLeft w:val="446"/>
          <w:marRight w:val="0"/>
          <w:marTop w:val="0"/>
          <w:marBottom w:val="0"/>
          <w:divBdr>
            <w:top w:val="none" w:sz="0" w:space="0" w:color="auto"/>
            <w:left w:val="none" w:sz="0" w:space="0" w:color="auto"/>
            <w:bottom w:val="none" w:sz="0" w:space="0" w:color="auto"/>
            <w:right w:val="none" w:sz="0" w:space="0" w:color="auto"/>
          </w:divBdr>
        </w:div>
        <w:div w:id="1001544929">
          <w:marLeft w:val="446"/>
          <w:marRight w:val="0"/>
          <w:marTop w:val="0"/>
          <w:marBottom w:val="0"/>
          <w:divBdr>
            <w:top w:val="none" w:sz="0" w:space="0" w:color="auto"/>
            <w:left w:val="none" w:sz="0" w:space="0" w:color="auto"/>
            <w:bottom w:val="none" w:sz="0" w:space="0" w:color="auto"/>
            <w:right w:val="none" w:sz="0" w:space="0" w:color="auto"/>
          </w:divBdr>
        </w:div>
      </w:divsChild>
    </w:div>
    <w:div w:id="622926833">
      <w:bodyDiv w:val="1"/>
      <w:marLeft w:val="0"/>
      <w:marRight w:val="0"/>
      <w:marTop w:val="0"/>
      <w:marBottom w:val="0"/>
      <w:divBdr>
        <w:top w:val="none" w:sz="0" w:space="0" w:color="auto"/>
        <w:left w:val="none" w:sz="0" w:space="0" w:color="auto"/>
        <w:bottom w:val="none" w:sz="0" w:space="0" w:color="auto"/>
        <w:right w:val="none" w:sz="0" w:space="0" w:color="auto"/>
      </w:divBdr>
    </w:div>
    <w:div w:id="704136295">
      <w:bodyDiv w:val="1"/>
      <w:marLeft w:val="0"/>
      <w:marRight w:val="0"/>
      <w:marTop w:val="0"/>
      <w:marBottom w:val="0"/>
      <w:divBdr>
        <w:top w:val="none" w:sz="0" w:space="0" w:color="auto"/>
        <w:left w:val="none" w:sz="0" w:space="0" w:color="auto"/>
        <w:bottom w:val="none" w:sz="0" w:space="0" w:color="auto"/>
        <w:right w:val="none" w:sz="0" w:space="0" w:color="auto"/>
      </w:divBdr>
    </w:div>
    <w:div w:id="784232297">
      <w:bodyDiv w:val="1"/>
      <w:marLeft w:val="0"/>
      <w:marRight w:val="0"/>
      <w:marTop w:val="0"/>
      <w:marBottom w:val="0"/>
      <w:divBdr>
        <w:top w:val="none" w:sz="0" w:space="0" w:color="auto"/>
        <w:left w:val="none" w:sz="0" w:space="0" w:color="auto"/>
        <w:bottom w:val="none" w:sz="0" w:space="0" w:color="auto"/>
        <w:right w:val="none" w:sz="0" w:space="0" w:color="auto"/>
      </w:divBdr>
    </w:div>
    <w:div w:id="873931266">
      <w:bodyDiv w:val="1"/>
      <w:marLeft w:val="0"/>
      <w:marRight w:val="0"/>
      <w:marTop w:val="0"/>
      <w:marBottom w:val="0"/>
      <w:divBdr>
        <w:top w:val="none" w:sz="0" w:space="0" w:color="auto"/>
        <w:left w:val="none" w:sz="0" w:space="0" w:color="auto"/>
        <w:bottom w:val="none" w:sz="0" w:space="0" w:color="auto"/>
        <w:right w:val="none" w:sz="0" w:space="0" w:color="auto"/>
      </w:divBdr>
    </w:div>
    <w:div w:id="935869102">
      <w:bodyDiv w:val="1"/>
      <w:marLeft w:val="0"/>
      <w:marRight w:val="0"/>
      <w:marTop w:val="0"/>
      <w:marBottom w:val="0"/>
      <w:divBdr>
        <w:top w:val="none" w:sz="0" w:space="0" w:color="auto"/>
        <w:left w:val="none" w:sz="0" w:space="0" w:color="auto"/>
        <w:bottom w:val="none" w:sz="0" w:space="0" w:color="auto"/>
        <w:right w:val="none" w:sz="0" w:space="0" w:color="auto"/>
      </w:divBdr>
    </w:div>
    <w:div w:id="1099721462">
      <w:bodyDiv w:val="1"/>
      <w:marLeft w:val="0"/>
      <w:marRight w:val="0"/>
      <w:marTop w:val="0"/>
      <w:marBottom w:val="0"/>
      <w:divBdr>
        <w:top w:val="none" w:sz="0" w:space="0" w:color="auto"/>
        <w:left w:val="none" w:sz="0" w:space="0" w:color="auto"/>
        <w:bottom w:val="none" w:sz="0" w:space="0" w:color="auto"/>
        <w:right w:val="none" w:sz="0" w:space="0" w:color="auto"/>
      </w:divBdr>
      <w:divsChild>
        <w:div w:id="421101132">
          <w:marLeft w:val="446"/>
          <w:marRight w:val="0"/>
          <w:marTop w:val="0"/>
          <w:marBottom w:val="0"/>
          <w:divBdr>
            <w:top w:val="none" w:sz="0" w:space="0" w:color="auto"/>
            <w:left w:val="none" w:sz="0" w:space="0" w:color="auto"/>
            <w:bottom w:val="none" w:sz="0" w:space="0" w:color="auto"/>
            <w:right w:val="none" w:sz="0" w:space="0" w:color="auto"/>
          </w:divBdr>
        </w:div>
        <w:div w:id="452871425">
          <w:marLeft w:val="1166"/>
          <w:marRight w:val="0"/>
          <w:marTop w:val="0"/>
          <w:marBottom w:val="0"/>
          <w:divBdr>
            <w:top w:val="none" w:sz="0" w:space="0" w:color="auto"/>
            <w:left w:val="none" w:sz="0" w:space="0" w:color="auto"/>
            <w:bottom w:val="none" w:sz="0" w:space="0" w:color="auto"/>
            <w:right w:val="none" w:sz="0" w:space="0" w:color="auto"/>
          </w:divBdr>
        </w:div>
        <w:div w:id="775716401">
          <w:marLeft w:val="446"/>
          <w:marRight w:val="0"/>
          <w:marTop w:val="0"/>
          <w:marBottom w:val="0"/>
          <w:divBdr>
            <w:top w:val="none" w:sz="0" w:space="0" w:color="auto"/>
            <w:left w:val="none" w:sz="0" w:space="0" w:color="auto"/>
            <w:bottom w:val="none" w:sz="0" w:space="0" w:color="auto"/>
            <w:right w:val="none" w:sz="0" w:space="0" w:color="auto"/>
          </w:divBdr>
        </w:div>
        <w:div w:id="929850248">
          <w:marLeft w:val="1166"/>
          <w:marRight w:val="0"/>
          <w:marTop w:val="0"/>
          <w:marBottom w:val="0"/>
          <w:divBdr>
            <w:top w:val="none" w:sz="0" w:space="0" w:color="auto"/>
            <w:left w:val="none" w:sz="0" w:space="0" w:color="auto"/>
            <w:bottom w:val="none" w:sz="0" w:space="0" w:color="auto"/>
            <w:right w:val="none" w:sz="0" w:space="0" w:color="auto"/>
          </w:divBdr>
        </w:div>
      </w:divsChild>
    </w:div>
    <w:div w:id="1188762143">
      <w:bodyDiv w:val="1"/>
      <w:marLeft w:val="0"/>
      <w:marRight w:val="0"/>
      <w:marTop w:val="0"/>
      <w:marBottom w:val="0"/>
      <w:divBdr>
        <w:top w:val="none" w:sz="0" w:space="0" w:color="auto"/>
        <w:left w:val="none" w:sz="0" w:space="0" w:color="auto"/>
        <w:bottom w:val="none" w:sz="0" w:space="0" w:color="auto"/>
        <w:right w:val="none" w:sz="0" w:space="0" w:color="auto"/>
      </w:divBdr>
    </w:div>
    <w:div w:id="1382948815">
      <w:bodyDiv w:val="1"/>
      <w:marLeft w:val="0"/>
      <w:marRight w:val="0"/>
      <w:marTop w:val="0"/>
      <w:marBottom w:val="0"/>
      <w:divBdr>
        <w:top w:val="none" w:sz="0" w:space="0" w:color="auto"/>
        <w:left w:val="none" w:sz="0" w:space="0" w:color="auto"/>
        <w:bottom w:val="none" w:sz="0" w:space="0" w:color="auto"/>
        <w:right w:val="none" w:sz="0" w:space="0" w:color="auto"/>
      </w:divBdr>
    </w:div>
    <w:div w:id="1524128538">
      <w:bodyDiv w:val="1"/>
      <w:marLeft w:val="0"/>
      <w:marRight w:val="0"/>
      <w:marTop w:val="0"/>
      <w:marBottom w:val="0"/>
      <w:divBdr>
        <w:top w:val="none" w:sz="0" w:space="0" w:color="auto"/>
        <w:left w:val="none" w:sz="0" w:space="0" w:color="auto"/>
        <w:bottom w:val="none" w:sz="0" w:space="0" w:color="auto"/>
        <w:right w:val="none" w:sz="0" w:space="0" w:color="auto"/>
      </w:divBdr>
    </w:div>
    <w:div w:id="1528517661">
      <w:bodyDiv w:val="1"/>
      <w:marLeft w:val="0"/>
      <w:marRight w:val="0"/>
      <w:marTop w:val="0"/>
      <w:marBottom w:val="0"/>
      <w:divBdr>
        <w:top w:val="none" w:sz="0" w:space="0" w:color="auto"/>
        <w:left w:val="none" w:sz="0" w:space="0" w:color="auto"/>
        <w:bottom w:val="none" w:sz="0" w:space="0" w:color="auto"/>
        <w:right w:val="none" w:sz="0" w:space="0" w:color="auto"/>
      </w:divBdr>
    </w:div>
    <w:div w:id="1619331379">
      <w:bodyDiv w:val="1"/>
      <w:marLeft w:val="0"/>
      <w:marRight w:val="0"/>
      <w:marTop w:val="0"/>
      <w:marBottom w:val="0"/>
      <w:divBdr>
        <w:top w:val="none" w:sz="0" w:space="0" w:color="auto"/>
        <w:left w:val="none" w:sz="0" w:space="0" w:color="auto"/>
        <w:bottom w:val="none" w:sz="0" w:space="0" w:color="auto"/>
        <w:right w:val="none" w:sz="0" w:space="0" w:color="auto"/>
      </w:divBdr>
    </w:div>
    <w:div w:id="1725906454">
      <w:bodyDiv w:val="1"/>
      <w:marLeft w:val="0"/>
      <w:marRight w:val="0"/>
      <w:marTop w:val="0"/>
      <w:marBottom w:val="0"/>
      <w:divBdr>
        <w:top w:val="none" w:sz="0" w:space="0" w:color="auto"/>
        <w:left w:val="none" w:sz="0" w:space="0" w:color="auto"/>
        <w:bottom w:val="none" w:sz="0" w:space="0" w:color="auto"/>
        <w:right w:val="none" w:sz="0" w:space="0" w:color="auto"/>
      </w:divBdr>
    </w:div>
    <w:div w:id="1730811507">
      <w:bodyDiv w:val="1"/>
      <w:marLeft w:val="0"/>
      <w:marRight w:val="0"/>
      <w:marTop w:val="0"/>
      <w:marBottom w:val="0"/>
      <w:divBdr>
        <w:top w:val="none" w:sz="0" w:space="0" w:color="auto"/>
        <w:left w:val="none" w:sz="0" w:space="0" w:color="auto"/>
        <w:bottom w:val="none" w:sz="0" w:space="0" w:color="auto"/>
        <w:right w:val="none" w:sz="0" w:space="0" w:color="auto"/>
      </w:divBdr>
      <w:divsChild>
        <w:div w:id="741414676">
          <w:marLeft w:val="446"/>
          <w:marRight w:val="0"/>
          <w:marTop w:val="0"/>
          <w:marBottom w:val="0"/>
          <w:divBdr>
            <w:top w:val="none" w:sz="0" w:space="0" w:color="auto"/>
            <w:left w:val="none" w:sz="0" w:space="0" w:color="auto"/>
            <w:bottom w:val="none" w:sz="0" w:space="0" w:color="auto"/>
            <w:right w:val="none" w:sz="0" w:space="0" w:color="auto"/>
          </w:divBdr>
        </w:div>
        <w:div w:id="1036276027">
          <w:marLeft w:val="1166"/>
          <w:marRight w:val="0"/>
          <w:marTop w:val="0"/>
          <w:marBottom w:val="0"/>
          <w:divBdr>
            <w:top w:val="none" w:sz="0" w:space="0" w:color="auto"/>
            <w:left w:val="none" w:sz="0" w:space="0" w:color="auto"/>
            <w:bottom w:val="none" w:sz="0" w:space="0" w:color="auto"/>
            <w:right w:val="none" w:sz="0" w:space="0" w:color="auto"/>
          </w:divBdr>
        </w:div>
        <w:div w:id="1263757960">
          <w:marLeft w:val="1166"/>
          <w:marRight w:val="0"/>
          <w:marTop w:val="0"/>
          <w:marBottom w:val="0"/>
          <w:divBdr>
            <w:top w:val="none" w:sz="0" w:space="0" w:color="auto"/>
            <w:left w:val="none" w:sz="0" w:space="0" w:color="auto"/>
            <w:bottom w:val="none" w:sz="0" w:space="0" w:color="auto"/>
            <w:right w:val="none" w:sz="0" w:space="0" w:color="auto"/>
          </w:divBdr>
        </w:div>
        <w:div w:id="1764955928">
          <w:marLeft w:val="446"/>
          <w:marRight w:val="0"/>
          <w:marTop w:val="0"/>
          <w:marBottom w:val="0"/>
          <w:divBdr>
            <w:top w:val="none" w:sz="0" w:space="0" w:color="auto"/>
            <w:left w:val="none" w:sz="0" w:space="0" w:color="auto"/>
            <w:bottom w:val="none" w:sz="0" w:space="0" w:color="auto"/>
            <w:right w:val="none" w:sz="0" w:space="0" w:color="auto"/>
          </w:divBdr>
        </w:div>
        <w:div w:id="1972859397">
          <w:marLeft w:val="1166"/>
          <w:marRight w:val="0"/>
          <w:marTop w:val="0"/>
          <w:marBottom w:val="0"/>
          <w:divBdr>
            <w:top w:val="none" w:sz="0" w:space="0" w:color="auto"/>
            <w:left w:val="none" w:sz="0" w:space="0" w:color="auto"/>
            <w:bottom w:val="none" w:sz="0" w:space="0" w:color="auto"/>
            <w:right w:val="none" w:sz="0" w:space="0" w:color="auto"/>
          </w:divBdr>
        </w:div>
        <w:div w:id="2102487841">
          <w:marLeft w:val="446"/>
          <w:marRight w:val="0"/>
          <w:marTop w:val="0"/>
          <w:marBottom w:val="0"/>
          <w:divBdr>
            <w:top w:val="none" w:sz="0" w:space="0" w:color="auto"/>
            <w:left w:val="none" w:sz="0" w:space="0" w:color="auto"/>
            <w:bottom w:val="none" w:sz="0" w:space="0" w:color="auto"/>
            <w:right w:val="none" w:sz="0" w:space="0" w:color="auto"/>
          </w:divBdr>
        </w:div>
      </w:divsChild>
    </w:div>
    <w:div w:id="1826192560">
      <w:bodyDiv w:val="1"/>
      <w:marLeft w:val="0"/>
      <w:marRight w:val="0"/>
      <w:marTop w:val="0"/>
      <w:marBottom w:val="0"/>
      <w:divBdr>
        <w:top w:val="none" w:sz="0" w:space="0" w:color="auto"/>
        <w:left w:val="none" w:sz="0" w:space="0" w:color="auto"/>
        <w:bottom w:val="none" w:sz="0" w:space="0" w:color="auto"/>
        <w:right w:val="none" w:sz="0" w:space="0" w:color="auto"/>
      </w:divBdr>
    </w:div>
    <w:div w:id="1930889374">
      <w:bodyDiv w:val="1"/>
      <w:marLeft w:val="0"/>
      <w:marRight w:val="0"/>
      <w:marTop w:val="0"/>
      <w:marBottom w:val="0"/>
      <w:divBdr>
        <w:top w:val="none" w:sz="0" w:space="0" w:color="auto"/>
        <w:left w:val="none" w:sz="0" w:space="0" w:color="auto"/>
        <w:bottom w:val="none" w:sz="0" w:space="0" w:color="auto"/>
        <w:right w:val="none" w:sz="0" w:space="0" w:color="auto"/>
      </w:divBdr>
    </w:div>
    <w:div w:id="2042709414">
      <w:bodyDiv w:val="1"/>
      <w:marLeft w:val="0"/>
      <w:marRight w:val="0"/>
      <w:marTop w:val="0"/>
      <w:marBottom w:val="0"/>
      <w:divBdr>
        <w:top w:val="none" w:sz="0" w:space="0" w:color="auto"/>
        <w:left w:val="none" w:sz="0" w:space="0" w:color="auto"/>
        <w:bottom w:val="none" w:sz="0" w:space="0" w:color="auto"/>
        <w:right w:val="none" w:sz="0" w:space="0" w:color="auto"/>
      </w:divBdr>
    </w:div>
    <w:div w:id="2043552781">
      <w:bodyDiv w:val="1"/>
      <w:marLeft w:val="0"/>
      <w:marRight w:val="0"/>
      <w:marTop w:val="0"/>
      <w:marBottom w:val="0"/>
      <w:divBdr>
        <w:top w:val="none" w:sz="0" w:space="0" w:color="auto"/>
        <w:left w:val="none" w:sz="0" w:space="0" w:color="auto"/>
        <w:bottom w:val="none" w:sz="0" w:space="0" w:color="auto"/>
        <w:right w:val="none" w:sz="0" w:space="0" w:color="auto"/>
      </w:divBdr>
    </w:div>
    <w:div w:id="2056537197">
      <w:bodyDiv w:val="1"/>
      <w:marLeft w:val="0"/>
      <w:marRight w:val="0"/>
      <w:marTop w:val="0"/>
      <w:marBottom w:val="0"/>
      <w:divBdr>
        <w:top w:val="none" w:sz="0" w:space="0" w:color="auto"/>
        <w:left w:val="none" w:sz="0" w:space="0" w:color="auto"/>
        <w:bottom w:val="none" w:sz="0" w:space="0" w:color="auto"/>
        <w:right w:val="none" w:sz="0" w:space="0" w:color="auto"/>
      </w:divBdr>
    </w:div>
    <w:div w:id="2076198757">
      <w:bodyDiv w:val="1"/>
      <w:marLeft w:val="0"/>
      <w:marRight w:val="0"/>
      <w:marTop w:val="0"/>
      <w:marBottom w:val="0"/>
      <w:divBdr>
        <w:top w:val="none" w:sz="0" w:space="0" w:color="auto"/>
        <w:left w:val="none" w:sz="0" w:space="0" w:color="auto"/>
        <w:bottom w:val="none" w:sz="0" w:space="0" w:color="auto"/>
        <w:right w:val="none" w:sz="0" w:space="0" w:color="auto"/>
      </w:divBdr>
    </w:div>
    <w:div w:id="2090536246">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6.png"/><Relationship Id="rId26" Type="http://schemas.openxmlformats.org/officeDocument/2006/relationships/image" Target="cid:image008.png@01D4863F.5B616C40" TargetMode="External"/><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6.png"/><Relationship Id="rId42" Type="http://schemas.openxmlformats.org/officeDocument/2006/relationships/image" Target="media/image23.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Word_97_-_2003_Document.doc"/><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5.png"/><Relationship Id="rId38" Type="http://schemas.openxmlformats.org/officeDocument/2006/relationships/image" Target="media/image19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image" Target="media/image11.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cid:image006.png@01D4863F.076F66F0" TargetMode="Externa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1.png"/><Relationship Id="rId45"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png"/><Relationship Id="rId28" Type="http://schemas.openxmlformats.org/officeDocument/2006/relationships/image" Target="cid:image009.png@01D4863F.076F66F0" TargetMode="External"/><Relationship Id="rId36" Type="http://schemas.openxmlformats.org/officeDocument/2006/relationships/image" Target="media/image18.png"/><Relationship Id="rId10" Type="http://schemas.openxmlformats.org/officeDocument/2006/relationships/image" Target="media/image20.emf"/><Relationship Id="rId19" Type="http://schemas.openxmlformats.org/officeDocument/2006/relationships/header" Target="header2.xml"/><Relationship Id="rId31" Type="http://schemas.openxmlformats.org/officeDocument/2006/relationships/image" Target="media/image13.png"/><Relationship Id="rId44"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PowerPoint_Presentation.pptx"/><Relationship Id="rId22" Type="http://schemas.openxmlformats.org/officeDocument/2006/relationships/image" Target="cid:image005.png@01D4863F.5B616C40" TargetMode="External"/><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8A53-6775-4154-B3B2-58A7A2DF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12</cp:revision>
  <cp:lastPrinted>2015-02-05T14:14:00Z</cp:lastPrinted>
  <dcterms:created xsi:type="dcterms:W3CDTF">2019-03-14T09:48:00Z</dcterms:created>
  <dcterms:modified xsi:type="dcterms:W3CDTF">2019-03-27T11:11:00Z</dcterms:modified>
</cp:coreProperties>
</file>