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B75" w:rsidRPr="00E73B61" w:rsidRDefault="001D2409" w:rsidP="00E73B61">
      <w:pPr>
        <w:ind w:left="5041"/>
        <w:jc w:val="right"/>
        <w:rPr>
          <w:noProof/>
          <w:lang w:eastAsia="en-GB"/>
        </w:rPr>
      </w:pPr>
      <w:bookmarkStart w:id="0" w:name="_GoBack"/>
      <w:bookmarkEnd w:id="0"/>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-86995</wp:posOffset>
                </wp:positionH>
                <wp:positionV relativeFrom="paragraph">
                  <wp:posOffset>393065</wp:posOffset>
                </wp:positionV>
                <wp:extent cx="2042160" cy="297180"/>
                <wp:effectExtent l="0" t="0" r="15240" b="26670"/>
                <wp:wrapNone/>
                <wp:docPr id="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297180"/>
                        </a:xfrm>
                        <a:prstGeom prst="rect">
                          <a:avLst/>
                        </a:prstGeom>
                        <a:solidFill>
                          <a:srgbClr val="FFFFFF"/>
                        </a:solidFill>
                        <a:ln w="9525">
                          <a:solidFill>
                            <a:srgbClr val="000000"/>
                          </a:solidFill>
                          <a:miter lim="800000"/>
                          <a:headEnd/>
                          <a:tailEnd/>
                        </a:ln>
                      </wps:spPr>
                      <wps:txbx>
                        <w:txbxContent>
                          <w:p w:rsidR="007C526F" w:rsidRPr="000D1B0D" w:rsidRDefault="007C526F">
                            <w:pPr>
                              <w:rPr>
                                <w:rFonts w:ascii="Calibri" w:hAnsi="Calibri"/>
                                <w:b/>
                                <w:sz w:val="22"/>
                                <w:szCs w:val="22"/>
                              </w:rPr>
                            </w:pPr>
                            <w:r w:rsidRPr="000D1B0D">
                              <w:rPr>
                                <w:rFonts w:ascii="Calibri" w:hAnsi="Calibri"/>
                                <w:b/>
                                <w:sz w:val="22"/>
                                <w:szCs w:val="22"/>
                              </w:rPr>
                              <w:t>Agenda Item</w:t>
                            </w:r>
                            <w:r w:rsidR="00A71DF6">
                              <w:rPr>
                                <w:rFonts w:ascii="Calibri" w:hAnsi="Calibri"/>
                                <w:b/>
                                <w:sz w:val="22"/>
                                <w:szCs w:val="22"/>
                              </w:rPr>
                              <w:t xml:space="preserve"> 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left:0;text-align:left;margin-left:-6.85pt;margin-top:30.95pt;width:160.8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">
                <v:textbox>
                  <w:txbxContent>
                    <w:p w:rsidR="007C526F" w:rsidRPr="000D1B0D" w:rsidRDefault="007C526F">
                      <w:pPr>
                        <w:rPr>
                          <w:rFonts w:ascii="Calibri" w:hAnsi="Calibri"/>
                          <w:b/>
                          <w:sz w:val="22"/>
                          <w:szCs w:val="22"/>
                        </w:rPr>
                      </w:pPr>
                      <w:r w:rsidRPr="000D1B0D">
                        <w:rPr>
                          <w:rFonts w:ascii="Calibri" w:hAnsi="Calibri"/>
                          <w:b/>
                          <w:sz w:val="22"/>
                          <w:szCs w:val="22"/>
                        </w:rPr>
                        <w:t>Agenda Item</w:t>
                      </w:r>
                      <w:r w:rsidR="00A71DF6">
                        <w:rPr>
                          <w:rFonts w:ascii="Calibri" w:hAnsi="Calibri"/>
                          <w:b/>
                          <w:sz w:val="22"/>
                          <w:szCs w:val="22"/>
                        </w:rPr>
                        <w:t xml:space="preserve"> 15</w:t>
                      </w:r>
                    </w:p>
                  </w:txbxContent>
                </v:textbox>
              </v:rect>
            </w:pict>
          </mc:Fallback>
        </mc:AlternateContent>
      </w:r>
      <w:r w:rsidR="003D7845" w:rsidRPr="003D7845">
        <w:t xml:space="preserve"> </w:t>
      </w:r>
      <w:r>
        <w:rPr>
          <w:noProof/>
          <w:lang w:eastAsia="en-GB"/>
        </w:rPr>
        <w:drawing>
          <wp:inline distT="0" distB="0" distL="0" distR="0">
            <wp:extent cx="1994535" cy="723900"/>
            <wp:effectExtent l="0" t="0" r="571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4696" t="16959" r="6470" b="27486"/>
                    <a:stretch>
                      <a:fillRect/>
                    </a:stretch>
                  </pic:blipFill>
                  <pic:spPr bwMode="auto">
                    <a:xfrm>
                      <a:off x="0" y="0"/>
                      <a:ext cx="1994535" cy="723900"/>
                    </a:xfrm>
                    <a:prstGeom prst="rect">
                      <a:avLst/>
                    </a:prstGeom>
                    <a:noFill/>
                    <a:ln>
                      <a:noFill/>
                    </a:ln>
                  </pic:spPr>
                </pic:pic>
              </a:graphicData>
            </a:graphic>
          </wp:inline>
        </w:drawing>
      </w:r>
      <w:r w:rsidR="00A977E0" w:rsidRPr="00A977E0">
        <w:rPr>
          <w:noProof/>
          <w:lang w:eastAsia="en-GB"/>
        </w:rPr>
        <w:t xml:space="preserve"> </w:t>
      </w:r>
    </w:p>
    <w:p w:rsidR="00136B75" w:rsidRDefault="00E402F3"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6704" behindDoc="0" locked="0" layoutInCell="1" allowOverlap="1" wp14:anchorId="1D463DDB" wp14:editId="2ABFBC7F">
                <wp:simplePos x="0" y="0"/>
                <wp:positionH relativeFrom="column">
                  <wp:posOffset>-70485</wp:posOffset>
                </wp:positionH>
                <wp:positionV relativeFrom="paragraph">
                  <wp:posOffset>10795</wp:posOffset>
                </wp:positionV>
                <wp:extent cx="6911340" cy="1310640"/>
                <wp:effectExtent l="19050" t="19050" r="22860" b="22860"/>
                <wp:wrapNone/>
                <wp:docPr id="6"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1340" cy="1310640"/>
                        </a:xfrm>
                        <a:prstGeom prst="rect">
                          <a:avLst/>
                        </a:prstGeom>
                        <a:solidFill>
                          <a:srgbClr val="FFFFFF"/>
                        </a:solidFill>
                        <a:ln w="38100" cmpd="dbl">
                          <a:solidFill>
                            <a:srgbClr val="000000"/>
                          </a:solidFill>
                          <a:miter lim="800000"/>
                          <a:headEnd/>
                          <a:tailEnd/>
                        </a:ln>
                      </wps:spPr>
                      <wps:txb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172A75">
                              <w:rPr>
                                <w:rFonts w:ascii="Calibri" w:hAnsi="Calibri"/>
                                <w:sz w:val="22"/>
                                <w:szCs w:val="22"/>
                              </w:rPr>
                              <w:tab/>
                            </w:r>
                            <w:r w:rsidR="00172A75">
                              <w:rPr>
                                <w:rFonts w:ascii="Calibri" w:hAnsi="Calibri"/>
                                <w:sz w:val="22"/>
                                <w:szCs w:val="22"/>
                              </w:rPr>
                              <w:tab/>
                              <w:t>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172A75">
                              <w:rPr>
                                <w:rFonts w:ascii="Calibri" w:hAnsi="Calibri"/>
                                <w:sz w:val="22"/>
                                <w:szCs w:val="22"/>
                              </w:rPr>
                              <w:tab/>
                              <w:t>28 March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172A75">
                              <w:rPr>
                                <w:rFonts w:ascii="Calibri" w:hAnsi="Calibri"/>
                                <w:sz w:val="22"/>
                                <w:szCs w:val="22"/>
                              </w:rPr>
                              <w:tab/>
                            </w:r>
                            <w:r w:rsidR="00172A75">
                              <w:rPr>
                                <w:rFonts w:ascii="Calibri" w:hAnsi="Calibri"/>
                                <w:sz w:val="22"/>
                                <w:szCs w:val="22"/>
                              </w:rPr>
                              <w:tab/>
                            </w:r>
                            <w:r w:rsidR="00172A75">
                              <w:rPr>
                                <w:rFonts w:ascii="Calibri" w:hAnsi="Calibri"/>
                                <w:sz w:val="22"/>
                                <w:szCs w:val="22"/>
                              </w:rPr>
                              <w:tab/>
                              <w:t>Finance Report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172A75">
                              <w:rPr>
                                <w:rFonts w:ascii="Calibri" w:hAnsi="Calibri"/>
                                <w:sz w:val="22"/>
                                <w:szCs w:val="22"/>
                              </w:rPr>
                              <w:tab/>
                            </w:r>
                            <w:r w:rsidR="00172A75">
                              <w:rPr>
                                <w:rFonts w:ascii="Calibri" w:hAnsi="Calibri"/>
                                <w:sz w:val="22"/>
                                <w:szCs w:val="22"/>
                              </w:rPr>
                              <w:tab/>
                              <w:t>Laura Whitton, Chief Finance Officer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463DDB" id="Rectangle 11" o:spid="_x0000_s1027" style="position:absolute;left:0;text-align:left;margin-left:-5.55pt;margin-top:.85pt;width:544.2pt;height:103.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" strokeweight="3pt">
                <v:stroke linestyle="thinThin"/>
                <v:textbox>
                  <w:txbxContent>
                    <w:p w:rsidR="00136B75" w:rsidRPr="000D1B0D" w:rsidRDefault="00136B75">
                      <w:pPr>
                        <w:rPr>
                          <w:rFonts w:ascii="Calibri" w:hAnsi="Calibri"/>
                          <w:sz w:val="22"/>
                          <w:szCs w:val="22"/>
                        </w:rPr>
                      </w:pPr>
                      <w:r w:rsidRPr="000D1B0D">
                        <w:rPr>
                          <w:rFonts w:ascii="Calibri" w:hAnsi="Calibri"/>
                          <w:sz w:val="22"/>
                          <w:szCs w:val="22"/>
                        </w:rPr>
                        <w:t>Report to</w:t>
                      </w:r>
                      <w:r w:rsidR="00E402F3">
                        <w:rPr>
                          <w:rFonts w:ascii="Calibri" w:hAnsi="Calibri"/>
                          <w:sz w:val="22"/>
                          <w:szCs w:val="22"/>
                        </w:rPr>
                        <w:t>:</w:t>
                      </w:r>
                      <w:r w:rsidR="00172A75">
                        <w:rPr>
                          <w:rFonts w:ascii="Calibri" w:hAnsi="Calibri"/>
                          <w:sz w:val="22"/>
                          <w:szCs w:val="22"/>
                        </w:rPr>
                        <w:tab/>
                      </w:r>
                      <w:r w:rsidR="00172A75">
                        <w:rPr>
                          <w:rFonts w:ascii="Calibri" w:hAnsi="Calibri"/>
                          <w:sz w:val="22"/>
                          <w:szCs w:val="22"/>
                        </w:rPr>
                        <w:tab/>
                        <w:t>Governing Body</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Date of Meeting:</w:t>
                      </w:r>
                      <w:r w:rsidR="00172A75">
                        <w:rPr>
                          <w:rFonts w:ascii="Calibri" w:hAnsi="Calibri"/>
                          <w:sz w:val="22"/>
                          <w:szCs w:val="22"/>
                        </w:rPr>
                        <w:tab/>
                        <w:t>28 March 2019</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Subject:</w:t>
                      </w:r>
                      <w:r w:rsidR="00172A75">
                        <w:rPr>
                          <w:rFonts w:ascii="Calibri" w:hAnsi="Calibri"/>
                          <w:sz w:val="22"/>
                          <w:szCs w:val="22"/>
                        </w:rPr>
                        <w:tab/>
                      </w:r>
                      <w:r w:rsidR="00172A75">
                        <w:rPr>
                          <w:rFonts w:ascii="Calibri" w:hAnsi="Calibri"/>
                          <w:sz w:val="22"/>
                          <w:szCs w:val="22"/>
                        </w:rPr>
                        <w:tab/>
                      </w:r>
                      <w:r w:rsidR="00172A75">
                        <w:rPr>
                          <w:rFonts w:ascii="Calibri" w:hAnsi="Calibri"/>
                          <w:sz w:val="22"/>
                          <w:szCs w:val="22"/>
                        </w:rPr>
                        <w:tab/>
                        <w:t>Finance Report</w:t>
                      </w:r>
                    </w:p>
                    <w:p w:rsidR="00136B75" w:rsidRPr="000D1B0D" w:rsidRDefault="00136B75">
                      <w:pPr>
                        <w:rPr>
                          <w:rFonts w:ascii="Calibri" w:hAnsi="Calibri"/>
                          <w:sz w:val="22"/>
                          <w:szCs w:val="22"/>
                        </w:rPr>
                      </w:pPr>
                    </w:p>
                    <w:p w:rsidR="00136B75" w:rsidRPr="000D1B0D" w:rsidRDefault="00136B75">
                      <w:pPr>
                        <w:rPr>
                          <w:rFonts w:ascii="Calibri" w:hAnsi="Calibri"/>
                          <w:sz w:val="22"/>
                          <w:szCs w:val="22"/>
                        </w:rPr>
                      </w:pPr>
                      <w:r w:rsidRPr="000D1B0D">
                        <w:rPr>
                          <w:rFonts w:ascii="Calibri" w:hAnsi="Calibri"/>
                          <w:sz w:val="22"/>
                          <w:szCs w:val="22"/>
                        </w:rPr>
                        <w:t>Presented by:</w:t>
                      </w:r>
                      <w:r w:rsidR="00172A75">
                        <w:rPr>
                          <w:rFonts w:ascii="Calibri" w:hAnsi="Calibri"/>
                          <w:sz w:val="22"/>
                          <w:szCs w:val="22"/>
                        </w:rPr>
                        <w:tab/>
                      </w:r>
                      <w:r w:rsidR="00172A75">
                        <w:rPr>
                          <w:rFonts w:ascii="Calibri" w:hAnsi="Calibri"/>
                          <w:sz w:val="22"/>
                          <w:szCs w:val="22"/>
                        </w:rPr>
                        <w:tab/>
                        <w:t>Laura Whitton, Chief Finance Officer</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D2409" w:rsidP="00D3211A">
      <w:pPr>
        <w:pStyle w:val="Default"/>
        <w:jc w:val="both"/>
        <w:rPr>
          <w:rFonts w:ascii="Calibri" w:hAnsi="Calibri" w:cs="Calibri"/>
          <w:sz w:val="20"/>
          <w:szCs w:val="20"/>
        </w:rPr>
      </w:pPr>
      <w:r>
        <w:rPr>
          <w:rFonts w:ascii="Calibri" w:hAnsi="Calibri" w:cs="Calibri"/>
          <w:noProof/>
          <w:sz w:val="20"/>
          <w:szCs w:val="20"/>
        </w:rPr>
        <mc:AlternateContent>
          <mc:Choice Requires="wps">
            <w:drawing>
              <wp:anchor distT="0" distB="0" distL="114300" distR="114300" simplePos="0" relativeHeight="251657728" behindDoc="0" locked="0" layoutInCell="1" allowOverlap="1">
                <wp:simplePos x="0" y="0"/>
                <wp:positionH relativeFrom="column">
                  <wp:posOffset>-85725</wp:posOffset>
                </wp:positionH>
                <wp:positionV relativeFrom="paragraph">
                  <wp:posOffset>25400</wp:posOffset>
                </wp:positionV>
                <wp:extent cx="6964680" cy="1493520"/>
                <wp:effectExtent l="0" t="0" r="26670" b="11430"/>
                <wp:wrapNone/>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64680" cy="1493520"/>
                        </a:xfrm>
                        <a:prstGeom prst="rect">
                          <a:avLst/>
                        </a:prstGeom>
                        <a:solidFill>
                          <a:srgbClr val="FFFFFF"/>
                        </a:solidFill>
                        <a:ln w="9525">
                          <a:solidFill>
                            <a:srgbClr val="000000"/>
                          </a:solidFill>
                          <a:miter lim="800000"/>
                          <a:headEnd/>
                          <a:tailEnd/>
                        </a:ln>
                      </wps:spPr>
                      <wps:txb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3E2DF5">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3E2DF5">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172A75">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8" style="position:absolute;left:0;text-align:left;margin-left:-6.75pt;margin-top:2pt;width:548.4pt;height:117.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">
                <v:textbox>
                  <w:txbxContent>
                    <w:p w:rsidR="00136B75" w:rsidRPr="00C52984" w:rsidRDefault="00136B75" w:rsidP="007C526F">
                      <w:pPr>
                        <w:rPr>
                          <w:rFonts w:ascii="Calibri" w:hAnsi="Calibri"/>
                          <w:b/>
                          <w:sz w:val="22"/>
                          <w:szCs w:val="22"/>
                        </w:rPr>
                      </w:pPr>
                      <w:r w:rsidRPr="000D1B0D">
                        <w:rPr>
                          <w:rFonts w:ascii="Calibri" w:hAnsi="Calibri"/>
                          <w:b/>
                          <w:sz w:val="22"/>
                          <w:szCs w:val="22"/>
                        </w:rPr>
                        <w:t>STATUS OF THE REPORT</w:t>
                      </w:r>
                      <w:r w:rsidR="00C52984">
                        <w:rPr>
                          <w:rFonts w:ascii="Calibri" w:hAnsi="Calibri"/>
                          <w:b/>
                          <w:sz w:val="22"/>
                          <w:szCs w:val="22"/>
                        </w:rPr>
                        <w:t xml:space="preserve"> </w:t>
                      </w:r>
                      <w:r w:rsidR="00C52984" w:rsidRPr="00901CC0">
                        <w:rPr>
                          <w:rFonts w:ascii="Calibri" w:hAnsi="Calibri"/>
                          <w:b/>
                          <w:i/>
                          <w:sz w:val="22"/>
                          <w:szCs w:val="22"/>
                        </w:rPr>
                        <w:t>(auto check relevant box</w:t>
                      </w:r>
                      <w:r w:rsidR="00C52984" w:rsidRPr="002F38A7">
                        <w:rPr>
                          <w:rFonts w:ascii="Calibri" w:hAnsi="Calibri"/>
                          <w:i/>
                          <w:sz w:val="22"/>
                          <w:szCs w:val="22"/>
                        </w:rPr>
                        <w:t>)</w:t>
                      </w:r>
                    </w:p>
                    <w:p w:rsidR="00136B75" w:rsidRPr="000D1B0D" w:rsidRDefault="00136B75">
                      <w:pPr>
                        <w:rPr>
                          <w:rFonts w:ascii="Calibri" w:hAnsi="Calibri"/>
                          <w:sz w:val="22"/>
                          <w:szCs w:val="22"/>
                        </w:rPr>
                      </w:pP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 xml:space="preserve">For Information </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255798326"/>
                          <w14:checkbox>
                            <w14:checked w14:val="0"/>
                            <w14:checkedState w14:val="2612" w14:font="MS Gothic"/>
                            <w14:uncheckedState w14:val="2610" w14:font="MS Gothic"/>
                          </w14:checkbox>
                        </w:sdtPr>
                        <w:sdtEndPr/>
                        <w:sdtContent>
                          <w:r w:rsidR="003E2DF5">
                            <w:rPr>
                              <w:rFonts w:ascii="MS Gothic" w:eastAsia="MS Gothic" w:hAnsi="MS Gothic" w:hint="eastAsia"/>
                              <w:sz w:val="22"/>
                              <w:szCs w:val="22"/>
                            </w:rPr>
                            <w:t>☐</w:t>
                          </w:r>
                        </w:sdtContent>
                      </w:sdt>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p>
                    <w:p w:rsidR="00136B75" w:rsidRPr="000D1B0D" w:rsidRDefault="00136B75" w:rsidP="00136B75">
                      <w:pPr>
                        <w:spacing w:line="360" w:lineRule="auto"/>
                        <w:rPr>
                          <w:rFonts w:ascii="Calibri" w:hAnsi="Calibri"/>
                          <w:sz w:val="22"/>
                          <w:szCs w:val="22"/>
                        </w:rPr>
                      </w:pPr>
                      <w:r w:rsidRPr="000D1B0D">
                        <w:rPr>
                          <w:rFonts w:ascii="Calibri" w:hAnsi="Calibri"/>
                          <w:sz w:val="22"/>
                          <w:szCs w:val="22"/>
                        </w:rPr>
                        <w:t>For Discussion</w:t>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882863822"/>
                          <w14:checkbox>
                            <w14:checked w14:val="1"/>
                            <w14:checkedState w14:val="2612" w14:font="MS Gothic"/>
                            <w14:uncheckedState w14:val="2610" w14:font="MS Gothic"/>
                          </w14:checkbox>
                        </w:sdtPr>
                        <w:sdtEndPr/>
                        <w:sdtContent>
                          <w:r w:rsidR="003E2DF5">
                            <w:rPr>
                              <w:rFonts w:ascii="MS Gothic" w:eastAsia="MS Gothic" w:hAnsi="MS Gothic" w:hint="eastAsia"/>
                              <w:sz w:val="22"/>
                              <w:szCs w:val="22"/>
                            </w:rPr>
                            <w:t>☒</w:t>
                          </w:r>
                        </w:sdtContent>
                      </w:sdt>
                    </w:p>
                    <w:p w:rsidR="00136B75" w:rsidRDefault="00136B75" w:rsidP="00136B75">
                      <w:pPr>
                        <w:spacing w:line="360" w:lineRule="auto"/>
                        <w:rPr>
                          <w:rFonts w:ascii="Calibri" w:hAnsi="Calibri"/>
                          <w:sz w:val="22"/>
                          <w:szCs w:val="22"/>
                        </w:rPr>
                      </w:pPr>
                      <w:r w:rsidRPr="000D1B0D">
                        <w:rPr>
                          <w:rFonts w:ascii="Calibri" w:hAnsi="Calibri"/>
                          <w:sz w:val="22"/>
                          <w:szCs w:val="22"/>
                        </w:rPr>
                        <w:t>For Approval / Ratification</w:t>
                      </w:r>
                      <w:r w:rsidRPr="000D1B0D">
                        <w:rPr>
                          <w:rFonts w:ascii="Calibri" w:hAnsi="Calibri"/>
                          <w:sz w:val="22"/>
                          <w:szCs w:val="22"/>
                        </w:rPr>
                        <w:tab/>
                      </w:r>
                      <w:r w:rsidRPr="000D1B0D">
                        <w:rPr>
                          <w:rFonts w:ascii="Calibri" w:hAnsi="Calibri"/>
                          <w:sz w:val="22"/>
                          <w:szCs w:val="22"/>
                        </w:rPr>
                        <w:tab/>
                      </w:r>
                      <w:sdt>
                        <w:sdtPr>
                          <w:rPr>
                            <w:rFonts w:ascii="Calibri" w:hAnsi="Calibri"/>
                            <w:sz w:val="22"/>
                            <w:szCs w:val="22"/>
                          </w:rPr>
                          <w:id w:val="-1919546807"/>
                          <w14:checkbox>
                            <w14:checked w14:val="0"/>
                            <w14:checkedState w14:val="2612" w14:font="MS Gothic"/>
                            <w14:uncheckedState w14:val="2610" w14:font="MS Gothic"/>
                          </w14:checkbox>
                        </w:sdtPr>
                        <w:sdtEndPr/>
                        <w:sdtContent>
                          <w:r w:rsidR="00E402F3">
                            <w:rPr>
                              <w:rFonts w:ascii="MS Gothic" w:eastAsia="MS Gothic" w:hAnsi="MS Gothic" w:hint="eastAsia"/>
                              <w:sz w:val="22"/>
                              <w:szCs w:val="22"/>
                            </w:rPr>
                            <w:t>☐</w:t>
                          </w:r>
                        </w:sdtContent>
                      </w:sdt>
                    </w:p>
                    <w:p w:rsidR="00E402F3" w:rsidRPr="000D1B0D" w:rsidRDefault="00E402F3" w:rsidP="00136B75">
                      <w:pPr>
                        <w:spacing w:line="360" w:lineRule="auto"/>
                        <w:rPr>
                          <w:rFonts w:ascii="Calibri" w:hAnsi="Calibri"/>
                          <w:sz w:val="22"/>
                          <w:szCs w:val="22"/>
                        </w:rPr>
                      </w:pPr>
                      <w:r>
                        <w:rPr>
                          <w:rFonts w:ascii="Calibri" w:hAnsi="Calibri"/>
                          <w:sz w:val="22"/>
                          <w:szCs w:val="22"/>
                        </w:rPr>
                        <w:t>Report Exempt from Public Disclosure</w:t>
                      </w:r>
                      <w:r>
                        <w:rPr>
                          <w:rFonts w:ascii="Calibri" w:hAnsi="Calibri"/>
                          <w:sz w:val="22"/>
                          <w:szCs w:val="22"/>
                        </w:rPr>
                        <w:tab/>
                      </w:r>
                      <w:sdt>
                        <w:sdtPr>
                          <w:rPr>
                            <w:rFonts w:ascii="Calibri" w:hAnsi="Calibri"/>
                            <w:sz w:val="22"/>
                            <w:szCs w:val="22"/>
                          </w:rPr>
                          <w:id w:val="-1087532208"/>
                          <w14:checkbox>
                            <w14:checked w14:val="1"/>
                            <w14:checkedState w14:val="2612" w14:font="MS Gothic"/>
                            <w14:uncheckedState w14:val="2610" w14:font="MS Gothic"/>
                          </w14:checkbox>
                        </w:sdtPr>
                        <w:sdtEndPr/>
                        <w:sdtContent>
                          <w:r w:rsidR="00172A75">
                            <w:rPr>
                              <w:rFonts w:ascii="MS Gothic" w:eastAsia="MS Gothic" w:hAnsi="MS Gothic" w:hint="eastAsia"/>
                              <w:sz w:val="22"/>
                              <w:szCs w:val="22"/>
                            </w:rPr>
                            <w:t>☒</w:t>
                          </w:r>
                        </w:sdtContent>
                      </w:sdt>
                      <w:r w:rsidR="00BE7CCE">
                        <w:rPr>
                          <w:rFonts w:ascii="Calibri" w:hAnsi="Calibri"/>
                          <w:sz w:val="22"/>
                          <w:szCs w:val="22"/>
                        </w:rPr>
                        <w:t xml:space="preserve"> No</w:t>
                      </w:r>
                      <w:r>
                        <w:rPr>
                          <w:rFonts w:ascii="Calibri" w:hAnsi="Calibri"/>
                          <w:sz w:val="22"/>
                          <w:szCs w:val="22"/>
                        </w:rPr>
                        <w:tab/>
                      </w:r>
                      <w:sdt>
                        <w:sdtPr>
                          <w:rPr>
                            <w:rFonts w:ascii="Calibri" w:hAnsi="Calibri"/>
                            <w:sz w:val="22"/>
                            <w:szCs w:val="22"/>
                          </w:rPr>
                          <w:id w:val="335893428"/>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00BE7CCE">
                        <w:rPr>
                          <w:rFonts w:ascii="Calibri" w:hAnsi="Calibri"/>
                          <w:sz w:val="22"/>
                          <w:szCs w:val="22"/>
                        </w:rPr>
                        <w:t xml:space="preserve"> Yes</w:t>
                      </w:r>
                    </w:p>
                  </w:txbxContent>
                </v:textbox>
              </v:rect>
            </w:pict>
          </mc:Fallback>
        </mc:AlternateContent>
      </w: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136B75" w:rsidRDefault="00136B75" w:rsidP="00D3211A">
      <w:pPr>
        <w:pStyle w:val="Default"/>
        <w:jc w:val="both"/>
        <w:rPr>
          <w:rFonts w:ascii="Calibri" w:hAnsi="Calibri" w:cs="Calibri"/>
          <w:sz w:val="20"/>
          <w:szCs w:val="20"/>
        </w:rPr>
      </w:pPr>
    </w:p>
    <w:p w:rsidR="009D4EDC" w:rsidRDefault="009D4EDC" w:rsidP="00D3211A">
      <w:pPr>
        <w:pStyle w:val="Default"/>
        <w:jc w:val="both"/>
        <w:rPr>
          <w:rFonts w:ascii="Calibri" w:hAnsi="Calibri" w:cs="Calibri"/>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92"/>
        <w:gridCol w:w="6994"/>
        <w:gridCol w:w="1970"/>
      </w:tblGrid>
      <w:tr w:rsidR="009D4EDC" w:rsidRPr="000D1B0D" w:rsidTr="00144ED4">
        <w:tc>
          <w:tcPr>
            <w:tcW w:w="1183" w:type="pct"/>
            <w:tcBorders>
              <w:bottom w:val="single" w:sz="4" w:space="0" w:color="auto"/>
            </w:tcBorders>
            <w:shd w:val="clear" w:color="auto" w:fill="auto"/>
          </w:tcPr>
          <w:p w:rsidR="009D4EDC" w:rsidRDefault="009D4EDC" w:rsidP="009D4EDC">
            <w:pPr>
              <w:rPr>
                <w:rFonts w:ascii="Calibri" w:hAnsi="Calibri"/>
                <w:b/>
                <w:sz w:val="22"/>
                <w:szCs w:val="22"/>
              </w:rPr>
            </w:pPr>
            <w:r w:rsidRPr="000D1B0D">
              <w:rPr>
                <w:rFonts w:ascii="Calibri" w:hAnsi="Calibri"/>
                <w:b/>
                <w:sz w:val="22"/>
                <w:szCs w:val="22"/>
              </w:rPr>
              <w:t>PURPOSE OF REPORT:</w:t>
            </w:r>
          </w:p>
          <w:p w:rsidR="009D4EDC" w:rsidRPr="000D1B0D" w:rsidRDefault="009D4EDC" w:rsidP="00ED276A">
            <w:pPr>
              <w:pStyle w:val="NoSpacing"/>
              <w:rPr>
                <w:rFonts w:cs="Calibri"/>
                <w:b/>
                <w:sz w:val="20"/>
                <w:szCs w:val="20"/>
              </w:rPr>
            </w:pPr>
          </w:p>
        </w:tc>
        <w:tc>
          <w:tcPr>
            <w:tcW w:w="3817" w:type="pct"/>
            <w:gridSpan w:val="2"/>
            <w:shd w:val="clear" w:color="auto" w:fill="auto"/>
          </w:tcPr>
          <w:p w:rsidR="00E76606" w:rsidRPr="000D1B0D" w:rsidRDefault="00BD3456" w:rsidP="000D1B0D">
            <w:pPr>
              <w:pStyle w:val="Default"/>
              <w:jc w:val="both"/>
              <w:rPr>
                <w:rFonts w:ascii="Calibri" w:hAnsi="Calibri" w:cs="Calibri"/>
                <w:sz w:val="20"/>
                <w:szCs w:val="20"/>
              </w:rPr>
            </w:pPr>
            <w:r>
              <w:rPr>
                <w:rFonts w:ascii="Calibri" w:hAnsi="Calibri" w:cs="Calibri"/>
                <w:sz w:val="20"/>
                <w:szCs w:val="20"/>
              </w:rPr>
              <w:t>To provide an update on the financial position including the latest position with reg</w:t>
            </w:r>
            <w:r w:rsidR="00A41667">
              <w:rPr>
                <w:rFonts w:ascii="Calibri" w:hAnsi="Calibri" w:cs="Calibri"/>
                <w:sz w:val="20"/>
                <w:szCs w:val="20"/>
              </w:rPr>
              <w:t>ard to QIPP and the financial r</w:t>
            </w:r>
            <w:r>
              <w:rPr>
                <w:rFonts w:ascii="Calibri" w:hAnsi="Calibri" w:cs="Calibri"/>
                <w:sz w:val="20"/>
                <w:szCs w:val="20"/>
              </w:rPr>
              <w:t xml:space="preserve">isks that need to </w:t>
            </w:r>
            <w:proofErr w:type="gramStart"/>
            <w:r>
              <w:rPr>
                <w:rFonts w:ascii="Calibri" w:hAnsi="Calibri" w:cs="Calibri"/>
                <w:sz w:val="20"/>
                <w:szCs w:val="20"/>
              </w:rPr>
              <w:t>be managed</w:t>
            </w:r>
            <w:proofErr w:type="gramEnd"/>
            <w:r>
              <w:rPr>
                <w:rFonts w:ascii="Calibri" w:hAnsi="Calibri" w:cs="Calibri"/>
                <w:sz w:val="20"/>
                <w:szCs w:val="20"/>
              </w:rPr>
              <w:t xml:space="preserve"> in the remainder of the year.</w:t>
            </w:r>
          </w:p>
          <w:p w:rsidR="002054A0" w:rsidRPr="000D1B0D" w:rsidRDefault="002054A0" w:rsidP="000D1B0D">
            <w:pPr>
              <w:pStyle w:val="Default"/>
              <w:jc w:val="both"/>
              <w:rPr>
                <w:rFonts w:ascii="Calibri" w:hAnsi="Calibri" w:cs="Calibri"/>
                <w:sz w:val="20"/>
                <w:szCs w:val="20"/>
              </w:rPr>
            </w:pPr>
          </w:p>
        </w:tc>
      </w:tr>
      <w:tr w:rsidR="009D4EDC" w:rsidRPr="000D1B0D" w:rsidTr="00144ED4">
        <w:tc>
          <w:tcPr>
            <w:tcW w:w="1183" w:type="pct"/>
            <w:shd w:val="clear" w:color="auto" w:fill="595959"/>
          </w:tcPr>
          <w:p w:rsidR="009D4EDC" w:rsidRPr="000D1B0D" w:rsidRDefault="009D4EDC" w:rsidP="000D1B0D">
            <w:pPr>
              <w:pStyle w:val="Default"/>
              <w:jc w:val="both"/>
              <w:rPr>
                <w:rFonts w:ascii="Calibri" w:hAnsi="Calibri" w:cs="Calibri"/>
                <w:b/>
                <w:color w:val="FFFFFF"/>
                <w:sz w:val="20"/>
                <w:szCs w:val="20"/>
              </w:rPr>
            </w:pPr>
          </w:p>
          <w:p w:rsidR="009D4EDC" w:rsidRPr="000D1B0D" w:rsidRDefault="009D4EDC" w:rsidP="000D1B0D">
            <w:pPr>
              <w:pStyle w:val="Default"/>
              <w:jc w:val="both"/>
              <w:rPr>
                <w:rFonts w:ascii="Calibri" w:hAnsi="Calibri" w:cs="Calibri"/>
                <w:b/>
                <w:color w:val="FFFFFF"/>
                <w:sz w:val="20"/>
                <w:szCs w:val="20"/>
              </w:rPr>
            </w:pPr>
            <w:r w:rsidRPr="000D1B0D">
              <w:rPr>
                <w:rFonts w:ascii="Calibri" w:hAnsi="Calibri" w:cs="Calibri"/>
                <w:b/>
                <w:color w:val="FFFFFF"/>
                <w:sz w:val="20"/>
                <w:szCs w:val="20"/>
              </w:rPr>
              <w:t>Recommendations:</w:t>
            </w:r>
          </w:p>
        </w:tc>
        <w:tc>
          <w:tcPr>
            <w:tcW w:w="3817" w:type="pct"/>
            <w:gridSpan w:val="2"/>
            <w:shd w:val="clear" w:color="auto" w:fill="auto"/>
          </w:tcPr>
          <w:p w:rsidR="009D4EDC" w:rsidRDefault="00BD3456" w:rsidP="000D1B0D">
            <w:pPr>
              <w:pStyle w:val="Default"/>
              <w:jc w:val="both"/>
              <w:rPr>
                <w:rFonts w:ascii="Calibri" w:hAnsi="Calibri" w:cs="Calibri"/>
                <w:sz w:val="20"/>
                <w:szCs w:val="20"/>
              </w:rPr>
            </w:pPr>
            <w:r>
              <w:rPr>
                <w:rFonts w:ascii="Calibri" w:hAnsi="Calibri" w:cs="Calibri"/>
                <w:sz w:val="20"/>
                <w:szCs w:val="20"/>
              </w:rPr>
              <w:t>To note:</w:t>
            </w:r>
          </w:p>
          <w:p w:rsidR="00BD3456" w:rsidRDefault="00BD3456" w:rsidP="00BD3456">
            <w:pPr>
              <w:pStyle w:val="Default"/>
              <w:numPr>
                <w:ilvl w:val="0"/>
                <w:numId w:val="7"/>
              </w:numPr>
              <w:jc w:val="both"/>
              <w:rPr>
                <w:rFonts w:ascii="Calibri" w:hAnsi="Calibri" w:cs="Calibri"/>
                <w:sz w:val="20"/>
                <w:szCs w:val="20"/>
              </w:rPr>
            </w:pPr>
            <w:r>
              <w:rPr>
                <w:rFonts w:ascii="Calibri" w:hAnsi="Calibri" w:cs="Calibri"/>
                <w:sz w:val="20"/>
                <w:szCs w:val="20"/>
              </w:rPr>
              <w:t>The financial position as at January 2019</w:t>
            </w:r>
            <w:r w:rsidR="00A41667">
              <w:rPr>
                <w:rFonts w:ascii="Calibri" w:hAnsi="Calibri" w:cs="Calibri"/>
                <w:sz w:val="20"/>
                <w:szCs w:val="20"/>
              </w:rPr>
              <w:t xml:space="preserve"> </w:t>
            </w:r>
            <w:r w:rsidR="00267CA4">
              <w:rPr>
                <w:rFonts w:ascii="Calibri" w:hAnsi="Calibri" w:cs="Calibri"/>
                <w:sz w:val="20"/>
                <w:szCs w:val="20"/>
              </w:rPr>
              <w:t xml:space="preserve">which has been discussed at Delivery Assurance committee </w:t>
            </w:r>
            <w:r w:rsidR="00A41667">
              <w:rPr>
                <w:rFonts w:ascii="Calibri" w:hAnsi="Calibri" w:cs="Calibri"/>
                <w:sz w:val="20"/>
                <w:szCs w:val="20"/>
              </w:rPr>
              <w:t xml:space="preserve">and </w:t>
            </w:r>
            <w:r w:rsidR="00ED276A">
              <w:rPr>
                <w:rFonts w:ascii="Calibri" w:hAnsi="Calibri" w:cs="Calibri"/>
                <w:sz w:val="20"/>
                <w:szCs w:val="20"/>
              </w:rPr>
              <w:t xml:space="preserve">to note </w:t>
            </w:r>
            <w:r w:rsidR="00A41667">
              <w:rPr>
                <w:rFonts w:ascii="Calibri" w:hAnsi="Calibri" w:cs="Calibri"/>
                <w:sz w:val="20"/>
                <w:szCs w:val="20"/>
              </w:rPr>
              <w:t>any material changes in the February 2019 position</w:t>
            </w:r>
          </w:p>
          <w:p w:rsidR="00BD3456" w:rsidRDefault="00BD3456" w:rsidP="00BD3456">
            <w:pPr>
              <w:pStyle w:val="Default"/>
              <w:numPr>
                <w:ilvl w:val="0"/>
                <w:numId w:val="7"/>
              </w:numPr>
              <w:jc w:val="both"/>
              <w:rPr>
                <w:rFonts w:ascii="Calibri" w:hAnsi="Calibri" w:cs="Calibri"/>
                <w:sz w:val="20"/>
                <w:szCs w:val="20"/>
              </w:rPr>
            </w:pPr>
            <w:r>
              <w:rPr>
                <w:rFonts w:ascii="Calibri" w:hAnsi="Calibri" w:cs="Calibri"/>
                <w:sz w:val="20"/>
                <w:szCs w:val="20"/>
              </w:rPr>
              <w:t>The latest position with regard to QIPP</w:t>
            </w:r>
          </w:p>
          <w:p w:rsidR="009D4EDC" w:rsidRPr="00BD3456" w:rsidRDefault="00BD3456" w:rsidP="000D1B0D">
            <w:pPr>
              <w:pStyle w:val="Default"/>
              <w:numPr>
                <w:ilvl w:val="0"/>
                <w:numId w:val="7"/>
              </w:numPr>
              <w:jc w:val="both"/>
              <w:rPr>
                <w:rFonts w:ascii="Calibri" w:hAnsi="Calibri" w:cs="Calibri"/>
                <w:sz w:val="20"/>
                <w:szCs w:val="20"/>
              </w:rPr>
            </w:pPr>
            <w:r w:rsidRPr="00BD3456">
              <w:rPr>
                <w:rFonts w:ascii="Calibri" w:hAnsi="Calibri" w:cs="Calibri"/>
                <w:sz w:val="20"/>
                <w:szCs w:val="20"/>
              </w:rPr>
              <w:t xml:space="preserve">The financial risks that need to </w:t>
            </w:r>
            <w:proofErr w:type="gramStart"/>
            <w:r w:rsidRPr="00BD3456">
              <w:rPr>
                <w:rFonts w:ascii="Calibri" w:hAnsi="Calibri" w:cs="Calibri"/>
                <w:sz w:val="20"/>
                <w:szCs w:val="20"/>
              </w:rPr>
              <w:t>be managed</w:t>
            </w:r>
            <w:proofErr w:type="gramEnd"/>
            <w:r w:rsidRPr="00BD3456">
              <w:rPr>
                <w:rFonts w:ascii="Calibri" w:hAnsi="Calibri" w:cs="Calibri"/>
                <w:sz w:val="20"/>
                <w:szCs w:val="20"/>
              </w:rPr>
              <w:t xml:space="preserve"> in the remainder of the year and the actions being taken to mitigate them.</w:t>
            </w:r>
          </w:p>
          <w:p w:rsidR="009D4EDC" w:rsidRPr="000D1B0D" w:rsidRDefault="009D4EDC" w:rsidP="000D1B0D">
            <w:pPr>
              <w:pStyle w:val="Default"/>
              <w:jc w:val="both"/>
              <w:rPr>
                <w:rFonts w:ascii="Calibri" w:hAnsi="Calibri" w:cs="Calibri"/>
                <w:sz w:val="20"/>
                <w:szCs w:val="20"/>
              </w:rPr>
            </w:pPr>
          </w:p>
          <w:p w:rsidR="009D4EDC" w:rsidRPr="000D1B0D" w:rsidRDefault="009D4EDC" w:rsidP="000D1B0D">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711DA9" w:rsidP="009D4EDC">
            <w:pPr>
              <w:pStyle w:val="Default"/>
              <w:rPr>
                <w:rFonts w:ascii="Calibri" w:hAnsi="Calibri" w:cs="Calibri"/>
                <w:b/>
                <w:sz w:val="20"/>
                <w:szCs w:val="20"/>
              </w:rPr>
            </w:pPr>
            <w:r>
              <w:rPr>
                <w:rFonts w:ascii="Calibri" w:hAnsi="Calibri" w:cs="Calibri"/>
                <w:b/>
                <w:sz w:val="20"/>
                <w:szCs w:val="20"/>
              </w:rPr>
              <w:t>C</w:t>
            </w:r>
            <w:r w:rsidR="009D4EDC" w:rsidRPr="000D1B0D">
              <w:rPr>
                <w:rFonts w:ascii="Calibri" w:hAnsi="Calibri" w:cs="Calibri"/>
                <w:b/>
                <w:sz w:val="20"/>
                <w:szCs w:val="20"/>
              </w:rPr>
              <w:t>ommittee Process and Assurance:</w:t>
            </w:r>
          </w:p>
          <w:p w:rsidR="009D4EDC" w:rsidRPr="00046B77" w:rsidRDefault="009D4EDC" w:rsidP="00046B77">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46EFA" w:rsidRDefault="00BD3456" w:rsidP="000D1B0D">
            <w:pPr>
              <w:pStyle w:val="Default"/>
              <w:jc w:val="both"/>
              <w:rPr>
                <w:rFonts w:ascii="Calibri" w:hAnsi="Calibri" w:cs="Calibri"/>
                <w:sz w:val="20"/>
                <w:szCs w:val="20"/>
              </w:rPr>
            </w:pPr>
            <w:r>
              <w:rPr>
                <w:rFonts w:ascii="Calibri" w:hAnsi="Calibri" w:cs="Calibri"/>
                <w:sz w:val="20"/>
                <w:szCs w:val="20"/>
              </w:rPr>
              <w:t xml:space="preserve">A more detailed version of this report </w:t>
            </w:r>
            <w:proofErr w:type="gramStart"/>
            <w:r>
              <w:rPr>
                <w:rFonts w:ascii="Calibri" w:hAnsi="Calibri" w:cs="Calibri"/>
                <w:sz w:val="20"/>
                <w:szCs w:val="20"/>
              </w:rPr>
              <w:t>was taken to and discussed at the Delivery Assurance Committee on the 27</w:t>
            </w:r>
            <w:r w:rsidRPr="00BD3456">
              <w:rPr>
                <w:rFonts w:ascii="Calibri" w:hAnsi="Calibri" w:cs="Calibri"/>
                <w:sz w:val="20"/>
                <w:szCs w:val="20"/>
                <w:vertAlign w:val="superscript"/>
              </w:rPr>
              <w:t>th</w:t>
            </w:r>
            <w:r>
              <w:rPr>
                <w:rFonts w:ascii="Calibri" w:hAnsi="Calibri" w:cs="Calibri"/>
                <w:sz w:val="20"/>
                <w:szCs w:val="20"/>
              </w:rPr>
              <w:t xml:space="preserve"> February 2019</w:t>
            </w:r>
            <w:proofErr w:type="gramEnd"/>
            <w:r>
              <w:rPr>
                <w:rFonts w:ascii="Calibri" w:hAnsi="Calibri" w:cs="Calibri"/>
                <w:sz w:val="20"/>
                <w:szCs w:val="20"/>
              </w:rPr>
              <w:t>.</w:t>
            </w:r>
          </w:p>
          <w:p w:rsidR="00144ED4" w:rsidRDefault="00144ED4" w:rsidP="000D1B0D">
            <w:pPr>
              <w:pStyle w:val="Default"/>
              <w:jc w:val="both"/>
              <w:rPr>
                <w:rFonts w:ascii="Calibri" w:hAnsi="Calibri" w:cs="Calibri"/>
                <w:sz w:val="20"/>
                <w:szCs w:val="20"/>
              </w:rPr>
            </w:pPr>
          </w:p>
          <w:p w:rsidR="00144ED4" w:rsidRPr="000D1B0D" w:rsidRDefault="00144ED4" w:rsidP="000D1B0D">
            <w:pPr>
              <w:pStyle w:val="Default"/>
              <w:jc w:val="both"/>
              <w:rPr>
                <w:rFonts w:ascii="Calibri" w:hAnsi="Calibri" w:cs="Calibri"/>
                <w:sz w:val="20"/>
                <w:szCs w:val="20"/>
              </w:rPr>
            </w:pPr>
          </w:p>
        </w:tc>
      </w:tr>
      <w:tr w:rsidR="00473CC5" w:rsidRPr="000D1B0D" w:rsidTr="00144ED4">
        <w:tc>
          <w:tcPr>
            <w:tcW w:w="1183" w:type="pct"/>
            <w:shd w:val="clear" w:color="auto" w:fill="D9D9D9"/>
          </w:tcPr>
          <w:p w:rsidR="00473CC5" w:rsidRPr="000D1B0D" w:rsidRDefault="00473CC5" w:rsidP="009D4EDC">
            <w:pPr>
              <w:pStyle w:val="Default"/>
              <w:rPr>
                <w:rFonts w:ascii="Calibri" w:hAnsi="Calibri" w:cs="Calibri"/>
                <w:b/>
                <w:i/>
                <w:sz w:val="20"/>
                <w:szCs w:val="20"/>
              </w:rPr>
            </w:pPr>
            <w:r w:rsidRPr="000D1B0D">
              <w:rPr>
                <w:rFonts w:ascii="Calibri" w:hAnsi="Calibri" w:cs="Calibri"/>
                <w:b/>
                <w:i/>
                <w:sz w:val="20"/>
                <w:szCs w:val="20"/>
              </w:rPr>
              <w:t>Implications:</w:t>
            </w:r>
          </w:p>
        </w:tc>
        <w:tc>
          <w:tcPr>
            <w:tcW w:w="3817" w:type="pct"/>
            <w:gridSpan w:val="2"/>
            <w:shd w:val="clear" w:color="auto" w:fill="D9D9D9"/>
          </w:tcPr>
          <w:p w:rsidR="00473CC5" w:rsidRPr="000D1B0D" w:rsidRDefault="00473CC5" w:rsidP="000D1B0D">
            <w:pPr>
              <w:pStyle w:val="Default"/>
              <w:jc w:val="both"/>
              <w:rPr>
                <w:rFonts w:ascii="Calibri" w:hAnsi="Calibri" w:cs="Calibri"/>
                <w:sz w:val="20"/>
                <w:szCs w:val="20"/>
              </w:rPr>
            </w:pPr>
          </w:p>
        </w:tc>
      </w:tr>
      <w:tr w:rsidR="007E1C2F" w:rsidRPr="000D1B0D" w:rsidTr="004458C3">
        <w:trPr>
          <w:trHeight w:val="928"/>
        </w:trPr>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Risk Assurance Framework</w:t>
            </w:r>
            <w:r w:rsidR="00246EFA">
              <w:rPr>
                <w:rFonts w:ascii="Calibri" w:hAnsi="Calibri" w:cs="Calibri"/>
                <w:b/>
                <w:sz w:val="20"/>
                <w:szCs w:val="20"/>
              </w:rPr>
              <w:t xml:space="preserve"> Implications</w:t>
            </w:r>
            <w:r w:rsidRPr="000D1B0D">
              <w:rPr>
                <w:rFonts w:ascii="Calibri" w:hAnsi="Calibri" w:cs="Calibri"/>
                <w:b/>
                <w:sz w:val="20"/>
                <w:szCs w:val="20"/>
              </w:rPr>
              <w:t>:</w:t>
            </w:r>
          </w:p>
          <w:p w:rsidR="007E1C2F" w:rsidRPr="00E73B61" w:rsidRDefault="007E1C2F" w:rsidP="009D4EDC">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144ED4" w:rsidRPr="000D1B0D" w:rsidRDefault="00ED276A" w:rsidP="000D1B0D">
            <w:pPr>
              <w:pStyle w:val="Default"/>
              <w:jc w:val="both"/>
              <w:rPr>
                <w:rFonts w:ascii="Calibri" w:hAnsi="Calibri" w:cs="Calibri"/>
                <w:sz w:val="20"/>
                <w:szCs w:val="20"/>
              </w:rPr>
            </w:pPr>
            <w:r w:rsidRPr="00ED276A">
              <w:rPr>
                <w:rFonts w:ascii="Calibri" w:hAnsi="Calibri" w:cs="Calibri"/>
                <w:sz w:val="20"/>
                <w:szCs w:val="20"/>
              </w:rPr>
              <w:t>The risk associated with the deliverability of the NLAG QIPP schemes is included on the CCGs risk register</w:t>
            </w:r>
          </w:p>
        </w:tc>
      </w:tr>
      <w:tr w:rsidR="007E1C2F" w:rsidRPr="000D1B0D" w:rsidTr="00144ED4">
        <w:tc>
          <w:tcPr>
            <w:tcW w:w="1183" w:type="pct"/>
            <w:shd w:val="clear" w:color="auto" w:fill="auto"/>
          </w:tcPr>
          <w:p w:rsidR="007E1C2F" w:rsidRPr="000D1B0D" w:rsidRDefault="007E1C2F" w:rsidP="009D4EDC">
            <w:pPr>
              <w:pStyle w:val="Default"/>
              <w:rPr>
                <w:rFonts w:ascii="Calibri" w:hAnsi="Calibri" w:cs="Calibri"/>
                <w:b/>
                <w:sz w:val="20"/>
                <w:szCs w:val="20"/>
              </w:rPr>
            </w:pPr>
            <w:r w:rsidRPr="000D1B0D">
              <w:rPr>
                <w:rFonts w:ascii="Calibri" w:hAnsi="Calibri" w:cs="Calibri"/>
                <w:b/>
                <w:sz w:val="20"/>
                <w:szCs w:val="20"/>
              </w:rPr>
              <w:t>Legal Implications:</w:t>
            </w:r>
          </w:p>
          <w:p w:rsidR="00D42959" w:rsidRPr="00E73B61" w:rsidRDefault="00D42959" w:rsidP="004458C3">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p w:rsidR="002054A0" w:rsidRPr="000D1B0D" w:rsidRDefault="00BD3456" w:rsidP="000D1B0D">
            <w:pPr>
              <w:pStyle w:val="Default"/>
              <w:jc w:val="both"/>
              <w:rPr>
                <w:rFonts w:ascii="Calibri" w:hAnsi="Calibri" w:cs="Calibri"/>
                <w:sz w:val="20"/>
                <w:szCs w:val="20"/>
              </w:rPr>
            </w:pPr>
            <w:r>
              <w:rPr>
                <w:rFonts w:ascii="Calibri" w:hAnsi="Calibri" w:cs="Calibri"/>
                <w:sz w:val="20"/>
                <w:szCs w:val="20"/>
              </w:rPr>
              <w:t>None</w:t>
            </w:r>
          </w:p>
        </w:tc>
      </w:tr>
      <w:tr w:rsidR="00ED276A" w:rsidRPr="000D1B0D" w:rsidTr="002C32CC">
        <w:trPr>
          <w:trHeight w:val="123"/>
        </w:trPr>
        <w:tc>
          <w:tcPr>
            <w:tcW w:w="1183" w:type="pct"/>
            <w:vMerge w:val="restart"/>
            <w:shd w:val="clear" w:color="auto" w:fill="auto"/>
          </w:tcPr>
          <w:p w:rsidR="002C32CC" w:rsidRPr="000D1B0D" w:rsidRDefault="002C32CC" w:rsidP="009D4EDC">
            <w:pPr>
              <w:pStyle w:val="Default"/>
              <w:rPr>
                <w:rFonts w:ascii="Calibri" w:hAnsi="Calibri" w:cs="Calibri"/>
                <w:b/>
                <w:sz w:val="20"/>
                <w:szCs w:val="20"/>
              </w:rPr>
            </w:pPr>
            <w:r>
              <w:rPr>
                <w:rFonts w:ascii="Calibri" w:hAnsi="Calibri" w:cs="Calibri"/>
                <w:b/>
                <w:sz w:val="20"/>
                <w:szCs w:val="20"/>
              </w:rPr>
              <w:t>Data Protection Impact Assessment implications</w:t>
            </w:r>
            <w:r w:rsidR="00DA7A50">
              <w:rPr>
                <w:rFonts w:ascii="Calibri" w:hAnsi="Calibri" w:cs="Calibri"/>
                <w:b/>
                <w:sz w:val="20"/>
                <w:szCs w:val="20"/>
              </w:rPr>
              <w:t xml:space="preserve"> (DPIA)</w:t>
            </w:r>
            <w:r>
              <w:rPr>
                <w:rFonts w:ascii="Calibri" w:hAnsi="Calibri" w:cs="Calibri"/>
                <w:b/>
                <w:sz w:val="20"/>
                <w:szCs w:val="20"/>
              </w:rPr>
              <w:t>:</w:t>
            </w:r>
          </w:p>
        </w:tc>
        <w:tc>
          <w:tcPr>
            <w:tcW w:w="2966" w:type="pct"/>
            <w:shd w:val="clear" w:color="auto" w:fill="auto"/>
          </w:tcPr>
          <w:p w:rsidR="002C32CC" w:rsidRPr="002C32CC" w:rsidRDefault="002C32CC" w:rsidP="00AB4FF6">
            <w:pPr>
              <w:pStyle w:val="Default"/>
              <w:rPr>
                <w:rFonts w:ascii="Calibri" w:hAnsi="Calibri" w:cs="Calibri"/>
                <w:sz w:val="20"/>
                <w:szCs w:val="20"/>
              </w:rPr>
            </w:pPr>
            <w:r>
              <w:rPr>
                <w:rFonts w:ascii="Calibri" w:hAnsi="Calibri" w:cs="Calibri"/>
                <w:sz w:val="20"/>
                <w:szCs w:val="20"/>
              </w:rPr>
              <w:t xml:space="preserve">Are you implementing a new system, data sharing arrangement, project, </w:t>
            </w:r>
            <w:proofErr w:type="gramStart"/>
            <w:r>
              <w:rPr>
                <w:rFonts w:ascii="Calibri" w:hAnsi="Calibri" w:cs="Calibri"/>
                <w:sz w:val="20"/>
                <w:szCs w:val="20"/>
              </w:rPr>
              <w:t>service</w:t>
            </w:r>
            <w:proofErr w:type="gramEnd"/>
            <w:r>
              <w:rPr>
                <w:rFonts w:ascii="Calibri" w:hAnsi="Calibri" w:cs="Calibri"/>
                <w:sz w:val="20"/>
                <w:szCs w:val="20"/>
              </w:rPr>
              <w:t xml:space="preserve"> redesign or changing the way you work?</w:t>
            </w:r>
          </w:p>
        </w:tc>
        <w:sdt>
          <w:sdtPr>
            <w:rPr>
              <w:rFonts w:ascii="Calibri" w:hAnsi="Calibri" w:cs="Calibri"/>
              <w:b/>
              <w:sz w:val="20"/>
              <w:szCs w:val="20"/>
            </w:rPr>
            <w:alias w:val="Auto check"/>
            <w:tag w:val="Auto check"/>
            <w:id w:val="-2029327276"/>
            <w:placeholder>
              <w:docPart w:val="0146071C1414426F925DEB63060F4E98"/>
            </w:placeholder>
            <w:dropDownList>
              <w:listItem w:value="Choose an item."/>
              <w:listItem w:displayText="Yes" w:value="Yes"/>
              <w:listItem w:displayText="No" w:value="No"/>
            </w:dropDownList>
          </w:sdtPr>
          <w:sdtEndPr/>
          <w:sdtContent>
            <w:tc>
              <w:tcPr>
                <w:tcW w:w="851" w:type="pct"/>
                <w:shd w:val="clear" w:color="auto" w:fill="auto"/>
              </w:tcPr>
              <w:p w:rsidR="002C32CC" w:rsidRPr="00AB4FF6" w:rsidRDefault="00BD3456" w:rsidP="00AB4FF6">
                <w:pPr>
                  <w:pStyle w:val="Default"/>
                  <w:rPr>
                    <w:rFonts w:ascii="Calibri" w:hAnsi="Calibri" w:cs="Calibri"/>
                    <w:b/>
                    <w:sz w:val="20"/>
                    <w:szCs w:val="20"/>
                  </w:rPr>
                </w:pPr>
                <w:r>
                  <w:rPr>
                    <w:rFonts w:ascii="Calibri" w:hAnsi="Calibri" w:cs="Calibri"/>
                    <w:b/>
                    <w:sz w:val="20"/>
                    <w:szCs w:val="20"/>
                  </w:rPr>
                  <w:t>No</w:t>
                </w:r>
              </w:p>
            </w:tc>
          </w:sdtContent>
        </w:sdt>
      </w:tr>
      <w:tr w:rsidR="00ED276A"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DA7A50" w:rsidRDefault="00DA7A50" w:rsidP="00AB4FF6">
            <w:pPr>
              <w:pStyle w:val="Default"/>
              <w:rPr>
                <w:rFonts w:ascii="Calibri" w:hAnsi="Calibri" w:cs="Calibri"/>
                <w:sz w:val="20"/>
                <w:szCs w:val="20"/>
              </w:rPr>
            </w:pPr>
            <w:r w:rsidRPr="00DA7A50">
              <w:rPr>
                <w:rFonts w:ascii="Calibri" w:hAnsi="Calibri" w:cs="Calibri"/>
                <w:sz w:val="20"/>
                <w:szCs w:val="20"/>
              </w:rPr>
              <w:t xml:space="preserve">If yes to </w:t>
            </w:r>
            <w:r w:rsidR="00E763D6">
              <w:rPr>
                <w:rFonts w:ascii="Calibri" w:hAnsi="Calibri" w:cs="Calibri"/>
                <w:sz w:val="20"/>
                <w:szCs w:val="20"/>
              </w:rPr>
              <w:t xml:space="preserve">the </w:t>
            </w:r>
            <w:r w:rsidRPr="00DA7A50">
              <w:rPr>
                <w:rFonts w:ascii="Calibri" w:hAnsi="Calibri" w:cs="Calibri"/>
                <w:sz w:val="20"/>
                <w:szCs w:val="20"/>
              </w:rPr>
              <w:t xml:space="preserve">above – </w:t>
            </w:r>
            <w:proofErr w:type="gramStart"/>
            <w:r w:rsidRPr="00DA7A50">
              <w:rPr>
                <w:rFonts w:ascii="Calibri" w:hAnsi="Calibri" w:cs="Calibri"/>
                <w:sz w:val="20"/>
                <w:szCs w:val="20"/>
              </w:rPr>
              <w:t xml:space="preserve">have the </w:t>
            </w:r>
            <w:r>
              <w:rPr>
                <w:rFonts w:ascii="Calibri" w:hAnsi="Calibri" w:cs="Calibri"/>
                <w:sz w:val="20"/>
                <w:szCs w:val="20"/>
              </w:rPr>
              <w:t xml:space="preserve">DPIA </w:t>
            </w:r>
            <w:r w:rsidRPr="00DA7A50">
              <w:rPr>
                <w:rFonts w:ascii="Calibri" w:hAnsi="Calibri" w:cs="Calibri"/>
                <w:sz w:val="20"/>
                <w:szCs w:val="20"/>
              </w:rPr>
              <w:t>screening questions been completed</w:t>
            </w:r>
            <w:proofErr w:type="gramEnd"/>
            <w:r w:rsidRPr="00DA7A50">
              <w:rPr>
                <w:rFonts w:ascii="Calibri" w:hAnsi="Calibri" w:cs="Calibri"/>
                <w:sz w:val="20"/>
                <w:szCs w:val="20"/>
              </w:rPr>
              <w:t>?</w:t>
            </w:r>
          </w:p>
        </w:tc>
        <w:tc>
          <w:tcPr>
            <w:tcW w:w="851" w:type="pct"/>
            <w:shd w:val="clear" w:color="auto" w:fill="auto"/>
          </w:tcPr>
          <w:p w:rsidR="002C32CC" w:rsidRPr="00AB4FF6" w:rsidRDefault="002C32CC" w:rsidP="00AB4FF6">
            <w:pPr>
              <w:pStyle w:val="Default"/>
              <w:rPr>
                <w:rFonts w:ascii="Calibri" w:hAnsi="Calibri" w:cs="Calibri"/>
                <w:b/>
                <w:sz w:val="20"/>
                <w:szCs w:val="20"/>
              </w:rPr>
            </w:pPr>
          </w:p>
        </w:tc>
      </w:tr>
      <w:tr w:rsidR="00ED276A"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DA7A50" w:rsidP="00AB4FF6">
            <w:pPr>
              <w:pStyle w:val="Default"/>
              <w:rPr>
                <w:rFonts w:ascii="Calibri" w:hAnsi="Calibri" w:cs="Calibri"/>
                <w:sz w:val="20"/>
                <w:szCs w:val="20"/>
              </w:rPr>
            </w:pPr>
            <w:r w:rsidRPr="00E763D6">
              <w:rPr>
                <w:rFonts w:ascii="Calibri" w:hAnsi="Calibri" w:cs="Calibri"/>
                <w:sz w:val="20"/>
                <w:szCs w:val="20"/>
              </w:rPr>
              <w:t xml:space="preserve">Does this project involve the processing </w:t>
            </w:r>
            <w:r w:rsidR="00E763D6">
              <w:rPr>
                <w:rFonts w:ascii="Calibri" w:hAnsi="Calibri" w:cs="Calibri"/>
                <w:sz w:val="20"/>
                <w:szCs w:val="20"/>
              </w:rPr>
              <w:t xml:space="preserve">of personally identifiable or other </w:t>
            </w:r>
            <w:proofErr w:type="gramStart"/>
            <w:r w:rsidR="00E763D6">
              <w:rPr>
                <w:rFonts w:ascii="Calibri" w:hAnsi="Calibri" w:cs="Calibri"/>
                <w:sz w:val="20"/>
                <w:szCs w:val="20"/>
              </w:rPr>
              <w:t>high risk</w:t>
            </w:r>
            <w:proofErr w:type="gramEnd"/>
            <w:r w:rsidR="00E763D6">
              <w:rPr>
                <w:rFonts w:ascii="Calibri" w:hAnsi="Calibri" w:cs="Calibri"/>
                <w:sz w:val="20"/>
                <w:szCs w:val="20"/>
              </w:rPr>
              <w:t xml:space="preserve"> data?</w:t>
            </w:r>
          </w:p>
        </w:tc>
        <w:sdt>
          <w:sdtPr>
            <w:rPr>
              <w:rFonts w:ascii="Calibri" w:hAnsi="Calibri" w:cs="Calibri"/>
              <w:b/>
              <w:sz w:val="20"/>
              <w:szCs w:val="20"/>
            </w:rPr>
            <w:alias w:val="Auto check"/>
            <w:tag w:val="Auto check"/>
            <w:id w:val="-1097321276"/>
            <w:placeholder>
              <w:docPart w:val="C4AB961EECCF4A3AA4054559838E24CC"/>
            </w:placeholder>
            <w:comboBox>
              <w:listItem w:value="Choose an item."/>
              <w:listItem w:displayText="Yes" w:value="Yes"/>
              <w:listItem w:displayText="No" w:value="No"/>
            </w:comboBox>
          </w:sdtPr>
          <w:sdtEndPr/>
          <w:sdtContent>
            <w:tc>
              <w:tcPr>
                <w:tcW w:w="851" w:type="pct"/>
                <w:shd w:val="clear" w:color="auto" w:fill="auto"/>
              </w:tcPr>
              <w:p w:rsidR="002C32CC" w:rsidRPr="00AB4FF6" w:rsidRDefault="00BD3456" w:rsidP="00AB4FF6">
                <w:pPr>
                  <w:pStyle w:val="Default"/>
                  <w:rPr>
                    <w:rFonts w:ascii="Calibri" w:hAnsi="Calibri" w:cs="Calibri"/>
                    <w:b/>
                    <w:sz w:val="20"/>
                    <w:szCs w:val="20"/>
                  </w:rPr>
                </w:pPr>
                <w:r>
                  <w:rPr>
                    <w:rFonts w:ascii="Calibri" w:hAnsi="Calibri" w:cs="Calibri"/>
                    <w:b/>
                    <w:sz w:val="20"/>
                    <w:szCs w:val="20"/>
                  </w:rPr>
                  <w:t>No</w:t>
                </w:r>
              </w:p>
            </w:tc>
          </w:sdtContent>
        </w:sdt>
      </w:tr>
      <w:tr w:rsidR="00ED276A" w:rsidRPr="000D1B0D" w:rsidTr="002C32CC">
        <w:trPr>
          <w:trHeight w:val="123"/>
        </w:trPr>
        <w:tc>
          <w:tcPr>
            <w:tcW w:w="1183" w:type="pct"/>
            <w:vMerge/>
            <w:shd w:val="clear" w:color="auto" w:fill="auto"/>
          </w:tcPr>
          <w:p w:rsidR="002C32CC" w:rsidRDefault="002C32CC" w:rsidP="009D4EDC">
            <w:pPr>
              <w:pStyle w:val="Default"/>
              <w:rPr>
                <w:rFonts w:ascii="Calibri" w:hAnsi="Calibri" w:cs="Calibri"/>
                <w:b/>
                <w:sz w:val="20"/>
                <w:szCs w:val="20"/>
              </w:rPr>
            </w:pPr>
          </w:p>
        </w:tc>
        <w:tc>
          <w:tcPr>
            <w:tcW w:w="2966" w:type="pct"/>
            <w:shd w:val="clear" w:color="auto" w:fill="auto"/>
          </w:tcPr>
          <w:p w:rsidR="002C32CC" w:rsidRPr="00E763D6" w:rsidRDefault="00E763D6" w:rsidP="00AB4FF6">
            <w:pPr>
              <w:pStyle w:val="Default"/>
              <w:rPr>
                <w:rFonts w:ascii="Calibri" w:hAnsi="Calibri" w:cs="Calibri"/>
                <w:sz w:val="20"/>
                <w:szCs w:val="20"/>
              </w:rPr>
            </w:pPr>
            <w:r w:rsidRPr="00E763D6">
              <w:rPr>
                <w:rFonts w:ascii="Calibri" w:hAnsi="Calibri" w:cs="Calibri"/>
                <w:sz w:val="20"/>
                <w:szCs w:val="20"/>
              </w:rPr>
              <w:t xml:space="preserve">If yes to the </w:t>
            </w:r>
            <w:proofErr w:type="gramStart"/>
            <w:r w:rsidRPr="00E763D6">
              <w:rPr>
                <w:rFonts w:ascii="Calibri" w:hAnsi="Calibri" w:cs="Calibri"/>
                <w:sz w:val="20"/>
                <w:szCs w:val="20"/>
              </w:rPr>
              <w:t>above</w:t>
            </w:r>
            <w:proofErr w:type="gramEnd"/>
            <w:r w:rsidR="00E912FC">
              <w:rPr>
                <w:rFonts w:ascii="Calibri" w:hAnsi="Calibri" w:cs="Calibri"/>
                <w:sz w:val="20"/>
                <w:szCs w:val="20"/>
              </w:rPr>
              <w:t xml:space="preserve"> has a DPIA been completed and approved?</w:t>
            </w:r>
          </w:p>
        </w:tc>
        <w:tc>
          <w:tcPr>
            <w:tcW w:w="851" w:type="pct"/>
            <w:shd w:val="clear" w:color="auto" w:fill="auto"/>
          </w:tcPr>
          <w:p w:rsidR="002C32CC" w:rsidRPr="00AB4FF6" w:rsidRDefault="002C32CC" w:rsidP="00AB4FF6">
            <w:pPr>
              <w:pStyle w:val="Default"/>
              <w:rPr>
                <w:rFonts w:ascii="Calibri" w:hAnsi="Calibri" w:cs="Calibri"/>
                <w:b/>
                <w:sz w:val="20"/>
                <w:szCs w:val="20"/>
              </w:rPr>
            </w:pPr>
          </w:p>
        </w:tc>
      </w:tr>
      <w:tr w:rsidR="007E1C2F" w:rsidRPr="000D1B0D" w:rsidTr="00144ED4">
        <w:tc>
          <w:tcPr>
            <w:tcW w:w="1183" w:type="pct"/>
            <w:shd w:val="clear" w:color="auto" w:fill="auto"/>
          </w:tcPr>
          <w:p w:rsidR="007E1C2F" w:rsidRPr="000D1B0D" w:rsidRDefault="00473CC5" w:rsidP="009D4EDC">
            <w:pPr>
              <w:pStyle w:val="Default"/>
              <w:rPr>
                <w:rFonts w:ascii="Calibri" w:hAnsi="Calibri" w:cs="Calibri"/>
                <w:b/>
                <w:sz w:val="20"/>
                <w:szCs w:val="20"/>
              </w:rPr>
            </w:pPr>
            <w:r w:rsidRPr="000D1B0D">
              <w:rPr>
                <w:rFonts w:ascii="Calibri" w:hAnsi="Calibri" w:cs="Calibri"/>
                <w:b/>
                <w:sz w:val="20"/>
                <w:szCs w:val="20"/>
              </w:rPr>
              <w:t>Equality Impact Assessment implications:</w:t>
            </w:r>
          </w:p>
          <w:p w:rsidR="00473CC5" w:rsidRPr="00E73B61" w:rsidRDefault="00473CC5" w:rsidP="009D4EDC">
            <w:pPr>
              <w:pStyle w:val="Default"/>
              <w:rPr>
                <w:rFonts w:ascii="Calibri" w:hAnsi="Calibri" w:cs="Calibri"/>
                <w:sz w:val="20"/>
                <w:szCs w:val="20"/>
              </w:rPr>
            </w:pPr>
          </w:p>
        </w:tc>
        <w:tc>
          <w:tcPr>
            <w:tcW w:w="3817" w:type="pct"/>
            <w:gridSpan w:val="2"/>
            <w:shd w:val="clear" w:color="auto" w:fill="auto"/>
          </w:tcPr>
          <w:p w:rsidR="00AB645B" w:rsidRDefault="00AB645B" w:rsidP="00E73B61">
            <w:pPr>
              <w:pStyle w:val="Default"/>
              <w:jc w:val="both"/>
              <w:rPr>
                <w:rFonts w:ascii="Calibri" w:hAnsi="Calibri" w:cs="Calibri"/>
                <w:sz w:val="20"/>
                <w:szCs w:val="20"/>
              </w:rPr>
            </w:pPr>
          </w:p>
          <w:p w:rsidR="007405E7" w:rsidRPr="007405E7" w:rsidRDefault="00AB645B" w:rsidP="00E73B61">
            <w:pPr>
              <w:pStyle w:val="Default"/>
              <w:jc w:val="both"/>
              <w:rPr>
                <w:rFonts w:ascii="Calibri" w:hAnsi="Calibri" w:cs="Calibri"/>
                <w:sz w:val="20"/>
                <w:szCs w:val="20"/>
              </w:rPr>
            </w:pPr>
            <w:r>
              <w:rPr>
                <w:rFonts w:ascii="Calibri" w:hAnsi="Calibri" w:cs="Calibri"/>
                <w:sz w:val="20"/>
                <w:szCs w:val="20"/>
              </w:rPr>
              <w:t xml:space="preserve">An Equality Impact Analysis/Assessment is not required for this report                                                  </w:t>
            </w:r>
            <w:sdt>
              <w:sdtPr>
                <w:rPr>
                  <w:rFonts w:ascii="Calibri" w:hAnsi="Calibri" w:cs="Calibri"/>
                  <w:sz w:val="20"/>
                  <w:szCs w:val="20"/>
                </w:rPr>
                <w:id w:val="1967159954"/>
                <w14:checkbox>
                  <w14:checked w14:val="1"/>
                  <w14:checkedState w14:val="2612" w14:font="MS Gothic"/>
                  <w14:uncheckedState w14:val="2610" w14:font="MS Gothic"/>
                </w14:checkbox>
              </w:sdtPr>
              <w:sdtEndPr/>
              <w:sdtContent>
                <w:r w:rsidR="00BD3456">
                  <w:rPr>
                    <w:rFonts w:ascii="MS Gothic" w:eastAsia="MS Gothic" w:hAnsi="MS Gothic" w:cs="Calibri" w:hint="eastAsia"/>
                    <w:sz w:val="20"/>
                    <w:szCs w:val="20"/>
                  </w:rPr>
                  <w:t>☒</w:t>
                </w:r>
              </w:sdtContent>
            </w:sdt>
          </w:p>
          <w:p w:rsidR="00AB645B" w:rsidRPr="00AB645B" w:rsidRDefault="00AB645B" w:rsidP="00E73B61">
            <w:pPr>
              <w:pStyle w:val="Default"/>
              <w:jc w:val="both"/>
              <w:rPr>
                <w:rFonts w:ascii="Calibri" w:hAnsi="Calibri" w:cs="Calibri"/>
                <w:sz w:val="20"/>
                <w:szCs w:val="20"/>
              </w:rPr>
            </w:pPr>
          </w:p>
        </w:tc>
      </w:tr>
      <w:tr w:rsidR="00473CC5" w:rsidRPr="000D1B0D" w:rsidTr="00713215">
        <w:trPr>
          <w:trHeight w:val="9197"/>
        </w:trPr>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lastRenderedPageBreak/>
              <w:t>Finance Implications:</w:t>
            </w:r>
          </w:p>
          <w:p w:rsidR="00473CC5" w:rsidRPr="00F300A1" w:rsidRDefault="00473CC5" w:rsidP="009D4EDC">
            <w:pPr>
              <w:pStyle w:val="Default"/>
              <w:rPr>
                <w:rFonts w:ascii="Calibri" w:hAnsi="Calibri" w:cs="Calibri"/>
                <w:i/>
                <w:sz w:val="20"/>
                <w:szCs w:val="20"/>
              </w:rPr>
            </w:pPr>
          </w:p>
        </w:tc>
        <w:tc>
          <w:tcPr>
            <w:tcW w:w="3817" w:type="pct"/>
            <w:gridSpan w:val="2"/>
            <w:shd w:val="clear" w:color="auto" w:fill="auto"/>
          </w:tcPr>
          <w:p w:rsidR="00246EFA" w:rsidRDefault="00246EFA" w:rsidP="000D1B0D">
            <w:pPr>
              <w:pStyle w:val="Default"/>
              <w:jc w:val="both"/>
              <w:rPr>
                <w:rFonts w:ascii="Calibri" w:hAnsi="Calibri" w:cs="Calibri"/>
                <w:sz w:val="20"/>
                <w:szCs w:val="20"/>
              </w:rPr>
            </w:pPr>
          </w:p>
          <w:tbl>
            <w:tblPr>
              <w:tblW w:w="10100" w:type="dxa"/>
              <w:tblLook w:val="04A0" w:firstRow="1" w:lastRow="0" w:firstColumn="1" w:lastColumn="0" w:noHBand="0" w:noVBand="1"/>
            </w:tblPr>
            <w:tblGrid>
              <w:gridCol w:w="4147"/>
              <w:gridCol w:w="1370"/>
              <w:gridCol w:w="807"/>
              <w:gridCol w:w="1159"/>
              <w:gridCol w:w="983"/>
              <w:gridCol w:w="272"/>
            </w:tblGrid>
            <w:tr w:rsidR="00D37168" w:rsidRPr="00D37168" w:rsidTr="00D37168">
              <w:trPr>
                <w:trHeight w:val="825"/>
              </w:trPr>
              <w:tc>
                <w:tcPr>
                  <w:tcW w:w="4900" w:type="dxa"/>
                  <w:tcBorders>
                    <w:top w:val="single" w:sz="4" w:space="0" w:color="auto"/>
                    <w:left w:val="single" w:sz="4" w:space="0" w:color="auto"/>
                    <w:bottom w:val="single" w:sz="4" w:space="0" w:color="auto"/>
                    <w:right w:val="nil"/>
                  </w:tcBorders>
                  <w:shd w:val="clear" w:color="auto" w:fill="auto"/>
                  <w:noWrap/>
                  <w:vAlign w:val="center"/>
                  <w:hideMark/>
                </w:tcPr>
                <w:p w:rsidR="00D37168" w:rsidRPr="00D37168" w:rsidRDefault="00D37168" w:rsidP="00D37168">
                  <w:pPr>
                    <w:rPr>
                      <w:rFonts w:asciiTheme="minorHAnsi" w:hAnsiTheme="minorHAnsi" w:cs="Arial"/>
                      <w:b/>
                      <w:bCs/>
                      <w:color w:val="000000"/>
                      <w:sz w:val="20"/>
                      <w:lang w:eastAsia="en-GB"/>
                    </w:rPr>
                  </w:pPr>
                  <w:r w:rsidRPr="00D37168">
                    <w:rPr>
                      <w:rFonts w:asciiTheme="minorHAnsi" w:hAnsiTheme="minorHAnsi" w:cs="Arial"/>
                      <w:b/>
                      <w:bCs/>
                      <w:color w:val="000000"/>
                      <w:sz w:val="20"/>
                      <w:lang w:eastAsia="en-GB"/>
                    </w:rPr>
                    <w:t>Key Performance Indicators (</w:t>
                  </w:r>
                  <w:r>
                    <w:rPr>
                      <w:rFonts w:asciiTheme="minorHAnsi" w:hAnsiTheme="minorHAnsi" w:cs="Arial"/>
                      <w:b/>
                      <w:bCs/>
                      <w:color w:val="000000"/>
                      <w:sz w:val="20"/>
                      <w:lang w:eastAsia="en-GB"/>
                    </w:rPr>
                    <w:t>as at the end of February</w:t>
                  </w:r>
                  <w:r w:rsidRPr="00D37168">
                    <w:rPr>
                      <w:rFonts w:asciiTheme="minorHAnsi" w:hAnsiTheme="minorHAnsi" w:cs="Arial"/>
                      <w:b/>
                      <w:bCs/>
                      <w:color w:val="000000"/>
                      <w:sz w:val="20"/>
                      <w:lang w:eastAsia="en-GB"/>
                    </w:rPr>
                    <w:t>)</w:t>
                  </w:r>
                </w:p>
              </w:tc>
              <w:tc>
                <w:tcPr>
                  <w:tcW w:w="15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37168" w:rsidRPr="00D37168" w:rsidRDefault="00D37168" w:rsidP="00D37168">
                  <w:pPr>
                    <w:jc w:val="center"/>
                    <w:rPr>
                      <w:rFonts w:asciiTheme="minorHAnsi" w:hAnsiTheme="minorHAnsi" w:cs="Arial"/>
                      <w:b/>
                      <w:bCs/>
                      <w:color w:val="000000"/>
                      <w:sz w:val="20"/>
                      <w:lang w:eastAsia="en-GB"/>
                    </w:rPr>
                  </w:pPr>
                  <w:r w:rsidRPr="00D37168">
                    <w:rPr>
                      <w:rFonts w:asciiTheme="minorHAnsi" w:hAnsiTheme="minorHAnsi" w:cs="Arial"/>
                      <w:b/>
                      <w:bCs/>
                      <w:color w:val="000000"/>
                      <w:sz w:val="20"/>
                      <w:lang w:eastAsia="en-GB"/>
                    </w:rPr>
                    <w:t>Classification</w:t>
                  </w:r>
                </w:p>
              </w:tc>
              <w:tc>
                <w:tcPr>
                  <w:tcW w:w="920" w:type="dxa"/>
                  <w:tcBorders>
                    <w:top w:val="single" w:sz="4" w:space="0" w:color="auto"/>
                    <w:left w:val="nil"/>
                    <w:bottom w:val="single" w:sz="4" w:space="0" w:color="auto"/>
                    <w:right w:val="single" w:sz="4" w:space="0" w:color="auto"/>
                  </w:tcBorders>
                  <w:shd w:val="clear" w:color="auto" w:fill="auto"/>
                  <w:vAlign w:val="center"/>
                  <w:hideMark/>
                </w:tcPr>
                <w:p w:rsidR="00D37168" w:rsidRPr="00D37168" w:rsidRDefault="00D37168" w:rsidP="00D37168">
                  <w:pPr>
                    <w:jc w:val="center"/>
                    <w:rPr>
                      <w:rFonts w:asciiTheme="minorHAnsi" w:hAnsiTheme="minorHAnsi" w:cs="Arial"/>
                      <w:b/>
                      <w:bCs/>
                      <w:color w:val="000000"/>
                      <w:sz w:val="20"/>
                      <w:lang w:eastAsia="en-GB"/>
                    </w:rPr>
                  </w:pPr>
                  <w:r w:rsidRPr="00D37168">
                    <w:rPr>
                      <w:rFonts w:asciiTheme="minorHAnsi" w:hAnsiTheme="minorHAnsi" w:cs="Arial"/>
                      <w:b/>
                      <w:bCs/>
                      <w:color w:val="000000"/>
                      <w:sz w:val="20"/>
                      <w:lang w:eastAsia="en-GB"/>
                    </w:rPr>
                    <w:t xml:space="preserve">Table </w:t>
                  </w:r>
                </w:p>
              </w:tc>
              <w:tc>
                <w:tcPr>
                  <w:tcW w:w="1340" w:type="dxa"/>
                  <w:tcBorders>
                    <w:top w:val="single" w:sz="4" w:space="0" w:color="auto"/>
                    <w:left w:val="nil"/>
                    <w:bottom w:val="single" w:sz="4" w:space="0" w:color="auto"/>
                    <w:right w:val="nil"/>
                  </w:tcBorders>
                  <w:shd w:val="clear" w:color="auto" w:fill="auto"/>
                  <w:vAlign w:val="center"/>
                  <w:hideMark/>
                </w:tcPr>
                <w:p w:rsidR="00D37168" w:rsidRPr="00D37168" w:rsidRDefault="00D37168" w:rsidP="00D37168">
                  <w:pPr>
                    <w:jc w:val="center"/>
                    <w:rPr>
                      <w:rFonts w:asciiTheme="minorHAnsi" w:hAnsiTheme="minorHAnsi" w:cs="Arial"/>
                      <w:b/>
                      <w:bCs/>
                      <w:color w:val="000000"/>
                      <w:sz w:val="20"/>
                      <w:lang w:eastAsia="en-GB"/>
                    </w:rPr>
                  </w:pPr>
                  <w:r w:rsidRPr="00D37168">
                    <w:rPr>
                      <w:rFonts w:asciiTheme="minorHAnsi" w:hAnsiTheme="minorHAnsi" w:cs="Arial"/>
                      <w:b/>
                      <w:bCs/>
                      <w:color w:val="000000"/>
                      <w:sz w:val="20"/>
                      <w:lang w:eastAsia="en-GB"/>
                    </w:rPr>
                    <w:t>Year to Date</w:t>
                  </w:r>
                </w:p>
              </w:tc>
              <w:tc>
                <w:tcPr>
                  <w:tcW w:w="1349"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37168" w:rsidRPr="00D37168" w:rsidRDefault="00D37168" w:rsidP="00D37168">
                  <w:pPr>
                    <w:jc w:val="center"/>
                    <w:rPr>
                      <w:rFonts w:asciiTheme="minorHAnsi" w:hAnsiTheme="minorHAnsi" w:cs="Arial"/>
                      <w:b/>
                      <w:bCs/>
                      <w:color w:val="000000"/>
                      <w:sz w:val="20"/>
                      <w:lang w:eastAsia="en-GB"/>
                    </w:rPr>
                  </w:pPr>
                  <w:r w:rsidRPr="00D37168">
                    <w:rPr>
                      <w:rFonts w:asciiTheme="minorHAnsi" w:hAnsiTheme="minorHAnsi" w:cs="Arial"/>
                      <w:b/>
                      <w:bCs/>
                      <w:color w:val="000000"/>
                      <w:sz w:val="20"/>
                      <w:lang w:eastAsia="en-GB"/>
                    </w:rPr>
                    <w:t>Outturn</w:t>
                  </w:r>
                </w:p>
              </w:tc>
            </w:tr>
            <w:tr w:rsidR="00D37168" w:rsidRPr="00D37168" w:rsidTr="00D37168">
              <w:trPr>
                <w:trHeight w:val="825"/>
              </w:trPr>
              <w:tc>
                <w:tcPr>
                  <w:tcW w:w="4900" w:type="dxa"/>
                  <w:tcBorders>
                    <w:top w:val="nil"/>
                    <w:left w:val="single" w:sz="4" w:space="0" w:color="auto"/>
                    <w:bottom w:val="nil"/>
                    <w:right w:val="nil"/>
                  </w:tcBorders>
                  <w:shd w:val="clear" w:color="auto" w:fill="auto"/>
                  <w:noWrap/>
                  <w:vAlign w:val="center"/>
                  <w:hideMark/>
                </w:tcPr>
                <w:p w:rsidR="00D37168" w:rsidRPr="00D37168" w:rsidRDefault="00D37168"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NHS Operating Position (Plan = breakeven)</w:t>
                  </w:r>
                </w:p>
              </w:tc>
              <w:tc>
                <w:tcPr>
                  <w:tcW w:w="1591" w:type="dxa"/>
                  <w:tcBorders>
                    <w:top w:val="nil"/>
                    <w:left w:val="single" w:sz="4" w:space="0" w:color="auto"/>
                    <w:bottom w:val="nil"/>
                    <w:right w:val="single" w:sz="4" w:space="0" w:color="auto"/>
                  </w:tcBorders>
                  <w:shd w:val="clear" w:color="auto" w:fill="auto"/>
                  <w:noWrap/>
                  <w:vAlign w:val="center"/>
                  <w:hideMark/>
                </w:tcPr>
                <w:p w:rsidR="00D37168" w:rsidRPr="00D37168" w:rsidRDefault="00D37168"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Operational</w:t>
                  </w:r>
                </w:p>
              </w:tc>
              <w:tc>
                <w:tcPr>
                  <w:tcW w:w="920" w:type="dxa"/>
                  <w:tcBorders>
                    <w:top w:val="nil"/>
                    <w:left w:val="nil"/>
                    <w:bottom w:val="nil"/>
                    <w:right w:val="single" w:sz="4" w:space="0" w:color="auto"/>
                  </w:tcBorders>
                  <w:shd w:val="clear" w:color="auto" w:fill="auto"/>
                  <w:noWrap/>
                  <w:vAlign w:val="center"/>
                  <w:hideMark/>
                </w:tcPr>
                <w:p w:rsidR="00D37168" w:rsidRPr="00D37168" w:rsidRDefault="00D37168"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1</w:t>
                  </w:r>
                </w:p>
              </w:tc>
              <w:tc>
                <w:tcPr>
                  <w:tcW w:w="1340" w:type="dxa"/>
                  <w:tcBorders>
                    <w:top w:val="nil"/>
                    <w:left w:val="nil"/>
                    <w:bottom w:val="nil"/>
                    <w:right w:val="single" w:sz="4" w:space="0" w:color="auto"/>
                  </w:tcBorders>
                  <w:shd w:val="clear" w:color="auto" w:fill="auto"/>
                  <w:noWrap/>
                  <w:vAlign w:val="center"/>
                  <w:hideMark/>
                </w:tcPr>
                <w:p w:rsidR="00D37168" w:rsidRPr="00D37168" w:rsidRDefault="00D37168"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1130" w:type="dxa"/>
                  <w:tcBorders>
                    <w:top w:val="nil"/>
                    <w:left w:val="nil"/>
                    <w:bottom w:val="nil"/>
                    <w:right w:val="nil"/>
                  </w:tcBorders>
                  <w:shd w:val="clear" w:color="auto" w:fill="auto"/>
                  <w:noWrap/>
                  <w:vAlign w:val="center"/>
                  <w:hideMark/>
                </w:tcPr>
                <w:p w:rsidR="00D37168" w:rsidRPr="00D37168" w:rsidRDefault="00D37168"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219" w:type="dxa"/>
                  <w:tcBorders>
                    <w:top w:val="single" w:sz="4" w:space="0" w:color="auto"/>
                    <w:left w:val="nil"/>
                    <w:bottom w:val="nil"/>
                    <w:right w:val="single" w:sz="4" w:space="0" w:color="auto"/>
                  </w:tcBorders>
                  <w:shd w:val="clear" w:color="auto" w:fill="auto"/>
                  <w:noWrap/>
                  <w:vAlign w:val="center"/>
                  <w:hideMark/>
                </w:tcPr>
                <w:p w:rsidR="00D37168" w:rsidRPr="00D37168" w:rsidRDefault="00D37168"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r w:rsidR="00D37168" w:rsidRPr="00D37168" w:rsidTr="00D37168">
              <w:trPr>
                <w:trHeight w:val="825"/>
              </w:trPr>
              <w:tc>
                <w:tcPr>
                  <w:tcW w:w="4900" w:type="dxa"/>
                  <w:tcBorders>
                    <w:top w:val="nil"/>
                    <w:left w:val="single" w:sz="4" w:space="0" w:color="auto"/>
                    <w:bottom w:val="nil"/>
                    <w:right w:val="single" w:sz="4" w:space="0" w:color="000000"/>
                  </w:tcBorders>
                  <w:shd w:val="clear" w:color="auto" w:fill="auto"/>
                  <w:vAlign w:val="center"/>
                  <w:hideMark/>
                </w:tcPr>
                <w:p w:rsidR="00D37168" w:rsidRPr="00D37168" w:rsidRDefault="00D37168"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Adult Social Care (ASC) Partnership Agreement (Plan = breakeven)</w:t>
                  </w:r>
                </w:p>
              </w:tc>
              <w:tc>
                <w:tcPr>
                  <w:tcW w:w="1591" w:type="dxa"/>
                  <w:tcBorders>
                    <w:top w:val="nil"/>
                    <w:left w:val="nil"/>
                    <w:bottom w:val="nil"/>
                    <w:right w:val="single" w:sz="4" w:space="0" w:color="auto"/>
                  </w:tcBorders>
                  <w:shd w:val="clear" w:color="auto" w:fill="auto"/>
                  <w:vAlign w:val="center"/>
                  <w:hideMark/>
                </w:tcPr>
                <w:p w:rsidR="00D37168" w:rsidRPr="00D37168" w:rsidRDefault="00D37168"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Operational</w:t>
                  </w:r>
                </w:p>
              </w:tc>
              <w:tc>
                <w:tcPr>
                  <w:tcW w:w="920" w:type="dxa"/>
                  <w:tcBorders>
                    <w:top w:val="nil"/>
                    <w:left w:val="nil"/>
                    <w:bottom w:val="nil"/>
                    <w:right w:val="single" w:sz="4" w:space="0" w:color="auto"/>
                  </w:tcBorders>
                  <w:shd w:val="clear" w:color="auto" w:fill="auto"/>
                  <w:vAlign w:val="center"/>
                  <w:hideMark/>
                </w:tcPr>
                <w:p w:rsidR="00D37168" w:rsidRPr="00D37168" w:rsidRDefault="00D37168"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1&amp;2</w:t>
                  </w:r>
                </w:p>
              </w:tc>
              <w:tc>
                <w:tcPr>
                  <w:tcW w:w="1340" w:type="dxa"/>
                  <w:tcBorders>
                    <w:top w:val="nil"/>
                    <w:left w:val="nil"/>
                    <w:bottom w:val="nil"/>
                    <w:right w:val="single" w:sz="4" w:space="0" w:color="auto"/>
                  </w:tcBorders>
                  <w:shd w:val="clear" w:color="auto" w:fill="auto"/>
                  <w:noWrap/>
                  <w:vAlign w:val="center"/>
                  <w:hideMark/>
                </w:tcPr>
                <w:p w:rsidR="00D37168" w:rsidRPr="00D37168" w:rsidRDefault="00D37168"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1130" w:type="dxa"/>
                  <w:tcBorders>
                    <w:top w:val="nil"/>
                    <w:left w:val="nil"/>
                    <w:bottom w:val="nil"/>
                    <w:right w:val="nil"/>
                  </w:tcBorders>
                  <w:shd w:val="clear" w:color="auto" w:fill="auto"/>
                  <w:noWrap/>
                  <w:vAlign w:val="center"/>
                  <w:hideMark/>
                </w:tcPr>
                <w:p w:rsidR="00D37168" w:rsidRPr="00D37168" w:rsidRDefault="00D37168"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219" w:type="dxa"/>
                  <w:tcBorders>
                    <w:top w:val="nil"/>
                    <w:left w:val="nil"/>
                    <w:bottom w:val="nil"/>
                    <w:right w:val="single" w:sz="4" w:space="0" w:color="auto"/>
                  </w:tcBorders>
                  <w:shd w:val="clear" w:color="auto" w:fill="auto"/>
                  <w:noWrap/>
                  <w:vAlign w:val="center"/>
                  <w:hideMark/>
                </w:tcPr>
                <w:p w:rsidR="00D37168" w:rsidRPr="00D37168" w:rsidRDefault="00D37168"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r w:rsidR="00D37168" w:rsidRPr="00D37168" w:rsidTr="00D37168">
              <w:trPr>
                <w:trHeight w:val="1140"/>
              </w:trPr>
              <w:tc>
                <w:tcPr>
                  <w:tcW w:w="4900" w:type="dxa"/>
                  <w:tcBorders>
                    <w:top w:val="nil"/>
                    <w:left w:val="single" w:sz="4" w:space="0" w:color="auto"/>
                    <w:bottom w:val="nil"/>
                    <w:right w:val="single" w:sz="4" w:space="0" w:color="000000"/>
                  </w:tcBorders>
                  <w:shd w:val="clear" w:color="auto" w:fill="auto"/>
                  <w:vAlign w:val="center"/>
                  <w:hideMark/>
                </w:tcPr>
                <w:p w:rsidR="00D37168" w:rsidRPr="00D37168" w:rsidRDefault="00D37168"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NHSE Mandated Surplus (Reported surplus = £8.147m surplus</w:t>
                  </w:r>
                </w:p>
              </w:tc>
              <w:tc>
                <w:tcPr>
                  <w:tcW w:w="1591" w:type="dxa"/>
                  <w:tcBorders>
                    <w:top w:val="nil"/>
                    <w:left w:val="nil"/>
                    <w:bottom w:val="nil"/>
                    <w:right w:val="single" w:sz="4" w:space="0" w:color="auto"/>
                  </w:tcBorders>
                  <w:shd w:val="clear" w:color="auto" w:fill="auto"/>
                  <w:vAlign w:val="center"/>
                  <w:hideMark/>
                </w:tcPr>
                <w:p w:rsidR="00D37168" w:rsidRPr="00D37168" w:rsidRDefault="00D37168"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Statutory</w:t>
                  </w:r>
                </w:p>
              </w:tc>
              <w:tc>
                <w:tcPr>
                  <w:tcW w:w="920" w:type="dxa"/>
                  <w:tcBorders>
                    <w:top w:val="nil"/>
                    <w:left w:val="nil"/>
                    <w:bottom w:val="nil"/>
                    <w:right w:val="single" w:sz="4" w:space="0" w:color="auto"/>
                  </w:tcBorders>
                  <w:shd w:val="clear" w:color="auto" w:fill="auto"/>
                  <w:vAlign w:val="center"/>
                  <w:hideMark/>
                </w:tcPr>
                <w:p w:rsidR="00D37168" w:rsidRPr="00D37168" w:rsidRDefault="00D37168"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1</w:t>
                  </w:r>
                </w:p>
              </w:tc>
              <w:tc>
                <w:tcPr>
                  <w:tcW w:w="1340" w:type="dxa"/>
                  <w:tcBorders>
                    <w:top w:val="nil"/>
                    <w:left w:val="nil"/>
                    <w:bottom w:val="nil"/>
                    <w:right w:val="single" w:sz="4" w:space="0" w:color="auto"/>
                  </w:tcBorders>
                  <w:shd w:val="clear" w:color="auto" w:fill="auto"/>
                  <w:noWrap/>
                  <w:vAlign w:val="center"/>
                  <w:hideMark/>
                </w:tcPr>
                <w:p w:rsidR="00D37168" w:rsidRPr="00D37168" w:rsidRDefault="00D37168"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1130" w:type="dxa"/>
                  <w:tcBorders>
                    <w:top w:val="nil"/>
                    <w:left w:val="nil"/>
                    <w:bottom w:val="nil"/>
                    <w:right w:val="nil"/>
                  </w:tcBorders>
                  <w:shd w:val="clear" w:color="auto" w:fill="auto"/>
                  <w:noWrap/>
                  <w:vAlign w:val="center"/>
                  <w:hideMark/>
                </w:tcPr>
                <w:p w:rsidR="00D37168" w:rsidRPr="00D37168" w:rsidRDefault="00D37168"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219" w:type="dxa"/>
                  <w:tcBorders>
                    <w:top w:val="nil"/>
                    <w:left w:val="nil"/>
                    <w:bottom w:val="nil"/>
                    <w:right w:val="single" w:sz="4" w:space="0" w:color="auto"/>
                  </w:tcBorders>
                  <w:shd w:val="clear" w:color="auto" w:fill="auto"/>
                  <w:noWrap/>
                  <w:vAlign w:val="center"/>
                  <w:hideMark/>
                </w:tcPr>
                <w:p w:rsidR="00D37168" w:rsidRPr="00D37168" w:rsidRDefault="00D37168"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r w:rsidR="00D37168" w:rsidRPr="00D37168" w:rsidTr="00D37168">
              <w:trPr>
                <w:trHeight w:val="825"/>
              </w:trPr>
              <w:tc>
                <w:tcPr>
                  <w:tcW w:w="4900" w:type="dxa"/>
                  <w:tcBorders>
                    <w:top w:val="nil"/>
                    <w:left w:val="single" w:sz="4" w:space="0" w:color="auto"/>
                    <w:bottom w:val="nil"/>
                    <w:right w:val="single" w:sz="4" w:space="0" w:color="000000"/>
                  </w:tcBorders>
                  <w:shd w:val="clear" w:color="auto" w:fill="auto"/>
                  <w:vAlign w:val="center"/>
                  <w:hideMark/>
                </w:tcPr>
                <w:p w:rsidR="00D37168" w:rsidRPr="00D37168" w:rsidRDefault="00D37168"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Capital resource use does not exceed the amount specified in Directions</w:t>
                  </w:r>
                </w:p>
              </w:tc>
              <w:tc>
                <w:tcPr>
                  <w:tcW w:w="1591" w:type="dxa"/>
                  <w:tcBorders>
                    <w:top w:val="nil"/>
                    <w:left w:val="nil"/>
                    <w:bottom w:val="nil"/>
                    <w:right w:val="single" w:sz="4" w:space="0" w:color="auto"/>
                  </w:tcBorders>
                  <w:shd w:val="clear" w:color="auto" w:fill="auto"/>
                  <w:vAlign w:val="center"/>
                  <w:hideMark/>
                </w:tcPr>
                <w:p w:rsidR="00D37168" w:rsidRPr="00D37168" w:rsidRDefault="00D37168"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Statutory</w:t>
                  </w:r>
                </w:p>
              </w:tc>
              <w:tc>
                <w:tcPr>
                  <w:tcW w:w="920" w:type="dxa"/>
                  <w:tcBorders>
                    <w:top w:val="nil"/>
                    <w:left w:val="nil"/>
                    <w:bottom w:val="nil"/>
                    <w:right w:val="single" w:sz="4" w:space="0" w:color="auto"/>
                  </w:tcBorders>
                  <w:shd w:val="clear" w:color="auto" w:fill="auto"/>
                  <w:vAlign w:val="center"/>
                  <w:hideMark/>
                </w:tcPr>
                <w:p w:rsidR="00D37168" w:rsidRPr="00D37168" w:rsidRDefault="00D37168"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w:t>
                  </w:r>
                </w:p>
              </w:tc>
              <w:tc>
                <w:tcPr>
                  <w:tcW w:w="1340" w:type="dxa"/>
                  <w:tcBorders>
                    <w:top w:val="nil"/>
                    <w:left w:val="nil"/>
                    <w:bottom w:val="nil"/>
                    <w:right w:val="single" w:sz="4" w:space="0" w:color="auto"/>
                  </w:tcBorders>
                  <w:shd w:val="clear" w:color="auto" w:fill="auto"/>
                  <w:noWrap/>
                  <w:vAlign w:val="center"/>
                  <w:hideMark/>
                </w:tcPr>
                <w:p w:rsidR="00D37168" w:rsidRPr="00D37168" w:rsidRDefault="00D37168"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1130" w:type="dxa"/>
                  <w:tcBorders>
                    <w:top w:val="nil"/>
                    <w:left w:val="nil"/>
                    <w:bottom w:val="nil"/>
                    <w:right w:val="nil"/>
                  </w:tcBorders>
                  <w:shd w:val="clear" w:color="auto" w:fill="auto"/>
                  <w:noWrap/>
                  <w:vAlign w:val="center"/>
                  <w:hideMark/>
                </w:tcPr>
                <w:p w:rsidR="00D37168" w:rsidRPr="00D37168" w:rsidRDefault="00D37168"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219" w:type="dxa"/>
                  <w:tcBorders>
                    <w:top w:val="nil"/>
                    <w:left w:val="nil"/>
                    <w:bottom w:val="nil"/>
                    <w:right w:val="single" w:sz="4" w:space="0" w:color="auto"/>
                  </w:tcBorders>
                  <w:shd w:val="clear" w:color="auto" w:fill="auto"/>
                  <w:noWrap/>
                  <w:vAlign w:val="center"/>
                  <w:hideMark/>
                </w:tcPr>
                <w:p w:rsidR="00D37168" w:rsidRPr="00D37168" w:rsidRDefault="00D37168"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r w:rsidR="00D37168" w:rsidRPr="00D37168" w:rsidTr="00D37168">
              <w:trPr>
                <w:trHeight w:val="915"/>
              </w:trPr>
              <w:tc>
                <w:tcPr>
                  <w:tcW w:w="4900" w:type="dxa"/>
                  <w:tcBorders>
                    <w:top w:val="nil"/>
                    <w:left w:val="single" w:sz="4" w:space="0" w:color="auto"/>
                    <w:bottom w:val="nil"/>
                    <w:right w:val="single" w:sz="4" w:space="0" w:color="000000"/>
                  </w:tcBorders>
                  <w:shd w:val="clear" w:color="auto" w:fill="auto"/>
                  <w:vAlign w:val="center"/>
                  <w:hideMark/>
                </w:tcPr>
                <w:p w:rsidR="00D37168" w:rsidRPr="00D37168" w:rsidRDefault="00D37168"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Manage cash within 1.25% of monthly drawdown (or &lt;£250k, whichever is the greater)</w:t>
                  </w:r>
                </w:p>
              </w:tc>
              <w:tc>
                <w:tcPr>
                  <w:tcW w:w="1591" w:type="dxa"/>
                  <w:tcBorders>
                    <w:top w:val="nil"/>
                    <w:left w:val="nil"/>
                    <w:bottom w:val="nil"/>
                    <w:right w:val="single" w:sz="4" w:space="0" w:color="auto"/>
                  </w:tcBorders>
                  <w:shd w:val="clear" w:color="auto" w:fill="auto"/>
                  <w:vAlign w:val="center"/>
                  <w:hideMark/>
                </w:tcPr>
                <w:p w:rsidR="00D37168" w:rsidRPr="00D37168" w:rsidRDefault="00D37168"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Operational</w:t>
                  </w:r>
                </w:p>
              </w:tc>
              <w:tc>
                <w:tcPr>
                  <w:tcW w:w="920" w:type="dxa"/>
                  <w:tcBorders>
                    <w:top w:val="nil"/>
                    <w:left w:val="nil"/>
                    <w:bottom w:val="nil"/>
                    <w:right w:val="single" w:sz="4" w:space="0" w:color="auto"/>
                  </w:tcBorders>
                  <w:shd w:val="clear" w:color="auto" w:fill="auto"/>
                  <w:vAlign w:val="center"/>
                  <w:hideMark/>
                </w:tcPr>
                <w:p w:rsidR="00D37168" w:rsidRPr="00D37168" w:rsidRDefault="00D37168"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w:t>
                  </w:r>
                </w:p>
              </w:tc>
              <w:tc>
                <w:tcPr>
                  <w:tcW w:w="1340" w:type="dxa"/>
                  <w:tcBorders>
                    <w:top w:val="nil"/>
                    <w:left w:val="nil"/>
                    <w:bottom w:val="nil"/>
                    <w:right w:val="single" w:sz="4" w:space="0" w:color="auto"/>
                  </w:tcBorders>
                  <w:shd w:val="clear" w:color="auto" w:fill="auto"/>
                  <w:noWrap/>
                  <w:vAlign w:val="center"/>
                  <w:hideMark/>
                </w:tcPr>
                <w:p w:rsidR="00D37168" w:rsidRPr="00D37168" w:rsidRDefault="00D37168"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1130" w:type="dxa"/>
                  <w:tcBorders>
                    <w:top w:val="nil"/>
                    <w:left w:val="nil"/>
                    <w:bottom w:val="nil"/>
                    <w:right w:val="nil"/>
                  </w:tcBorders>
                  <w:shd w:val="clear" w:color="auto" w:fill="auto"/>
                  <w:noWrap/>
                  <w:vAlign w:val="center"/>
                  <w:hideMark/>
                </w:tcPr>
                <w:p w:rsidR="00D37168" w:rsidRPr="00D37168" w:rsidRDefault="00D37168"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219" w:type="dxa"/>
                  <w:tcBorders>
                    <w:top w:val="nil"/>
                    <w:left w:val="nil"/>
                    <w:bottom w:val="nil"/>
                    <w:right w:val="single" w:sz="4" w:space="0" w:color="auto"/>
                  </w:tcBorders>
                  <w:shd w:val="clear" w:color="auto" w:fill="auto"/>
                  <w:noWrap/>
                  <w:vAlign w:val="center"/>
                  <w:hideMark/>
                </w:tcPr>
                <w:p w:rsidR="00D37168" w:rsidRPr="00D37168" w:rsidRDefault="00D37168"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r w:rsidR="00D37168" w:rsidRPr="00D37168" w:rsidTr="00D37168">
              <w:trPr>
                <w:trHeight w:val="825"/>
              </w:trPr>
              <w:tc>
                <w:tcPr>
                  <w:tcW w:w="4900" w:type="dxa"/>
                  <w:tcBorders>
                    <w:top w:val="nil"/>
                    <w:left w:val="single" w:sz="4" w:space="0" w:color="auto"/>
                    <w:bottom w:val="single" w:sz="4" w:space="0" w:color="auto"/>
                    <w:right w:val="single" w:sz="4" w:space="0" w:color="000000"/>
                  </w:tcBorders>
                  <w:shd w:val="clear" w:color="auto" w:fill="auto"/>
                  <w:vAlign w:val="center"/>
                  <w:hideMark/>
                </w:tcPr>
                <w:p w:rsidR="00D37168" w:rsidRPr="00D37168" w:rsidRDefault="00D37168" w:rsidP="00D37168">
                  <w:pPr>
                    <w:rPr>
                      <w:rFonts w:asciiTheme="minorHAnsi" w:hAnsiTheme="minorHAnsi" w:cs="Arial"/>
                      <w:color w:val="000000"/>
                      <w:sz w:val="20"/>
                      <w:lang w:eastAsia="en-GB"/>
                    </w:rPr>
                  </w:pPr>
                  <w:r w:rsidRPr="00D37168">
                    <w:rPr>
                      <w:rFonts w:asciiTheme="minorHAnsi" w:hAnsiTheme="minorHAnsi" w:cs="Arial"/>
                      <w:color w:val="000000"/>
                      <w:sz w:val="20"/>
                      <w:lang w:eastAsia="en-GB"/>
                    </w:rPr>
                    <w:t>BPPC – number/value paid within 30 days</w:t>
                  </w:r>
                </w:p>
              </w:tc>
              <w:tc>
                <w:tcPr>
                  <w:tcW w:w="1591" w:type="dxa"/>
                  <w:tcBorders>
                    <w:top w:val="nil"/>
                    <w:left w:val="nil"/>
                    <w:bottom w:val="single" w:sz="4" w:space="0" w:color="auto"/>
                    <w:right w:val="single" w:sz="4" w:space="0" w:color="auto"/>
                  </w:tcBorders>
                  <w:shd w:val="clear" w:color="auto" w:fill="auto"/>
                  <w:vAlign w:val="center"/>
                  <w:hideMark/>
                </w:tcPr>
                <w:p w:rsidR="00D37168" w:rsidRPr="00D37168" w:rsidRDefault="00D37168"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Operational</w:t>
                  </w:r>
                </w:p>
              </w:tc>
              <w:tc>
                <w:tcPr>
                  <w:tcW w:w="920" w:type="dxa"/>
                  <w:tcBorders>
                    <w:top w:val="nil"/>
                    <w:left w:val="nil"/>
                    <w:bottom w:val="single" w:sz="4" w:space="0" w:color="auto"/>
                    <w:right w:val="single" w:sz="4" w:space="0" w:color="auto"/>
                  </w:tcBorders>
                  <w:shd w:val="clear" w:color="auto" w:fill="auto"/>
                  <w:vAlign w:val="center"/>
                  <w:hideMark/>
                </w:tcPr>
                <w:p w:rsidR="00D37168" w:rsidRPr="00D37168" w:rsidRDefault="00D37168" w:rsidP="00D37168">
                  <w:pPr>
                    <w:jc w:val="center"/>
                    <w:rPr>
                      <w:rFonts w:asciiTheme="minorHAnsi" w:hAnsiTheme="minorHAnsi" w:cs="Arial"/>
                      <w:color w:val="000000"/>
                      <w:sz w:val="20"/>
                      <w:lang w:eastAsia="en-GB"/>
                    </w:rPr>
                  </w:pPr>
                  <w:r w:rsidRPr="00D37168">
                    <w:rPr>
                      <w:rFonts w:asciiTheme="minorHAnsi" w:hAnsiTheme="minorHAnsi" w:cs="Arial"/>
                      <w:color w:val="000000"/>
                      <w:sz w:val="20"/>
                      <w:lang w:eastAsia="en-GB"/>
                    </w:rPr>
                    <w:t>4</w:t>
                  </w:r>
                </w:p>
              </w:tc>
              <w:tc>
                <w:tcPr>
                  <w:tcW w:w="1340" w:type="dxa"/>
                  <w:tcBorders>
                    <w:top w:val="nil"/>
                    <w:left w:val="nil"/>
                    <w:bottom w:val="single" w:sz="4" w:space="0" w:color="auto"/>
                    <w:right w:val="single" w:sz="4" w:space="0" w:color="auto"/>
                  </w:tcBorders>
                  <w:shd w:val="clear" w:color="auto" w:fill="auto"/>
                  <w:noWrap/>
                  <w:vAlign w:val="center"/>
                  <w:hideMark/>
                </w:tcPr>
                <w:p w:rsidR="00D37168" w:rsidRPr="00D37168" w:rsidRDefault="00D37168"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1130" w:type="dxa"/>
                  <w:tcBorders>
                    <w:top w:val="nil"/>
                    <w:left w:val="nil"/>
                    <w:bottom w:val="single" w:sz="4" w:space="0" w:color="auto"/>
                    <w:right w:val="nil"/>
                  </w:tcBorders>
                  <w:shd w:val="clear" w:color="auto" w:fill="auto"/>
                  <w:noWrap/>
                  <w:vAlign w:val="center"/>
                  <w:hideMark/>
                </w:tcPr>
                <w:p w:rsidR="00D37168" w:rsidRPr="00D37168" w:rsidRDefault="00D37168" w:rsidP="00D37168">
                  <w:pPr>
                    <w:jc w:val="center"/>
                    <w:rPr>
                      <w:rFonts w:asciiTheme="minorHAnsi" w:hAnsiTheme="minorHAnsi" w:cs="Arial"/>
                      <w:sz w:val="20"/>
                      <w:lang w:eastAsia="en-GB"/>
                    </w:rPr>
                  </w:pPr>
                  <w:r w:rsidRPr="00D37168">
                    <w:rPr>
                      <w:rFonts w:asciiTheme="minorHAnsi" w:hAnsiTheme="minorHAnsi" w:cs="Arial"/>
                      <w:sz w:val="20"/>
                      <w:lang w:eastAsia="en-GB"/>
                    </w:rPr>
                    <w:t>Green</w:t>
                  </w:r>
                </w:p>
              </w:tc>
              <w:tc>
                <w:tcPr>
                  <w:tcW w:w="219" w:type="dxa"/>
                  <w:tcBorders>
                    <w:top w:val="nil"/>
                    <w:left w:val="nil"/>
                    <w:bottom w:val="single" w:sz="4" w:space="0" w:color="auto"/>
                    <w:right w:val="single" w:sz="4" w:space="0" w:color="auto"/>
                  </w:tcBorders>
                  <w:shd w:val="clear" w:color="auto" w:fill="auto"/>
                  <w:noWrap/>
                  <w:vAlign w:val="center"/>
                  <w:hideMark/>
                </w:tcPr>
                <w:p w:rsidR="00D37168" w:rsidRPr="00D37168" w:rsidRDefault="00D37168" w:rsidP="00D37168">
                  <w:pPr>
                    <w:jc w:val="center"/>
                    <w:rPr>
                      <w:rFonts w:ascii="Arial" w:hAnsi="Arial" w:cs="Arial"/>
                      <w:color w:val="C0504D"/>
                      <w:szCs w:val="24"/>
                      <w:lang w:eastAsia="en-GB"/>
                    </w:rPr>
                  </w:pPr>
                  <w:r w:rsidRPr="00D37168">
                    <w:rPr>
                      <w:rFonts w:ascii="Arial" w:hAnsi="Arial" w:cs="Arial"/>
                      <w:color w:val="C0504D"/>
                      <w:szCs w:val="24"/>
                      <w:lang w:eastAsia="en-GB"/>
                    </w:rPr>
                    <w:t> </w:t>
                  </w:r>
                </w:p>
              </w:tc>
            </w:tr>
          </w:tbl>
          <w:p w:rsidR="00246EFA" w:rsidRDefault="00246EFA" w:rsidP="000D1B0D">
            <w:pPr>
              <w:pStyle w:val="Default"/>
              <w:jc w:val="both"/>
              <w:rPr>
                <w:rFonts w:ascii="Calibri" w:hAnsi="Calibri" w:cs="Calibri"/>
                <w:sz w:val="20"/>
                <w:szCs w:val="20"/>
              </w:rPr>
            </w:pPr>
          </w:p>
          <w:p w:rsidR="00A41667" w:rsidRDefault="00D37168" w:rsidP="000D1B0D">
            <w:pPr>
              <w:pStyle w:val="Default"/>
              <w:jc w:val="both"/>
              <w:rPr>
                <w:rFonts w:ascii="Calibri" w:hAnsi="Calibri" w:cs="Calibri"/>
                <w:sz w:val="20"/>
                <w:szCs w:val="20"/>
              </w:rPr>
            </w:pPr>
            <w:r>
              <w:rPr>
                <w:rFonts w:ascii="Calibri" w:hAnsi="Calibri" w:cs="Calibri"/>
                <w:sz w:val="20"/>
                <w:szCs w:val="20"/>
              </w:rPr>
              <w:t>T</w:t>
            </w:r>
            <w:r w:rsidR="00A41667" w:rsidRPr="00A41667">
              <w:rPr>
                <w:rFonts w:ascii="Calibri" w:hAnsi="Calibri" w:cs="Calibri"/>
                <w:sz w:val="20"/>
                <w:szCs w:val="20"/>
              </w:rPr>
              <w:t xml:space="preserve">he CCG is on track to achieve both its planned operating position [Health £nil (break-even) + ASC £nil (break-even)] and its NHSE Mandated Surplus (£8,147k), </w:t>
            </w:r>
            <w:r>
              <w:rPr>
                <w:rFonts w:ascii="Calibri" w:hAnsi="Calibri" w:cs="Calibri"/>
                <w:sz w:val="20"/>
                <w:szCs w:val="20"/>
              </w:rPr>
              <w:t xml:space="preserve">the main remaining risk that needs to be managed relates to Northern Lincolnshire &amp; Goole </w:t>
            </w:r>
            <w:r w:rsidR="009232A3">
              <w:rPr>
                <w:rFonts w:ascii="Calibri" w:hAnsi="Calibri" w:cs="Calibri"/>
                <w:sz w:val="20"/>
                <w:szCs w:val="20"/>
              </w:rPr>
              <w:t>FT</w:t>
            </w:r>
            <w:r>
              <w:rPr>
                <w:rFonts w:ascii="Calibri" w:hAnsi="Calibri" w:cs="Calibri"/>
                <w:sz w:val="20"/>
                <w:szCs w:val="20"/>
              </w:rPr>
              <w:t xml:space="preserve"> Contract. </w:t>
            </w:r>
          </w:p>
          <w:p w:rsidR="009232A3" w:rsidRDefault="009232A3" w:rsidP="000D1B0D">
            <w:pPr>
              <w:pStyle w:val="Default"/>
              <w:jc w:val="both"/>
              <w:rPr>
                <w:rFonts w:ascii="Calibri" w:hAnsi="Calibri" w:cs="Calibri"/>
                <w:sz w:val="20"/>
                <w:szCs w:val="20"/>
              </w:rPr>
            </w:pPr>
          </w:p>
          <w:p w:rsidR="00A41667" w:rsidRDefault="009232A3" w:rsidP="000D1B0D">
            <w:pPr>
              <w:pStyle w:val="Default"/>
              <w:jc w:val="both"/>
              <w:rPr>
                <w:rFonts w:ascii="Calibri" w:hAnsi="Calibri" w:cs="Calibri"/>
                <w:sz w:val="20"/>
                <w:szCs w:val="20"/>
              </w:rPr>
            </w:pPr>
            <w:r w:rsidRPr="009232A3">
              <w:rPr>
                <w:rFonts w:ascii="Calibri" w:hAnsi="Calibri" w:cs="Calibri"/>
                <w:sz w:val="20"/>
                <w:szCs w:val="20"/>
              </w:rPr>
              <w:t xml:space="preserve">The </w:t>
            </w:r>
            <w:r w:rsidR="005341D0">
              <w:rPr>
                <w:rFonts w:ascii="Calibri" w:hAnsi="Calibri" w:cs="Calibri"/>
                <w:sz w:val="20"/>
                <w:szCs w:val="20"/>
              </w:rPr>
              <w:t xml:space="preserve">tables attached are the same as those that went to the </w:t>
            </w:r>
            <w:r w:rsidRPr="009232A3">
              <w:rPr>
                <w:rFonts w:ascii="Calibri" w:hAnsi="Calibri" w:cs="Calibri"/>
                <w:sz w:val="20"/>
                <w:szCs w:val="20"/>
              </w:rPr>
              <w:t xml:space="preserve">Delivery Assurance Committee </w:t>
            </w:r>
            <w:r w:rsidR="005341D0">
              <w:rPr>
                <w:rFonts w:ascii="Calibri" w:hAnsi="Calibri" w:cs="Calibri"/>
                <w:sz w:val="20"/>
                <w:szCs w:val="20"/>
              </w:rPr>
              <w:t xml:space="preserve">and </w:t>
            </w:r>
            <w:proofErr w:type="gramStart"/>
            <w:r w:rsidR="005341D0">
              <w:rPr>
                <w:rFonts w:ascii="Calibri" w:hAnsi="Calibri" w:cs="Calibri"/>
                <w:sz w:val="20"/>
                <w:szCs w:val="20"/>
              </w:rPr>
              <w:t xml:space="preserve">are </w:t>
            </w:r>
            <w:r w:rsidRPr="009232A3">
              <w:rPr>
                <w:rFonts w:ascii="Calibri" w:hAnsi="Calibri" w:cs="Calibri"/>
                <w:sz w:val="20"/>
                <w:szCs w:val="20"/>
              </w:rPr>
              <w:t>based</w:t>
            </w:r>
            <w:proofErr w:type="gramEnd"/>
            <w:r w:rsidRPr="009232A3">
              <w:rPr>
                <w:rFonts w:ascii="Calibri" w:hAnsi="Calibri" w:cs="Calibri"/>
                <w:sz w:val="20"/>
                <w:szCs w:val="20"/>
              </w:rPr>
              <w:t xml:space="preserve"> on the January 2019 position</w:t>
            </w:r>
            <w:r w:rsidR="005341D0">
              <w:rPr>
                <w:rFonts w:ascii="Calibri" w:hAnsi="Calibri" w:cs="Calibri"/>
                <w:sz w:val="20"/>
                <w:szCs w:val="20"/>
              </w:rPr>
              <w:t xml:space="preserve">. Due to the </w:t>
            </w:r>
            <w:r w:rsidRPr="009232A3">
              <w:rPr>
                <w:rFonts w:ascii="Calibri" w:hAnsi="Calibri" w:cs="Calibri"/>
                <w:sz w:val="20"/>
                <w:szCs w:val="20"/>
              </w:rPr>
              <w:t xml:space="preserve">timing of the Governing </w:t>
            </w:r>
            <w:proofErr w:type="gramStart"/>
            <w:r w:rsidRPr="009232A3">
              <w:rPr>
                <w:rFonts w:ascii="Calibri" w:hAnsi="Calibri" w:cs="Calibri"/>
                <w:sz w:val="20"/>
                <w:szCs w:val="20"/>
              </w:rPr>
              <w:t>Body</w:t>
            </w:r>
            <w:proofErr w:type="gramEnd"/>
            <w:r w:rsidRPr="009232A3">
              <w:rPr>
                <w:rFonts w:ascii="Calibri" w:hAnsi="Calibri" w:cs="Calibri"/>
                <w:sz w:val="20"/>
                <w:szCs w:val="20"/>
              </w:rPr>
              <w:t xml:space="preserve"> we now have</w:t>
            </w:r>
            <w:r w:rsidR="005341D0">
              <w:rPr>
                <w:rFonts w:ascii="Calibri" w:hAnsi="Calibri" w:cs="Calibri"/>
                <w:sz w:val="20"/>
                <w:szCs w:val="20"/>
              </w:rPr>
              <w:t xml:space="preserve"> the</w:t>
            </w:r>
            <w:r w:rsidRPr="009232A3">
              <w:rPr>
                <w:rFonts w:ascii="Calibri" w:hAnsi="Calibri" w:cs="Calibri"/>
                <w:sz w:val="20"/>
                <w:szCs w:val="20"/>
              </w:rPr>
              <w:t xml:space="preserve"> February 2019 position and </w:t>
            </w:r>
            <w:r w:rsidR="005341D0">
              <w:rPr>
                <w:rFonts w:ascii="Calibri" w:hAnsi="Calibri" w:cs="Calibri"/>
                <w:sz w:val="20"/>
                <w:szCs w:val="20"/>
              </w:rPr>
              <w:t>where there has been any significant change since January this is highlighted in the narrative below.</w:t>
            </w:r>
          </w:p>
          <w:p w:rsidR="005341D0" w:rsidRDefault="005341D0" w:rsidP="000D1B0D">
            <w:pPr>
              <w:pStyle w:val="Default"/>
              <w:jc w:val="both"/>
              <w:rPr>
                <w:rFonts w:ascii="Calibri" w:hAnsi="Calibri" w:cs="Calibri"/>
                <w:sz w:val="20"/>
                <w:szCs w:val="20"/>
              </w:rPr>
            </w:pPr>
          </w:p>
          <w:p w:rsidR="00A41667" w:rsidRDefault="00A41667" w:rsidP="000D1B0D">
            <w:pPr>
              <w:pStyle w:val="Default"/>
              <w:jc w:val="both"/>
              <w:rPr>
                <w:rFonts w:ascii="Calibri" w:hAnsi="Calibri" w:cs="Calibri"/>
                <w:sz w:val="20"/>
                <w:szCs w:val="20"/>
              </w:rPr>
            </w:pPr>
            <w:r w:rsidRPr="0022046E">
              <w:rPr>
                <w:rFonts w:ascii="Calibri" w:hAnsi="Calibri" w:cs="Calibri"/>
                <w:b/>
                <w:sz w:val="20"/>
                <w:szCs w:val="20"/>
              </w:rPr>
              <w:t>Delegated Budgets</w:t>
            </w:r>
            <w:r w:rsidRPr="00A41667">
              <w:rPr>
                <w:rFonts w:ascii="Calibri" w:hAnsi="Calibri" w:cs="Calibri"/>
                <w:sz w:val="20"/>
                <w:szCs w:val="20"/>
              </w:rPr>
              <w:t xml:space="preserve">: Year to date underspend has </w:t>
            </w:r>
            <w:r w:rsidR="009232A3">
              <w:rPr>
                <w:rFonts w:ascii="Calibri" w:hAnsi="Calibri" w:cs="Calibri"/>
                <w:sz w:val="20"/>
                <w:szCs w:val="20"/>
              </w:rPr>
              <w:t xml:space="preserve">increased to </w:t>
            </w:r>
            <w:r w:rsidRPr="00A41667">
              <w:rPr>
                <w:rFonts w:ascii="Calibri" w:hAnsi="Calibri" w:cs="Calibri"/>
                <w:sz w:val="20"/>
                <w:szCs w:val="20"/>
              </w:rPr>
              <w:t>£431k in January. This is a result of:</w:t>
            </w:r>
          </w:p>
          <w:p w:rsidR="00A41667" w:rsidRDefault="00A41667" w:rsidP="00A41667">
            <w:pPr>
              <w:pStyle w:val="Default"/>
              <w:numPr>
                <w:ilvl w:val="0"/>
                <w:numId w:val="8"/>
              </w:numPr>
              <w:jc w:val="both"/>
              <w:rPr>
                <w:rFonts w:ascii="Calibri" w:hAnsi="Calibri" w:cs="Calibri"/>
                <w:sz w:val="20"/>
                <w:szCs w:val="20"/>
              </w:rPr>
            </w:pPr>
            <w:r w:rsidRPr="00A41667">
              <w:rPr>
                <w:rFonts w:ascii="Calibri" w:hAnsi="Calibri" w:cs="Calibri"/>
                <w:sz w:val="20"/>
                <w:szCs w:val="20"/>
              </w:rPr>
              <w:t xml:space="preserve">The receipt of additional allocation to fund the agreed in year GP uplift (£174k). This </w:t>
            </w:r>
            <w:proofErr w:type="gramStart"/>
            <w:r w:rsidRPr="00A41667">
              <w:rPr>
                <w:rFonts w:ascii="Calibri" w:hAnsi="Calibri" w:cs="Calibri"/>
                <w:sz w:val="20"/>
                <w:szCs w:val="20"/>
              </w:rPr>
              <w:t>had previously been forecast</w:t>
            </w:r>
            <w:proofErr w:type="gramEnd"/>
            <w:r w:rsidRPr="00A41667">
              <w:rPr>
                <w:rFonts w:ascii="Calibri" w:hAnsi="Calibri" w:cs="Calibri"/>
                <w:sz w:val="20"/>
                <w:szCs w:val="20"/>
              </w:rPr>
              <w:t xml:space="preserve"> as a pressure against the PMS contract.</w:t>
            </w:r>
          </w:p>
          <w:p w:rsidR="0022046E" w:rsidRPr="0022046E" w:rsidRDefault="00A41667" w:rsidP="0022046E">
            <w:pPr>
              <w:pStyle w:val="Default"/>
              <w:numPr>
                <w:ilvl w:val="0"/>
                <w:numId w:val="8"/>
              </w:numPr>
              <w:jc w:val="both"/>
              <w:rPr>
                <w:rFonts w:ascii="Calibri" w:hAnsi="Calibri" w:cs="Calibri"/>
                <w:sz w:val="20"/>
                <w:szCs w:val="20"/>
              </w:rPr>
            </w:pPr>
            <w:r w:rsidRPr="00A41667">
              <w:rPr>
                <w:rFonts w:ascii="Calibri" w:hAnsi="Calibri" w:cs="Calibri"/>
                <w:sz w:val="20"/>
                <w:szCs w:val="20"/>
              </w:rPr>
              <w:t>With 2 months remaining of the financial year and currently no known calls on the contingency funding within ‘Other GP Services’ this commitment has been released to further increase the forecast under spend.</w:t>
            </w:r>
          </w:p>
          <w:p w:rsidR="00A41667" w:rsidRDefault="00A41667" w:rsidP="00A41667">
            <w:pPr>
              <w:pStyle w:val="Default"/>
              <w:jc w:val="both"/>
              <w:rPr>
                <w:rFonts w:ascii="Calibri" w:hAnsi="Calibri" w:cs="Calibri"/>
                <w:sz w:val="20"/>
                <w:szCs w:val="20"/>
              </w:rPr>
            </w:pPr>
            <w:r w:rsidRPr="00A41667">
              <w:rPr>
                <w:rFonts w:ascii="Calibri" w:hAnsi="Calibri" w:cs="Calibri"/>
                <w:sz w:val="20"/>
                <w:szCs w:val="20"/>
              </w:rPr>
              <w:t>The FOT has been adjusted to recognise</w:t>
            </w:r>
            <w:r w:rsidR="009232A3">
              <w:rPr>
                <w:rFonts w:ascii="Calibri" w:hAnsi="Calibri" w:cs="Calibri"/>
                <w:sz w:val="20"/>
                <w:szCs w:val="20"/>
              </w:rPr>
              <w:t xml:space="preserve"> both </w:t>
            </w:r>
            <w:proofErr w:type="gramStart"/>
            <w:r w:rsidR="009232A3">
              <w:rPr>
                <w:rFonts w:ascii="Calibri" w:hAnsi="Calibri" w:cs="Calibri"/>
                <w:sz w:val="20"/>
                <w:szCs w:val="20"/>
              </w:rPr>
              <w:t xml:space="preserve">of </w:t>
            </w:r>
            <w:r w:rsidRPr="00A41667">
              <w:rPr>
                <w:rFonts w:ascii="Calibri" w:hAnsi="Calibri" w:cs="Calibri"/>
                <w:sz w:val="20"/>
                <w:szCs w:val="20"/>
              </w:rPr>
              <w:t xml:space="preserve"> these</w:t>
            </w:r>
            <w:proofErr w:type="gramEnd"/>
            <w:r w:rsidRPr="00A41667">
              <w:rPr>
                <w:rFonts w:ascii="Calibri" w:hAnsi="Calibri" w:cs="Calibri"/>
                <w:sz w:val="20"/>
                <w:szCs w:val="20"/>
              </w:rPr>
              <w:t>.</w:t>
            </w:r>
          </w:p>
          <w:p w:rsidR="00A41667" w:rsidRDefault="00A41667" w:rsidP="000D1B0D">
            <w:pPr>
              <w:pStyle w:val="Default"/>
              <w:jc w:val="both"/>
              <w:rPr>
                <w:rFonts w:ascii="Calibri" w:hAnsi="Calibri" w:cs="Calibri"/>
                <w:sz w:val="20"/>
                <w:szCs w:val="20"/>
              </w:rPr>
            </w:pPr>
          </w:p>
          <w:p w:rsidR="00A41667" w:rsidRDefault="00A41667" w:rsidP="000D1B0D">
            <w:pPr>
              <w:pStyle w:val="Default"/>
              <w:jc w:val="both"/>
              <w:rPr>
                <w:rFonts w:ascii="Calibri" w:hAnsi="Calibri" w:cs="Calibri"/>
                <w:sz w:val="20"/>
                <w:szCs w:val="20"/>
              </w:rPr>
            </w:pPr>
            <w:r w:rsidRPr="0022046E">
              <w:rPr>
                <w:rFonts w:ascii="Calibri" w:hAnsi="Calibri" w:cs="Calibri"/>
                <w:b/>
                <w:sz w:val="20"/>
                <w:szCs w:val="20"/>
              </w:rPr>
              <w:t xml:space="preserve">North Lincolnshire &amp; Goole FT (NLAG); </w:t>
            </w:r>
            <w:r w:rsidRPr="00A41667">
              <w:rPr>
                <w:rFonts w:ascii="Calibri" w:hAnsi="Calibri" w:cs="Calibri"/>
                <w:sz w:val="20"/>
                <w:szCs w:val="20"/>
              </w:rPr>
              <w:t xml:space="preserve">The substantial increase in the FOT of £1.5m since the last report (£106m </w:t>
            </w:r>
            <w:proofErr w:type="spellStart"/>
            <w:r w:rsidRPr="00A41667">
              <w:rPr>
                <w:rFonts w:ascii="Calibri" w:hAnsi="Calibri" w:cs="Calibri"/>
                <w:sz w:val="20"/>
                <w:szCs w:val="20"/>
              </w:rPr>
              <w:t>cf</w:t>
            </w:r>
            <w:proofErr w:type="spellEnd"/>
            <w:r w:rsidRPr="00A41667">
              <w:rPr>
                <w:rFonts w:ascii="Calibri" w:hAnsi="Calibri" w:cs="Calibri"/>
                <w:sz w:val="20"/>
                <w:szCs w:val="20"/>
              </w:rPr>
              <w:t xml:space="preserve"> £104.5m) is due in the main to continued high levels of non-elective activity within the following specialties; General medicine,  respiratory and colorectal. A&amp;E activity is also significantly above plan.</w:t>
            </w:r>
          </w:p>
          <w:p w:rsidR="0022046E" w:rsidRDefault="0022046E" w:rsidP="000D1B0D">
            <w:pPr>
              <w:pStyle w:val="Default"/>
              <w:jc w:val="both"/>
              <w:rPr>
                <w:rFonts w:ascii="Calibri" w:hAnsi="Calibri" w:cs="Calibri"/>
                <w:sz w:val="20"/>
                <w:szCs w:val="20"/>
              </w:rPr>
            </w:pPr>
          </w:p>
          <w:p w:rsidR="0022046E" w:rsidRDefault="0022046E" w:rsidP="000D1B0D">
            <w:pPr>
              <w:pStyle w:val="Default"/>
              <w:jc w:val="both"/>
              <w:rPr>
                <w:rFonts w:ascii="Calibri" w:hAnsi="Calibri" w:cs="Calibri"/>
                <w:sz w:val="20"/>
                <w:szCs w:val="20"/>
              </w:rPr>
            </w:pPr>
            <w:r w:rsidRPr="0022046E">
              <w:rPr>
                <w:rFonts w:ascii="Calibri" w:hAnsi="Calibri" w:cs="Calibri"/>
                <w:b/>
                <w:sz w:val="20"/>
                <w:szCs w:val="20"/>
              </w:rPr>
              <w:t>Leeds Teaching Hospital</w:t>
            </w:r>
            <w:proofErr w:type="gramStart"/>
            <w:r w:rsidRPr="0022046E">
              <w:rPr>
                <w:rFonts w:ascii="Calibri" w:hAnsi="Calibri" w:cs="Calibri"/>
                <w:sz w:val="20"/>
                <w:szCs w:val="20"/>
              </w:rPr>
              <w:t>;</w:t>
            </w:r>
            <w:proofErr w:type="gramEnd"/>
            <w:r w:rsidRPr="0022046E">
              <w:rPr>
                <w:rFonts w:ascii="Calibri" w:hAnsi="Calibri" w:cs="Calibri"/>
                <w:sz w:val="20"/>
                <w:szCs w:val="20"/>
              </w:rPr>
              <w:t xml:space="preserve"> Activity for November &amp; December has been significantly higher than planned due to patients in critical care.</w:t>
            </w:r>
          </w:p>
          <w:p w:rsidR="00267CA4" w:rsidRDefault="00267CA4" w:rsidP="000D1B0D">
            <w:pPr>
              <w:pStyle w:val="Default"/>
              <w:jc w:val="both"/>
              <w:rPr>
                <w:rFonts w:ascii="Calibri" w:hAnsi="Calibri" w:cs="Calibri"/>
                <w:sz w:val="20"/>
                <w:szCs w:val="20"/>
              </w:rPr>
            </w:pPr>
          </w:p>
          <w:p w:rsidR="0022046E" w:rsidRDefault="0022046E" w:rsidP="000D1B0D">
            <w:pPr>
              <w:pStyle w:val="Default"/>
              <w:jc w:val="both"/>
              <w:rPr>
                <w:rFonts w:ascii="Calibri" w:hAnsi="Calibri" w:cs="Calibri"/>
                <w:sz w:val="20"/>
                <w:szCs w:val="20"/>
              </w:rPr>
            </w:pPr>
            <w:r w:rsidRPr="0022046E">
              <w:rPr>
                <w:rFonts w:ascii="Calibri" w:hAnsi="Calibri" w:cs="Calibri"/>
                <w:b/>
                <w:sz w:val="20"/>
                <w:szCs w:val="20"/>
              </w:rPr>
              <w:t>Virgin - Dermatology</w:t>
            </w:r>
            <w:proofErr w:type="gramStart"/>
            <w:r w:rsidRPr="0022046E">
              <w:rPr>
                <w:rFonts w:ascii="Calibri" w:hAnsi="Calibri" w:cs="Calibri"/>
                <w:b/>
                <w:sz w:val="20"/>
                <w:szCs w:val="20"/>
              </w:rPr>
              <w:t>;</w:t>
            </w:r>
            <w:proofErr w:type="gramEnd"/>
            <w:r w:rsidRPr="0022046E">
              <w:rPr>
                <w:rFonts w:ascii="Calibri" w:hAnsi="Calibri" w:cs="Calibri"/>
                <w:sz w:val="20"/>
                <w:szCs w:val="20"/>
              </w:rPr>
              <w:t xml:space="preserve"> Since the last report, a number of High Cost Drugs (HCD) for dermatology have been received from Lloyds Pharmacy. These costs have previously been part of the NLAG contract but are now starting to </w:t>
            </w:r>
            <w:proofErr w:type="gramStart"/>
            <w:r w:rsidRPr="0022046E">
              <w:rPr>
                <w:rFonts w:ascii="Calibri" w:hAnsi="Calibri" w:cs="Calibri"/>
                <w:sz w:val="20"/>
                <w:szCs w:val="20"/>
              </w:rPr>
              <w:t>be prescribed</w:t>
            </w:r>
            <w:proofErr w:type="gramEnd"/>
            <w:r w:rsidRPr="0022046E">
              <w:rPr>
                <w:rFonts w:ascii="Calibri" w:hAnsi="Calibri" w:cs="Calibri"/>
                <w:sz w:val="20"/>
                <w:szCs w:val="20"/>
              </w:rPr>
              <w:t xml:space="preserve"> by Virgin. The forecast now includes £80k of HCD costs for the year.</w:t>
            </w:r>
          </w:p>
          <w:p w:rsidR="0022046E" w:rsidRDefault="0022046E" w:rsidP="000D1B0D">
            <w:pPr>
              <w:pStyle w:val="Default"/>
              <w:jc w:val="both"/>
              <w:rPr>
                <w:rFonts w:ascii="Calibri" w:hAnsi="Calibri" w:cs="Calibri"/>
                <w:sz w:val="20"/>
                <w:szCs w:val="20"/>
              </w:rPr>
            </w:pPr>
          </w:p>
          <w:p w:rsidR="0022046E" w:rsidRDefault="0022046E" w:rsidP="000D1B0D">
            <w:pPr>
              <w:pStyle w:val="Default"/>
              <w:jc w:val="both"/>
              <w:rPr>
                <w:rFonts w:ascii="Calibri" w:hAnsi="Calibri" w:cs="Calibri"/>
                <w:sz w:val="20"/>
                <w:szCs w:val="20"/>
              </w:rPr>
            </w:pPr>
            <w:r w:rsidRPr="0022046E">
              <w:rPr>
                <w:rFonts w:ascii="Calibri" w:hAnsi="Calibri" w:cs="Calibri"/>
                <w:b/>
                <w:sz w:val="20"/>
                <w:szCs w:val="20"/>
              </w:rPr>
              <w:t>New Medical;</w:t>
            </w:r>
            <w:r w:rsidRPr="0022046E">
              <w:rPr>
                <w:rFonts w:ascii="Calibri" w:hAnsi="Calibri" w:cs="Calibri"/>
                <w:sz w:val="20"/>
                <w:szCs w:val="20"/>
              </w:rPr>
              <w:t xml:space="preserve"> This contract has seen general over activity clearing NLAG backlog for Ophthalmology. However, the activity seen in </w:t>
            </w:r>
            <w:r w:rsidR="00B10221" w:rsidRPr="0022046E">
              <w:rPr>
                <w:rFonts w:ascii="Calibri" w:hAnsi="Calibri" w:cs="Calibri"/>
                <w:sz w:val="20"/>
                <w:szCs w:val="20"/>
              </w:rPr>
              <w:t>November &amp;</w:t>
            </w:r>
            <w:r w:rsidRPr="0022046E">
              <w:rPr>
                <w:rFonts w:ascii="Calibri" w:hAnsi="Calibri" w:cs="Calibri"/>
                <w:sz w:val="20"/>
                <w:szCs w:val="20"/>
              </w:rPr>
              <w:t xml:space="preserve"> December has been exceptionally high &amp; is now expected this level to continue for the remainder of the year to help clear the NLAG backlog.</w:t>
            </w:r>
          </w:p>
          <w:p w:rsidR="00A41667" w:rsidRDefault="00A41667" w:rsidP="000D1B0D">
            <w:pPr>
              <w:pStyle w:val="Default"/>
              <w:jc w:val="both"/>
              <w:rPr>
                <w:rFonts w:ascii="Calibri" w:hAnsi="Calibri" w:cs="Calibri"/>
                <w:sz w:val="20"/>
                <w:szCs w:val="20"/>
              </w:rPr>
            </w:pPr>
          </w:p>
          <w:p w:rsidR="0022046E" w:rsidRDefault="0022046E" w:rsidP="000D1B0D">
            <w:pPr>
              <w:pStyle w:val="Default"/>
              <w:jc w:val="both"/>
              <w:rPr>
                <w:rFonts w:ascii="Calibri" w:hAnsi="Calibri" w:cs="Calibri"/>
                <w:sz w:val="20"/>
                <w:szCs w:val="20"/>
              </w:rPr>
            </w:pPr>
            <w:r w:rsidRPr="0022046E">
              <w:rPr>
                <w:rFonts w:ascii="Calibri" w:hAnsi="Calibri" w:cs="Calibri"/>
                <w:b/>
                <w:sz w:val="20"/>
                <w:szCs w:val="20"/>
              </w:rPr>
              <w:t>Continuing Healthcare</w:t>
            </w:r>
            <w:r w:rsidRPr="0022046E">
              <w:rPr>
                <w:rFonts w:ascii="Calibri" w:hAnsi="Calibri" w:cs="Calibri"/>
                <w:sz w:val="20"/>
                <w:szCs w:val="20"/>
              </w:rPr>
              <w:t>; In recent months the activity for Physical Disabilities &gt;65  has been extremely low, we are now expecting activity levels to continue at this level for the remainder of the year and therefore the FOT has been reduced.</w:t>
            </w:r>
          </w:p>
          <w:p w:rsidR="0022046E" w:rsidRDefault="0022046E" w:rsidP="000D1B0D">
            <w:pPr>
              <w:pStyle w:val="Default"/>
              <w:jc w:val="both"/>
              <w:rPr>
                <w:rFonts w:ascii="Calibri" w:hAnsi="Calibri" w:cs="Calibri"/>
                <w:sz w:val="20"/>
                <w:szCs w:val="20"/>
              </w:rPr>
            </w:pPr>
          </w:p>
          <w:p w:rsidR="0022046E" w:rsidRDefault="0022046E" w:rsidP="000D1B0D">
            <w:pPr>
              <w:pStyle w:val="Default"/>
              <w:jc w:val="both"/>
              <w:rPr>
                <w:rFonts w:ascii="Calibri" w:hAnsi="Calibri" w:cs="Calibri"/>
                <w:sz w:val="20"/>
                <w:szCs w:val="20"/>
              </w:rPr>
            </w:pPr>
            <w:r w:rsidRPr="009232A3">
              <w:rPr>
                <w:rFonts w:ascii="Calibri" w:hAnsi="Calibri" w:cs="Calibri"/>
                <w:b/>
                <w:sz w:val="20"/>
                <w:szCs w:val="20"/>
              </w:rPr>
              <w:t>N</w:t>
            </w:r>
            <w:r w:rsidR="009232A3" w:rsidRPr="009232A3">
              <w:rPr>
                <w:rFonts w:ascii="Calibri" w:hAnsi="Calibri" w:cs="Calibri"/>
                <w:b/>
                <w:sz w:val="20"/>
                <w:szCs w:val="20"/>
              </w:rPr>
              <w:t xml:space="preserve">on </w:t>
            </w:r>
            <w:r w:rsidRPr="009232A3">
              <w:rPr>
                <w:rFonts w:ascii="Calibri" w:hAnsi="Calibri" w:cs="Calibri"/>
                <w:b/>
                <w:sz w:val="20"/>
                <w:szCs w:val="20"/>
              </w:rPr>
              <w:t>C</w:t>
            </w:r>
            <w:r w:rsidR="009232A3" w:rsidRPr="009232A3">
              <w:rPr>
                <w:rFonts w:ascii="Calibri" w:hAnsi="Calibri" w:cs="Calibri"/>
                <w:b/>
                <w:sz w:val="20"/>
                <w:szCs w:val="20"/>
              </w:rPr>
              <w:t xml:space="preserve">ontract </w:t>
            </w:r>
            <w:r w:rsidRPr="009232A3">
              <w:rPr>
                <w:rFonts w:ascii="Calibri" w:hAnsi="Calibri" w:cs="Calibri"/>
                <w:b/>
                <w:sz w:val="20"/>
                <w:szCs w:val="20"/>
              </w:rPr>
              <w:t>A</w:t>
            </w:r>
            <w:r w:rsidR="009232A3" w:rsidRPr="009232A3">
              <w:rPr>
                <w:rFonts w:ascii="Calibri" w:hAnsi="Calibri" w:cs="Calibri"/>
                <w:b/>
                <w:sz w:val="20"/>
                <w:szCs w:val="20"/>
              </w:rPr>
              <w:t>ctivity</w:t>
            </w:r>
            <w:r w:rsidR="00713215">
              <w:rPr>
                <w:rFonts w:ascii="Calibri" w:hAnsi="Calibri" w:cs="Calibri"/>
                <w:b/>
                <w:sz w:val="20"/>
                <w:szCs w:val="20"/>
              </w:rPr>
              <w:t xml:space="preserve"> (NCA)</w:t>
            </w:r>
            <w:r w:rsidRPr="009232A3">
              <w:rPr>
                <w:rFonts w:ascii="Calibri" w:hAnsi="Calibri" w:cs="Calibri"/>
                <w:b/>
                <w:sz w:val="20"/>
                <w:szCs w:val="20"/>
              </w:rPr>
              <w:t>;</w:t>
            </w:r>
            <w:r w:rsidRPr="009232A3">
              <w:rPr>
                <w:rFonts w:ascii="Calibri" w:hAnsi="Calibri" w:cs="Calibri"/>
                <w:sz w:val="20"/>
                <w:szCs w:val="20"/>
              </w:rPr>
              <w:t xml:space="preserve"> </w:t>
            </w:r>
            <w:r w:rsidR="009232A3">
              <w:rPr>
                <w:rFonts w:ascii="Calibri" w:hAnsi="Calibri" w:cs="Calibri"/>
                <w:sz w:val="20"/>
                <w:szCs w:val="20"/>
              </w:rPr>
              <w:t xml:space="preserve">The increase in the Forecast Outturn </w:t>
            </w:r>
            <w:proofErr w:type="gramStart"/>
            <w:r w:rsidR="009232A3">
              <w:rPr>
                <w:rFonts w:ascii="Calibri" w:hAnsi="Calibri" w:cs="Calibri"/>
                <w:sz w:val="20"/>
                <w:szCs w:val="20"/>
              </w:rPr>
              <w:t xml:space="preserve">is </w:t>
            </w:r>
            <w:r w:rsidRPr="009232A3">
              <w:rPr>
                <w:rFonts w:ascii="Calibri" w:hAnsi="Calibri" w:cs="Calibri"/>
                <w:sz w:val="20"/>
                <w:szCs w:val="20"/>
              </w:rPr>
              <w:t xml:space="preserve"> primarily</w:t>
            </w:r>
            <w:proofErr w:type="gramEnd"/>
            <w:r w:rsidRPr="009232A3">
              <w:rPr>
                <w:rFonts w:ascii="Calibri" w:hAnsi="Calibri" w:cs="Calibri"/>
                <w:sz w:val="20"/>
                <w:szCs w:val="20"/>
              </w:rPr>
              <w:t xml:space="preserve"> due to £156k of costs for </w:t>
            </w:r>
            <w:r w:rsidR="009232A3">
              <w:rPr>
                <w:rFonts w:ascii="Calibri" w:hAnsi="Calibri" w:cs="Calibri"/>
                <w:sz w:val="20"/>
                <w:szCs w:val="20"/>
              </w:rPr>
              <w:t>one</w:t>
            </w:r>
            <w:r w:rsidRPr="009232A3">
              <w:rPr>
                <w:rFonts w:ascii="Calibri" w:hAnsi="Calibri" w:cs="Calibri"/>
                <w:sz w:val="20"/>
                <w:szCs w:val="20"/>
              </w:rPr>
              <w:t xml:space="preserve"> Out of Area patient. These costs had previously been </w:t>
            </w:r>
            <w:r w:rsidR="009232A3">
              <w:rPr>
                <w:rFonts w:ascii="Calibri" w:hAnsi="Calibri" w:cs="Calibri"/>
                <w:sz w:val="20"/>
                <w:szCs w:val="20"/>
              </w:rPr>
              <w:t>included as a risk</w:t>
            </w:r>
            <w:r w:rsidRPr="009232A3">
              <w:rPr>
                <w:rFonts w:ascii="Calibri" w:hAnsi="Calibri" w:cs="Calibri"/>
                <w:sz w:val="20"/>
                <w:szCs w:val="20"/>
              </w:rPr>
              <w:t>.</w:t>
            </w:r>
          </w:p>
          <w:p w:rsidR="0022046E" w:rsidRDefault="0022046E" w:rsidP="000D1B0D">
            <w:pPr>
              <w:pStyle w:val="Default"/>
              <w:jc w:val="both"/>
              <w:rPr>
                <w:rFonts w:ascii="Calibri" w:hAnsi="Calibri" w:cs="Calibri"/>
                <w:sz w:val="20"/>
                <w:szCs w:val="20"/>
              </w:rPr>
            </w:pPr>
          </w:p>
          <w:p w:rsidR="0022046E" w:rsidRDefault="0022046E" w:rsidP="000D1B0D">
            <w:pPr>
              <w:pStyle w:val="Default"/>
              <w:jc w:val="both"/>
              <w:rPr>
                <w:rFonts w:ascii="Calibri" w:hAnsi="Calibri" w:cs="Calibri"/>
                <w:sz w:val="20"/>
                <w:szCs w:val="20"/>
              </w:rPr>
            </w:pPr>
            <w:r w:rsidRPr="0022046E">
              <w:rPr>
                <w:rFonts w:ascii="Calibri" w:hAnsi="Calibri" w:cs="Calibri"/>
                <w:b/>
                <w:sz w:val="20"/>
                <w:szCs w:val="20"/>
              </w:rPr>
              <w:t>Adult Social Care;</w:t>
            </w:r>
            <w:r w:rsidRPr="0022046E">
              <w:rPr>
                <w:rFonts w:ascii="Calibri" w:hAnsi="Calibri" w:cs="Calibri"/>
                <w:sz w:val="20"/>
                <w:szCs w:val="20"/>
              </w:rPr>
              <w:t xml:space="preserve"> Key movements from the last report are (</w:t>
            </w:r>
            <w:proofErr w:type="spellStart"/>
            <w:r w:rsidRPr="0022046E">
              <w:rPr>
                <w:rFonts w:ascii="Calibri" w:hAnsi="Calibri" w:cs="Calibri"/>
                <w:sz w:val="20"/>
                <w:szCs w:val="20"/>
              </w:rPr>
              <w:t>i</w:t>
            </w:r>
            <w:proofErr w:type="spellEnd"/>
            <w:r w:rsidRPr="0022046E">
              <w:rPr>
                <w:rFonts w:ascii="Calibri" w:hAnsi="Calibri" w:cs="Calibri"/>
                <w:sz w:val="20"/>
                <w:szCs w:val="20"/>
              </w:rPr>
              <w:t xml:space="preserve">) an decrease in Community spend and (ii)  increase in Service Development spend. This in the main is due to increase in recoup in relation to direct payments and a reduction in forecast spend in relation to </w:t>
            </w:r>
            <w:r w:rsidR="009B4B1E" w:rsidRPr="0022046E">
              <w:rPr>
                <w:rFonts w:ascii="Calibri" w:hAnsi="Calibri" w:cs="Calibri"/>
                <w:sz w:val="20"/>
                <w:szCs w:val="20"/>
              </w:rPr>
              <w:t>non-recurrent</w:t>
            </w:r>
            <w:r w:rsidRPr="0022046E">
              <w:rPr>
                <w:rFonts w:ascii="Calibri" w:hAnsi="Calibri" w:cs="Calibri"/>
                <w:sz w:val="20"/>
                <w:szCs w:val="20"/>
              </w:rPr>
              <w:t xml:space="preserve"> spend on Supported Living along with reduced drawdown of </w:t>
            </w:r>
            <w:r w:rsidR="009B4B1E" w:rsidRPr="0022046E">
              <w:rPr>
                <w:rFonts w:ascii="Calibri" w:hAnsi="Calibri" w:cs="Calibri"/>
                <w:sz w:val="20"/>
                <w:szCs w:val="20"/>
              </w:rPr>
              <w:t>non-recurrent</w:t>
            </w:r>
            <w:r w:rsidRPr="0022046E">
              <w:rPr>
                <w:rFonts w:ascii="Calibri" w:hAnsi="Calibri" w:cs="Calibri"/>
                <w:sz w:val="20"/>
                <w:szCs w:val="20"/>
              </w:rPr>
              <w:t xml:space="preserve"> funding from the Council.</w:t>
            </w:r>
          </w:p>
          <w:p w:rsidR="00267CA4" w:rsidRDefault="00267CA4" w:rsidP="000D1B0D">
            <w:pPr>
              <w:pStyle w:val="Default"/>
              <w:jc w:val="both"/>
              <w:rPr>
                <w:rFonts w:ascii="Calibri" w:hAnsi="Calibri" w:cs="Calibri"/>
                <w:sz w:val="20"/>
                <w:szCs w:val="20"/>
              </w:rPr>
            </w:pPr>
          </w:p>
          <w:p w:rsidR="00A41667" w:rsidRPr="005341D0" w:rsidRDefault="005341D0" w:rsidP="000D1B0D">
            <w:pPr>
              <w:pStyle w:val="Default"/>
              <w:jc w:val="both"/>
              <w:rPr>
                <w:rFonts w:ascii="Calibri" w:hAnsi="Calibri" w:cs="Calibri"/>
                <w:b/>
                <w:sz w:val="20"/>
                <w:szCs w:val="20"/>
              </w:rPr>
            </w:pPr>
            <w:r w:rsidRPr="005341D0">
              <w:rPr>
                <w:rFonts w:ascii="Calibri" w:hAnsi="Calibri" w:cs="Calibri"/>
                <w:b/>
                <w:sz w:val="20"/>
                <w:szCs w:val="20"/>
              </w:rPr>
              <w:t>Significant changes since January 19 to bring to Governing Body Members attention;</w:t>
            </w:r>
          </w:p>
          <w:p w:rsidR="005341D0" w:rsidRPr="009232A3" w:rsidRDefault="005341D0" w:rsidP="000D1B0D">
            <w:pPr>
              <w:pStyle w:val="Default"/>
              <w:jc w:val="both"/>
              <w:rPr>
                <w:rFonts w:ascii="Calibri" w:hAnsi="Calibri" w:cs="Calibri"/>
                <w:sz w:val="20"/>
                <w:szCs w:val="20"/>
                <w:highlight w:val="yellow"/>
              </w:rPr>
            </w:pPr>
          </w:p>
          <w:p w:rsidR="005341D0" w:rsidRDefault="00267CA4" w:rsidP="000D1B0D">
            <w:pPr>
              <w:pStyle w:val="Default"/>
              <w:jc w:val="both"/>
              <w:rPr>
                <w:rFonts w:ascii="Calibri" w:hAnsi="Calibri" w:cs="Calibri"/>
                <w:sz w:val="20"/>
                <w:szCs w:val="20"/>
              </w:rPr>
            </w:pPr>
            <w:r w:rsidRPr="005341D0">
              <w:rPr>
                <w:rFonts w:ascii="Calibri" w:hAnsi="Calibri" w:cs="Calibri"/>
                <w:b/>
                <w:sz w:val="20"/>
                <w:szCs w:val="20"/>
              </w:rPr>
              <w:t>Prescribing;</w:t>
            </w:r>
            <w:r w:rsidRPr="005341D0">
              <w:rPr>
                <w:rFonts w:ascii="Calibri" w:hAnsi="Calibri" w:cs="Calibri"/>
                <w:sz w:val="20"/>
                <w:szCs w:val="20"/>
              </w:rPr>
              <w:t xml:space="preserve"> an improvement has been seen in the prescribing </w:t>
            </w:r>
            <w:r w:rsidR="00720BF3" w:rsidRPr="005341D0">
              <w:rPr>
                <w:rFonts w:ascii="Calibri" w:hAnsi="Calibri" w:cs="Calibri"/>
                <w:sz w:val="20"/>
                <w:szCs w:val="20"/>
              </w:rPr>
              <w:t xml:space="preserve">forecast </w:t>
            </w:r>
            <w:r w:rsidRPr="005341D0">
              <w:rPr>
                <w:rFonts w:ascii="Calibri" w:hAnsi="Calibri" w:cs="Calibri"/>
                <w:sz w:val="20"/>
                <w:szCs w:val="20"/>
              </w:rPr>
              <w:t>position of £152k relating to</w:t>
            </w:r>
            <w:r w:rsidR="005341D0">
              <w:rPr>
                <w:rFonts w:ascii="Calibri" w:hAnsi="Calibri" w:cs="Calibri"/>
                <w:sz w:val="20"/>
                <w:szCs w:val="20"/>
              </w:rPr>
              <w:t xml:space="preserve"> 2 key factors:-</w:t>
            </w:r>
            <w:r w:rsidRPr="005341D0">
              <w:rPr>
                <w:rFonts w:ascii="Calibri" w:hAnsi="Calibri" w:cs="Calibri"/>
                <w:sz w:val="20"/>
                <w:szCs w:val="20"/>
              </w:rPr>
              <w:t xml:space="preserve"> </w:t>
            </w:r>
          </w:p>
          <w:p w:rsidR="005341D0" w:rsidRDefault="001521B4" w:rsidP="005341D0">
            <w:pPr>
              <w:pStyle w:val="Default"/>
              <w:numPr>
                <w:ilvl w:val="0"/>
                <w:numId w:val="10"/>
              </w:numPr>
              <w:jc w:val="both"/>
              <w:rPr>
                <w:rFonts w:ascii="Calibri" w:hAnsi="Calibri" w:cs="Calibri"/>
                <w:sz w:val="20"/>
                <w:szCs w:val="20"/>
              </w:rPr>
            </w:pPr>
            <w:r w:rsidRPr="005341D0">
              <w:rPr>
                <w:rFonts w:ascii="Calibri" w:hAnsi="Calibri" w:cs="Calibri"/>
                <w:sz w:val="20"/>
                <w:szCs w:val="20"/>
              </w:rPr>
              <w:t>14,000</w:t>
            </w:r>
            <w:r w:rsidR="00267CA4" w:rsidRPr="005341D0">
              <w:rPr>
                <w:rFonts w:ascii="Calibri" w:hAnsi="Calibri" w:cs="Calibri"/>
                <w:sz w:val="20"/>
                <w:szCs w:val="20"/>
              </w:rPr>
              <w:t xml:space="preserve"> </w:t>
            </w:r>
            <w:r w:rsidRPr="005341D0">
              <w:rPr>
                <w:rFonts w:ascii="Calibri" w:hAnsi="Calibri" w:cs="Calibri"/>
                <w:sz w:val="20"/>
                <w:szCs w:val="20"/>
              </w:rPr>
              <w:t xml:space="preserve"> less </w:t>
            </w:r>
            <w:r w:rsidR="00267CA4" w:rsidRPr="005341D0">
              <w:rPr>
                <w:rFonts w:ascii="Calibri" w:hAnsi="Calibri" w:cs="Calibri"/>
                <w:sz w:val="20"/>
                <w:szCs w:val="20"/>
              </w:rPr>
              <w:t xml:space="preserve">items prescribed </w:t>
            </w:r>
            <w:r w:rsidR="001851BD" w:rsidRPr="005341D0">
              <w:rPr>
                <w:rFonts w:ascii="Calibri" w:hAnsi="Calibri" w:cs="Calibri"/>
                <w:sz w:val="20"/>
                <w:szCs w:val="20"/>
              </w:rPr>
              <w:t xml:space="preserve">in December 18 </w:t>
            </w:r>
            <w:r w:rsidR="005341D0">
              <w:rPr>
                <w:rFonts w:ascii="Calibri" w:hAnsi="Calibri" w:cs="Calibri"/>
                <w:sz w:val="20"/>
                <w:szCs w:val="20"/>
              </w:rPr>
              <w:t>than</w:t>
            </w:r>
            <w:r w:rsidR="001851BD" w:rsidRPr="005341D0">
              <w:rPr>
                <w:rFonts w:ascii="Calibri" w:hAnsi="Calibri" w:cs="Calibri"/>
                <w:sz w:val="20"/>
                <w:szCs w:val="20"/>
              </w:rPr>
              <w:t xml:space="preserve"> that expected, </w:t>
            </w:r>
          </w:p>
          <w:p w:rsidR="00267CA4" w:rsidRPr="005341D0" w:rsidRDefault="00267CA4" w:rsidP="005341D0">
            <w:pPr>
              <w:pStyle w:val="Default"/>
              <w:numPr>
                <w:ilvl w:val="0"/>
                <w:numId w:val="10"/>
              </w:numPr>
              <w:jc w:val="both"/>
              <w:rPr>
                <w:rFonts w:ascii="Calibri" w:hAnsi="Calibri" w:cs="Calibri"/>
                <w:sz w:val="20"/>
                <w:szCs w:val="20"/>
              </w:rPr>
            </w:pPr>
            <w:proofErr w:type="gramStart"/>
            <w:r w:rsidRPr="005341D0">
              <w:rPr>
                <w:rFonts w:ascii="Calibri" w:hAnsi="Calibri" w:cs="Calibri"/>
                <w:sz w:val="20"/>
                <w:szCs w:val="20"/>
              </w:rPr>
              <w:t>increase</w:t>
            </w:r>
            <w:r w:rsidR="009B4B1E" w:rsidRPr="005341D0">
              <w:rPr>
                <w:rFonts w:ascii="Calibri" w:hAnsi="Calibri" w:cs="Calibri"/>
                <w:sz w:val="20"/>
                <w:szCs w:val="20"/>
              </w:rPr>
              <w:t>d</w:t>
            </w:r>
            <w:proofErr w:type="gramEnd"/>
            <w:r w:rsidR="009B4B1E" w:rsidRPr="005341D0">
              <w:rPr>
                <w:rFonts w:ascii="Calibri" w:hAnsi="Calibri" w:cs="Calibri"/>
                <w:sz w:val="20"/>
                <w:szCs w:val="20"/>
              </w:rPr>
              <w:t xml:space="preserve"> drug </w:t>
            </w:r>
            <w:r w:rsidRPr="005341D0">
              <w:rPr>
                <w:rFonts w:ascii="Calibri" w:hAnsi="Calibri" w:cs="Calibri"/>
                <w:sz w:val="20"/>
                <w:szCs w:val="20"/>
              </w:rPr>
              <w:t>rebates</w:t>
            </w:r>
            <w:r w:rsidR="001851BD" w:rsidRPr="005341D0">
              <w:rPr>
                <w:rFonts w:ascii="Calibri" w:hAnsi="Calibri" w:cs="Calibri"/>
                <w:sz w:val="20"/>
                <w:szCs w:val="20"/>
              </w:rPr>
              <w:t xml:space="preserve"> </w:t>
            </w:r>
            <w:r w:rsidR="004126BC" w:rsidRPr="005341D0">
              <w:rPr>
                <w:rFonts w:ascii="Calibri" w:hAnsi="Calibri" w:cs="Calibri"/>
                <w:sz w:val="20"/>
                <w:szCs w:val="20"/>
              </w:rPr>
              <w:t>to that originally</w:t>
            </w:r>
            <w:r w:rsidR="009B4B1E" w:rsidRPr="005341D0">
              <w:rPr>
                <w:rFonts w:ascii="Calibri" w:hAnsi="Calibri" w:cs="Calibri"/>
                <w:sz w:val="20"/>
                <w:szCs w:val="20"/>
              </w:rPr>
              <w:t xml:space="preserve"> forecast</w:t>
            </w:r>
            <w:r w:rsidRPr="005341D0">
              <w:rPr>
                <w:rFonts w:ascii="Calibri" w:hAnsi="Calibri" w:cs="Calibri"/>
                <w:sz w:val="20"/>
                <w:szCs w:val="20"/>
              </w:rPr>
              <w:t>.</w:t>
            </w:r>
          </w:p>
          <w:p w:rsidR="00267CA4" w:rsidRPr="009232A3" w:rsidRDefault="00267CA4" w:rsidP="000D1B0D">
            <w:pPr>
              <w:pStyle w:val="Default"/>
              <w:jc w:val="both"/>
              <w:rPr>
                <w:rFonts w:ascii="Calibri" w:hAnsi="Calibri" w:cs="Calibri"/>
                <w:sz w:val="20"/>
                <w:szCs w:val="20"/>
                <w:highlight w:val="yellow"/>
              </w:rPr>
            </w:pPr>
          </w:p>
          <w:p w:rsidR="00720BF3" w:rsidRPr="005341D0" w:rsidRDefault="00720BF3" w:rsidP="000D1B0D">
            <w:pPr>
              <w:pStyle w:val="Default"/>
              <w:jc w:val="both"/>
              <w:rPr>
                <w:rFonts w:ascii="Calibri" w:hAnsi="Calibri" w:cs="Calibri"/>
                <w:sz w:val="20"/>
                <w:szCs w:val="20"/>
              </w:rPr>
            </w:pPr>
            <w:r w:rsidRPr="005341D0">
              <w:rPr>
                <w:rFonts w:ascii="Calibri" w:hAnsi="Calibri" w:cs="Calibri"/>
                <w:b/>
                <w:sz w:val="20"/>
                <w:szCs w:val="20"/>
              </w:rPr>
              <w:t xml:space="preserve">Hull &amp; East Yorkshire Hospital; </w:t>
            </w:r>
            <w:r w:rsidRPr="005341D0">
              <w:rPr>
                <w:rFonts w:ascii="Calibri" w:hAnsi="Calibri" w:cs="Calibri"/>
                <w:sz w:val="20"/>
                <w:szCs w:val="20"/>
              </w:rPr>
              <w:t>an improvement of £75k in the forecast position due to elective continuing to be under plan.</w:t>
            </w:r>
          </w:p>
          <w:p w:rsidR="00720BF3" w:rsidRPr="009232A3" w:rsidRDefault="00720BF3" w:rsidP="000D1B0D">
            <w:pPr>
              <w:pStyle w:val="Default"/>
              <w:jc w:val="both"/>
              <w:rPr>
                <w:rFonts w:ascii="Calibri" w:hAnsi="Calibri" w:cs="Calibri"/>
                <w:sz w:val="20"/>
                <w:szCs w:val="20"/>
                <w:highlight w:val="yellow"/>
              </w:rPr>
            </w:pPr>
          </w:p>
          <w:p w:rsidR="00267CA4" w:rsidRPr="005341D0" w:rsidRDefault="00267CA4" w:rsidP="000D1B0D">
            <w:pPr>
              <w:pStyle w:val="Default"/>
              <w:jc w:val="both"/>
              <w:rPr>
                <w:rFonts w:ascii="Calibri" w:hAnsi="Calibri" w:cs="Calibri"/>
                <w:sz w:val="20"/>
                <w:szCs w:val="20"/>
              </w:rPr>
            </w:pPr>
            <w:r w:rsidRPr="005341D0">
              <w:rPr>
                <w:rFonts w:ascii="Calibri" w:hAnsi="Calibri" w:cs="Calibri"/>
                <w:b/>
                <w:sz w:val="20"/>
                <w:szCs w:val="20"/>
              </w:rPr>
              <w:t>East Midlands Ambulanc</w:t>
            </w:r>
            <w:r w:rsidRPr="005341D0">
              <w:rPr>
                <w:rFonts w:ascii="Calibri" w:hAnsi="Calibri" w:cs="Calibri"/>
                <w:sz w:val="20"/>
                <w:szCs w:val="20"/>
              </w:rPr>
              <w:t xml:space="preserve">e; an improvement in the </w:t>
            </w:r>
            <w:r w:rsidR="00720BF3" w:rsidRPr="005341D0">
              <w:rPr>
                <w:rFonts w:ascii="Calibri" w:hAnsi="Calibri" w:cs="Calibri"/>
                <w:sz w:val="20"/>
                <w:szCs w:val="20"/>
              </w:rPr>
              <w:t xml:space="preserve">forecast </w:t>
            </w:r>
            <w:r w:rsidRPr="005341D0">
              <w:rPr>
                <w:rFonts w:ascii="Calibri" w:hAnsi="Calibri" w:cs="Calibri"/>
                <w:sz w:val="20"/>
                <w:szCs w:val="20"/>
              </w:rPr>
              <w:t xml:space="preserve">position of £88k has been seen, due to the </w:t>
            </w:r>
            <w:proofErr w:type="spellStart"/>
            <w:proofErr w:type="gramStart"/>
            <w:r w:rsidRPr="005341D0">
              <w:rPr>
                <w:rFonts w:ascii="Calibri" w:hAnsi="Calibri" w:cs="Calibri"/>
                <w:sz w:val="20"/>
                <w:szCs w:val="20"/>
              </w:rPr>
              <w:t>non achievement</w:t>
            </w:r>
            <w:proofErr w:type="spellEnd"/>
            <w:proofErr w:type="gramEnd"/>
            <w:r w:rsidRPr="005341D0">
              <w:rPr>
                <w:rFonts w:ascii="Calibri" w:hAnsi="Calibri" w:cs="Calibri"/>
                <w:sz w:val="20"/>
                <w:szCs w:val="20"/>
              </w:rPr>
              <w:t xml:space="preserve"> of performance trajectories.</w:t>
            </w:r>
          </w:p>
          <w:p w:rsidR="00267CA4" w:rsidRDefault="00267CA4" w:rsidP="000D1B0D">
            <w:pPr>
              <w:pStyle w:val="Default"/>
              <w:jc w:val="both"/>
              <w:rPr>
                <w:rFonts w:ascii="Calibri" w:hAnsi="Calibri" w:cs="Calibri"/>
                <w:sz w:val="20"/>
                <w:szCs w:val="20"/>
              </w:rPr>
            </w:pPr>
          </w:p>
          <w:p w:rsidR="00A41667" w:rsidRDefault="0022046E" w:rsidP="000D1B0D">
            <w:pPr>
              <w:pStyle w:val="Default"/>
              <w:jc w:val="both"/>
              <w:rPr>
                <w:rFonts w:ascii="Calibri" w:hAnsi="Calibri" w:cs="Calibri"/>
                <w:sz w:val="20"/>
                <w:szCs w:val="20"/>
              </w:rPr>
            </w:pPr>
            <w:r w:rsidRPr="0022046E">
              <w:rPr>
                <w:rFonts w:ascii="Calibri" w:hAnsi="Calibri" w:cs="Calibri"/>
                <w:b/>
                <w:sz w:val="20"/>
                <w:szCs w:val="20"/>
              </w:rPr>
              <w:t>Allocations;</w:t>
            </w:r>
            <w:r w:rsidRPr="0022046E">
              <w:rPr>
                <w:rFonts w:ascii="Calibri" w:hAnsi="Calibri" w:cs="Calibri"/>
                <w:sz w:val="20"/>
                <w:szCs w:val="20"/>
              </w:rPr>
              <w:t xml:space="preserve"> New allocation </w:t>
            </w:r>
            <w:r w:rsidR="005341D0">
              <w:rPr>
                <w:rFonts w:ascii="Calibri" w:hAnsi="Calibri" w:cs="Calibri"/>
                <w:sz w:val="20"/>
                <w:szCs w:val="20"/>
              </w:rPr>
              <w:t>received between November &amp; January</w:t>
            </w:r>
            <w:r w:rsidR="00B10221">
              <w:rPr>
                <w:rFonts w:ascii="Calibri" w:hAnsi="Calibri" w:cs="Calibri"/>
                <w:sz w:val="20"/>
                <w:szCs w:val="20"/>
              </w:rPr>
              <w:t xml:space="preserve"> </w:t>
            </w:r>
            <w:r w:rsidRPr="0022046E">
              <w:rPr>
                <w:rFonts w:ascii="Calibri" w:hAnsi="Calibri" w:cs="Calibri"/>
                <w:sz w:val="20"/>
                <w:szCs w:val="20"/>
              </w:rPr>
              <w:t>of £1.354m. This is for the following areas:</w:t>
            </w:r>
          </w:p>
          <w:tbl>
            <w:tblPr>
              <w:tblW w:w="8240" w:type="dxa"/>
              <w:tblLook w:val="04A0" w:firstRow="1" w:lastRow="0" w:firstColumn="1" w:lastColumn="0" w:noHBand="0" w:noVBand="1"/>
            </w:tblPr>
            <w:tblGrid>
              <w:gridCol w:w="4560"/>
              <w:gridCol w:w="1420"/>
              <w:gridCol w:w="920"/>
              <w:gridCol w:w="1340"/>
            </w:tblGrid>
            <w:tr w:rsidR="0022046E" w:rsidRPr="0022046E" w:rsidTr="0022046E">
              <w:trPr>
                <w:trHeight w:val="300"/>
              </w:trPr>
              <w:tc>
                <w:tcPr>
                  <w:tcW w:w="456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142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92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1340" w:type="dxa"/>
                  <w:tcBorders>
                    <w:top w:val="nil"/>
                    <w:left w:val="nil"/>
                    <w:bottom w:val="nil"/>
                    <w:right w:val="nil"/>
                  </w:tcBorders>
                  <w:shd w:val="clear" w:color="auto" w:fill="auto"/>
                  <w:vAlign w:val="center"/>
                  <w:hideMark/>
                </w:tcPr>
                <w:p w:rsidR="0022046E" w:rsidRPr="0022046E" w:rsidRDefault="0022046E" w:rsidP="0022046E">
                  <w:pPr>
                    <w:jc w:val="center"/>
                    <w:rPr>
                      <w:rFonts w:asciiTheme="minorHAnsi" w:hAnsiTheme="minorHAnsi" w:cs="Arial"/>
                      <w:sz w:val="20"/>
                      <w:lang w:eastAsia="en-GB"/>
                    </w:rPr>
                  </w:pPr>
                  <w:r w:rsidRPr="0022046E">
                    <w:rPr>
                      <w:rFonts w:asciiTheme="minorHAnsi" w:hAnsiTheme="minorHAnsi" w:cs="Arial"/>
                      <w:sz w:val="20"/>
                      <w:lang w:eastAsia="en-GB"/>
                    </w:rPr>
                    <w:t>£' m</w:t>
                  </w:r>
                </w:p>
              </w:tc>
            </w:tr>
            <w:tr w:rsidR="0022046E" w:rsidRPr="0022046E" w:rsidTr="0022046E">
              <w:trPr>
                <w:trHeight w:val="300"/>
              </w:trPr>
              <w:tc>
                <w:tcPr>
                  <w:tcW w:w="5980" w:type="dxa"/>
                  <w:gridSpan w:val="2"/>
                  <w:tcBorders>
                    <w:top w:val="nil"/>
                    <w:left w:val="nil"/>
                    <w:bottom w:val="nil"/>
                    <w:right w:val="nil"/>
                  </w:tcBorders>
                  <w:shd w:val="clear" w:color="auto" w:fill="auto"/>
                  <w:hideMark/>
                </w:tcPr>
                <w:p w:rsidR="0022046E" w:rsidRPr="0022046E" w:rsidRDefault="0022046E" w:rsidP="00C22A1B">
                  <w:pPr>
                    <w:rPr>
                      <w:rFonts w:asciiTheme="minorHAnsi" w:hAnsiTheme="minorHAnsi" w:cs="Arial"/>
                      <w:sz w:val="20"/>
                      <w:lang w:eastAsia="en-GB"/>
                    </w:rPr>
                  </w:pPr>
                  <w:r w:rsidRPr="0022046E">
                    <w:rPr>
                      <w:rFonts w:asciiTheme="minorHAnsi" w:hAnsiTheme="minorHAnsi" w:cs="Arial"/>
                      <w:sz w:val="20"/>
                      <w:lang w:eastAsia="en-GB"/>
                    </w:rPr>
                    <w:t xml:space="preserve">Perinatal </w:t>
                  </w:r>
                  <w:r w:rsidR="00C22A1B" w:rsidRPr="00C22A1B">
                    <w:rPr>
                      <w:rFonts w:asciiTheme="minorHAnsi" w:hAnsiTheme="minorHAnsi" w:cs="Arial"/>
                      <w:sz w:val="20"/>
                      <w:lang w:eastAsia="en-GB"/>
                    </w:rPr>
                    <w:t>Community Services</w:t>
                  </w:r>
                  <w:r w:rsidR="00C22A1B">
                    <w:rPr>
                      <w:rFonts w:asciiTheme="minorHAnsi" w:hAnsiTheme="minorHAnsi" w:cs="Arial"/>
                      <w:sz w:val="20"/>
                      <w:lang w:eastAsia="en-GB"/>
                    </w:rPr>
                    <w:t xml:space="preserve"> </w:t>
                  </w:r>
                  <w:r w:rsidRPr="0022046E">
                    <w:rPr>
                      <w:rFonts w:asciiTheme="minorHAnsi" w:hAnsiTheme="minorHAnsi" w:cs="Arial"/>
                      <w:sz w:val="20"/>
                      <w:lang w:eastAsia="en-GB"/>
                    </w:rPr>
                    <w:t>Development Fund Wave 2</w:t>
                  </w:r>
                </w:p>
              </w:tc>
              <w:tc>
                <w:tcPr>
                  <w:tcW w:w="92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1340" w:type="dxa"/>
                  <w:tcBorders>
                    <w:top w:val="nil"/>
                    <w:left w:val="nil"/>
                    <w:bottom w:val="nil"/>
                    <w:right w:val="nil"/>
                  </w:tcBorders>
                  <w:shd w:val="clear" w:color="auto" w:fill="auto"/>
                  <w:vAlign w:val="center"/>
                  <w:hideMark/>
                </w:tcPr>
                <w:p w:rsidR="0022046E" w:rsidRPr="0022046E" w:rsidRDefault="0022046E" w:rsidP="005341D0">
                  <w:pPr>
                    <w:jc w:val="center"/>
                    <w:rPr>
                      <w:rFonts w:asciiTheme="minorHAnsi" w:hAnsiTheme="minorHAnsi" w:cs="Arial"/>
                      <w:sz w:val="20"/>
                      <w:lang w:eastAsia="en-GB"/>
                    </w:rPr>
                  </w:pPr>
                  <w:r w:rsidRPr="0022046E">
                    <w:rPr>
                      <w:rFonts w:asciiTheme="minorHAnsi" w:hAnsiTheme="minorHAnsi" w:cs="Arial"/>
                      <w:sz w:val="20"/>
                      <w:lang w:eastAsia="en-GB"/>
                    </w:rPr>
                    <w:t>0.448</w:t>
                  </w:r>
                </w:p>
              </w:tc>
            </w:tr>
            <w:tr w:rsidR="0022046E" w:rsidRPr="0022046E" w:rsidTr="0022046E">
              <w:trPr>
                <w:trHeight w:val="300"/>
              </w:trPr>
              <w:tc>
                <w:tcPr>
                  <w:tcW w:w="6900" w:type="dxa"/>
                  <w:gridSpan w:val="3"/>
                  <w:tcBorders>
                    <w:top w:val="nil"/>
                    <w:left w:val="nil"/>
                    <w:bottom w:val="nil"/>
                    <w:right w:val="nil"/>
                  </w:tcBorders>
                  <w:shd w:val="clear" w:color="auto" w:fill="auto"/>
                  <w:hideMark/>
                </w:tcPr>
                <w:p w:rsidR="0022046E" w:rsidRPr="0022046E" w:rsidRDefault="0022046E" w:rsidP="0022046E">
                  <w:pPr>
                    <w:rPr>
                      <w:rFonts w:asciiTheme="minorHAnsi" w:hAnsiTheme="minorHAnsi" w:cs="Arial"/>
                      <w:sz w:val="20"/>
                      <w:lang w:eastAsia="en-GB"/>
                    </w:rPr>
                  </w:pPr>
                  <w:r w:rsidRPr="0022046E">
                    <w:rPr>
                      <w:rFonts w:asciiTheme="minorHAnsi" w:hAnsiTheme="minorHAnsi" w:cs="Arial"/>
                      <w:sz w:val="20"/>
                      <w:lang w:eastAsia="en-GB"/>
                    </w:rPr>
                    <w:t>Estates &amp; Technology Transformation Fund (ETTF)  Revenue</w:t>
                  </w:r>
                </w:p>
              </w:tc>
              <w:tc>
                <w:tcPr>
                  <w:tcW w:w="1340" w:type="dxa"/>
                  <w:tcBorders>
                    <w:top w:val="nil"/>
                    <w:left w:val="nil"/>
                    <w:bottom w:val="nil"/>
                    <w:right w:val="nil"/>
                  </w:tcBorders>
                  <w:shd w:val="clear" w:color="auto" w:fill="auto"/>
                  <w:vAlign w:val="center"/>
                  <w:hideMark/>
                </w:tcPr>
                <w:p w:rsidR="0022046E" w:rsidRPr="0022046E" w:rsidRDefault="0022046E" w:rsidP="005341D0">
                  <w:pPr>
                    <w:jc w:val="center"/>
                    <w:rPr>
                      <w:rFonts w:asciiTheme="minorHAnsi" w:hAnsiTheme="minorHAnsi" w:cs="Arial"/>
                      <w:sz w:val="20"/>
                      <w:lang w:eastAsia="en-GB"/>
                    </w:rPr>
                  </w:pPr>
                  <w:r w:rsidRPr="0022046E">
                    <w:rPr>
                      <w:rFonts w:asciiTheme="minorHAnsi" w:hAnsiTheme="minorHAnsi" w:cs="Arial"/>
                      <w:sz w:val="20"/>
                      <w:lang w:eastAsia="en-GB"/>
                    </w:rPr>
                    <w:t>0.350</w:t>
                  </w:r>
                </w:p>
              </w:tc>
            </w:tr>
            <w:tr w:rsidR="0022046E" w:rsidRPr="0022046E" w:rsidTr="0022046E">
              <w:trPr>
                <w:trHeight w:val="300"/>
              </w:trPr>
              <w:tc>
                <w:tcPr>
                  <w:tcW w:w="456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r w:rsidRPr="0022046E">
                    <w:rPr>
                      <w:rFonts w:asciiTheme="minorHAnsi" w:hAnsiTheme="minorHAnsi" w:cs="Arial"/>
                      <w:sz w:val="20"/>
                      <w:lang w:eastAsia="en-GB"/>
                    </w:rPr>
                    <w:t>Development of Primary Care networks</w:t>
                  </w:r>
                </w:p>
              </w:tc>
              <w:tc>
                <w:tcPr>
                  <w:tcW w:w="142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92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1340" w:type="dxa"/>
                  <w:tcBorders>
                    <w:top w:val="nil"/>
                    <w:left w:val="nil"/>
                    <w:bottom w:val="nil"/>
                    <w:right w:val="nil"/>
                  </w:tcBorders>
                  <w:shd w:val="clear" w:color="auto" w:fill="auto"/>
                  <w:vAlign w:val="center"/>
                  <w:hideMark/>
                </w:tcPr>
                <w:p w:rsidR="0022046E" w:rsidRPr="0022046E" w:rsidRDefault="0022046E" w:rsidP="005341D0">
                  <w:pPr>
                    <w:jc w:val="center"/>
                    <w:rPr>
                      <w:rFonts w:asciiTheme="minorHAnsi" w:hAnsiTheme="minorHAnsi" w:cs="Arial"/>
                      <w:sz w:val="20"/>
                      <w:lang w:eastAsia="en-GB"/>
                    </w:rPr>
                  </w:pPr>
                  <w:r w:rsidRPr="0022046E">
                    <w:rPr>
                      <w:rFonts w:asciiTheme="minorHAnsi" w:hAnsiTheme="minorHAnsi" w:cs="Arial"/>
                      <w:sz w:val="20"/>
                      <w:lang w:eastAsia="en-GB"/>
                    </w:rPr>
                    <w:t>0.171</w:t>
                  </w:r>
                </w:p>
              </w:tc>
            </w:tr>
            <w:tr w:rsidR="0022046E" w:rsidRPr="0022046E" w:rsidTr="0022046E">
              <w:trPr>
                <w:trHeight w:val="300"/>
              </w:trPr>
              <w:tc>
                <w:tcPr>
                  <w:tcW w:w="456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r w:rsidRPr="0022046E">
                    <w:rPr>
                      <w:rFonts w:asciiTheme="minorHAnsi" w:hAnsiTheme="minorHAnsi" w:cs="Arial"/>
                      <w:sz w:val="20"/>
                      <w:lang w:eastAsia="en-GB"/>
                    </w:rPr>
                    <w:t>GP Uplift</w:t>
                  </w:r>
                </w:p>
              </w:tc>
              <w:tc>
                <w:tcPr>
                  <w:tcW w:w="142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92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1340" w:type="dxa"/>
                  <w:tcBorders>
                    <w:top w:val="nil"/>
                    <w:left w:val="nil"/>
                    <w:bottom w:val="nil"/>
                    <w:right w:val="nil"/>
                  </w:tcBorders>
                  <w:shd w:val="clear" w:color="auto" w:fill="auto"/>
                  <w:vAlign w:val="center"/>
                  <w:hideMark/>
                </w:tcPr>
                <w:p w:rsidR="0022046E" w:rsidRPr="0022046E" w:rsidRDefault="0022046E" w:rsidP="005341D0">
                  <w:pPr>
                    <w:jc w:val="center"/>
                    <w:rPr>
                      <w:rFonts w:asciiTheme="minorHAnsi" w:hAnsiTheme="minorHAnsi" w:cs="Arial"/>
                      <w:sz w:val="20"/>
                      <w:lang w:eastAsia="en-GB"/>
                    </w:rPr>
                  </w:pPr>
                  <w:r w:rsidRPr="0022046E">
                    <w:rPr>
                      <w:rFonts w:asciiTheme="minorHAnsi" w:hAnsiTheme="minorHAnsi" w:cs="Arial"/>
                      <w:sz w:val="20"/>
                      <w:lang w:eastAsia="en-GB"/>
                    </w:rPr>
                    <w:t>0.174</w:t>
                  </w:r>
                </w:p>
              </w:tc>
            </w:tr>
            <w:tr w:rsidR="0022046E" w:rsidRPr="0022046E" w:rsidTr="0022046E">
              <w:trPr>
                <w:trHeight w:val="300"/>
              </w:trPr>
              <w:tc>
                <w:tcPr>
                  <w:tcW w:w="456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r w:rsidRPr="0022046E">
                    <w:rPr>
                      <w:rFonts w:asciiTheme="minorHAnsi" w:hAnsiTheme="minorHAnsi" w:cs="Arial"/>
                      <w:sz w:val="20"/>
                      <w:lang w:eastAsia="en-GB"/>
                    </w:rPr>
                    <w:t>DWP Employment Advisors in IAPT</w:t>
                  </w:r>
                </w:p>
              </w:tc>
              <w:tc>
                <w:tcPr>
                  <w:tcW w:w="142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92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1340" w:type="dxa"/>
                  <w:tcBorders>
                    <w:top w:val="nil"/>
                    <w:left w:val="nil"/>
                    <w:bottom w:val="nil"/>
                    <w:right w:val="nil"/>
                  </w:tcBorders>
                  <w:shd w:val="clear" w:color="auto" w:fill="auto"/>
                  <w:vAlign w:val="center"/>
                  <w:hideMark/>
                </w:tcPr>
                <w:p w:rsidR="0022046E" w:rsidRPr="0022046E" w:rsidRDefault="0022046E" w:rsidP="005341D0">
                  <w:pPr>
                    <w:jc w:val="center"/>
                    <w:rPr>
                      <w:rFonts w:asciiTheme="minorHAnsi" w:hAnsiTheme="minorHAnsi" w:cs="Arial"/>
                      <w:sz w:val="20"/>
                      <w:lang w:eastAsia="en-GB"/>
                    </w:rPr>
                  </w:pPr>
                  <w:r w:rsidRPr="0022046E">
                    <w:rPr>
                      <w:rFonts w:asciiTheme="minorHAnsi" w:hAnsiTheme="minorHAnsi" w:cs="Arial"/>
                      <w:sz w:val="20"/>
                      <w:lang w:eastAsia="en-GB"/>
                    </w:rPr>
                    <w:t>0.069</w:t>
                  </w:r>
                </w:p>
              </w:tc>
            </w:tr>
            <w:tr w:rsidR="0022046E" w:rsidRPr="0022046E" w:rsidTr="0022046E">
              <w:trPr>
                <w:trHeight w:val="300"/>
              </w:trPr>
              <w:tc>
                <w:tcPr>
                  <w:tcW w:w="456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r w:rsidRPr="0022046E">
                    <w:rPr>
                      <w:rFonts w:asciiTheme="minorHAnsi" w:hAnsiTheme="minorHAnsi" w:cs="Arial"/>
                      <w:sz w:val="20"/>
                      <w:lang w:eastAsia="en-GB"/>
                    </w:rPr>
                    <w:t>Mental Health Winter Pressures</w:t>
                  </w:r>
                </w:p>
              </w:tc>
              <w:tc>
                <w:tcPr>
                  <w:tcW w:w="142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92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1340" w:type="dxa"/>
                  <w:tcBorders>
                    <w:top w:val="nil"/>
                    <w:left w:val="nil"/>
                    <w:bottom w:val="nil"/>
                    <w:right w:val="nil"/>
                  </w:tcBorders>
                  <w:shd w:val="clear" w:color="auto" w:fill="auto"/>
                  <w:vAlign w:val="center"/>
                  <w:hideMark/>
                </w:tcPr>
                <w:p w:rsidR="0022046E" w:rsidRPr="0022046E" w:rsidRDefault="0022046E" w:rsidP="005341D0">
                  <w:pPr>
                    <w:jc w:val="center"/>
                    <w:rPr>
                      <w:rFonts w:asciiTheme="minorHAnsi" w:hAnsiTheme="minorHAnsi" w:cs="Arial"/>
                      <w:sz w:val="20"/>
                      <w:lang w:eastAsia="en-GB"/>
                    </w:rPr>
                  </w:pPr>
                  <w:r w:rsidRPr="0022046E">
                    <w:rPr>
                      <w:rFonts w:asciiTheme="minorHAnsi" w:hAnsiTheme="minorHAnsi" w:cs="Arial"/>
                      <w:sz w:val="20"/>
                      <w:lang w:eastAsia="en-GB"/>
                    </w:rPr>
                    <w:t>0.056</w:t>
                  </w:r>
                </w:p>
              </w:tc>
            </w:tr>
            <w:tr w:rsidR="0022046E" w:rsidRPr="0022046E" w:rsidTr="0022046E">
              <w:trPr>
                <w:trHeight w:val="300"/>
              </w:trPr>
              <w:tc>
                <w:tcPr>
                  <w:tcW w:w="456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r w:rsidRPr="0022046E">
                    <w:rPr>
                      <w:rFonts w:asciiTheme="minorHAnsi" w:hAnsiTheme="minorHAnsi" w:cs="Arial"/>
                      <w:sz w:val="20"/>
                      <w:lang w:eastAsia="en-GB"/>
                    </w:rPr>
                    <w:t>Green Paper Waiting Time Initiatives</w:t>
                  </w:r>
                </w:p>
              </w:tc>
              <w:tc>
                <w:tcPr>
                  <w:tcW w:w="142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92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1340" w:type="dxa"/>
                  <w:tcBorders>
                    <w:top w:val="nil"/>
                    <w:left w:val="nil"/>
                    <w:bottom w:val="nil"/>
                    <w:right w:val="nil"/>
                  </w:tcBorders>
                  <w:shd w:val="clear" w:color="auto" w:fill="auto"/>
                  <w:vAlign w:val="center"/>
                  <w:hideMark/>
                </w:tcPr>
                <w:p w:rsidR="0022046E" w:rsidRPr="0022046E" w:rsidRDefault="0022046E" w:rsidP="005341D0">
                  <w:pPr>
                    <w:jc w:val="center"/>
                    <w:rPr>
                      <w:rFonts w:asciiTheme="minorHAnsi" w:hAnsiTheme="minorHAnsi" w:cs="Arial"/>
                      <w:sz w:val="20"/>
                      <w:lang w:eastAsia="en-GB"/>
                    </w:rPr>
                  </w:pPr>
                  <w:r w:rsidRPr="0022046E">
                    <w:rPr>
                      <w:rFonts w:asciiTheme="minorHAnsi" w:hAnsiTheme="minorHAnsi" w:cs="Arial"/>
                      <w:sz w:val="20"/>
                      <w:lang w:eastAsia="en-GB"/>
                    </w:rPr>
                    <w:t>0.042</w:t>
                  </w:r>
                </w:p>
              </w:tc>
            </w:tr>
            <w:tr w:rsidR="0022046E" w:rsidRPr="0022046E" w:rsidTr="0022046E">
              <w:trPr>
                <w:trHeight w:val="300"/>
              </w:trPr>
              <w:tc>
                <w:tcPr>
                  <w:tcW w:w="456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r w:rsidRPr="0022046E">
                    <w:rPr>
                      <w:rFonts w:asciiTheme="minorHAnsi" w:hAnsiTheme="minorHAnsi" w:cs="Arial"/>
                      <w:sz w:val="20"/>
                      <w:lang w:eastAsia="en-GB"/>
                    </w:rPr>
                    <w:t>Other</w:t>
                  </w:r>
                </w:p>
              </w:tc>
              <w:tc>
                <w:tcPr>
                  <w:tcW w:w="142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92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1340" w:type="dxa"/>
                  <w:tcBorders>
                    <w:top w:val="nil"/>
                    <w:left w:val="nil"/>
                    <w:bottom w:val="nil"/>
                    <w:right w:val="nil"/>
                  </w:tcBorders>
                  <w:shd w:val="clear" w:color="auto" w:fill="auto"/>
                  <w:vAlign w:val="center"/>
                  <w:hideMark/>
                </w:tcPr>
                <w:p w:rsidR="0022046E" w:rsidRPr="0022046E" w:rsidRDefault="0022046E" w:rsidP="005341D0">
                  <w:pPr>
                    <w:jc w:val="center"/>
                    <w:rPr>
                      <w:rFonts w:asciiTheme="minorHAnsi" w:hAnsiTheme="minorHAnsi" w:cs="Arial"/>
                      <w:sz w:val="20"/>
                      <w:lang w:eastAsia="en-GB"/>
                    </w:rPr>
                  </w:pPr>
                  <w:r w:rsidRPr="0022046E">
                    <w:rPr>
                      <w:rFonts w:asciiTheme="minorHAnsi" w:hAnsiTheme="minorHAnsi" w:cs="Arial"/>
                      <w:sz w:val="20"/>
                      <w:lang w:eastAsia="en-GB"/>
                    </w:rPr>
                    <w:t>0.044</w:t>
                  </w:r>
                </w:p>
              </w:tc>
            </w:tr>
            <w:tr w:rsidR="0022046E" w:rsidRPr="0022046E" w:rsidTr="0022046E">
              <w:trPr>
                <w:trHeight w:val="315"/>
              </w:trPr>
              <w:tc>
                <w:tcPr>
                  <w:tcW w:w="456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142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92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sz w:val="20"/>
                      <w:lang w:eastAsia="en-GB"/>
                    </w:rPr>
                  </w:pPr>
                </w:p>
              </w:tc>
              <w:tc>
                <w:tcPr>
                  <w:tcW w:w="1340" w:type="dxa"/>
                  <w:tcBorders>
                    <w:top w:val="single" w:sz="4" w:space="0" w:color="auto"/>
                    <w:left w:val="nil"/>
                    <w:bottom w:val="double" w:sz="6" w:space="0" w:color="auto"/>
                    <w:right w:val="nil"/>
                  </w:tcBorders>
                  <w:shd w:val="clear" w:color="auto" w:fill="auto"/>
                  <w:hideMark/>
                </w:tcPr>
                <w:p w:rsidR="0022046E" w:rsidRPr="0022046E" w:rsidRDefault="0022046E" w:rsidP="005341D0">
                  <w:pPr>
                    <w:jc w:val="center"/>
                    <w:rPr>
                      <w:rFonts w:asciiTheme="minorHAnsi" w:hAnsiTheme="minorHAnsi" w:cs="Arial"/>
                      <w:sz w:val="20"/>
                      <w:lang w:eastAsia="en-GB"/>
                    </w:rPr>
                  </w:pPr>
                  <w:r w:rsidRPr="0022046E">
                    <w:rPr>
                      <w:rFonts w:asciiTheme="minorHAnsi" w:hAnsiTheme="minorHAnsi" w:cs="Arial"/>
                      <w:sz w:val="20"/>
                      <w:lang w:eastAsia="en-GB"/>
                    </w:rPr>
                    <w:t>1.354</w:t>
                  </w:r>
                </w:p>
              </w:tc>
            </w:tr>
          </w:tbl>
          <w:p w:rsidR="00A41667" w:rsidRDefault="00A41667" w:rsidP="000D1B0D">
            <w:pPr>
              <w:pStyle w:val="Default"/>
              <w:jc w:val="both"/>
              <w:rPr>
                <w:rFonts w:ascii="Calibri" w:hAnsi="Calibri" w:cs="Calibri"/>
                <w:sz w:val="20"/>
                <w:szCs w:val="20"/>
              </w:rPr>
            </w:pPr>
          </w:p>
          <w:p w:rsidR="00A41667" w:rsidRPr="0022046E" w:rsidRDefault="0022046E" w:rsidP="000D1B0D">
            <w:pPr>
              <w:pStyle w:val="Default"/>
              <w:jc w:val="both"/>
              <w:rPr>
                <w:rFonts w:ascii="Calibri" w:hAnsi="Calibri" w:cs="Calibri"/>
                <w:b/>
                <w:sz w:val="20"/>
                <w:szCs w:val="20"/>
              </w:rPr>
            </w:pPr>
            <w:r w:rsidRPr="0022046E">
              <w:rPr>
                <w:rFonts w:ascii="Calibri" w:hAnsi="Calibri" w:cs="Calibri"/>
                <w:b/>
                <w:sz w:val="20"/>
                <w:szCs w:val="20"/>
              </w:rPr>
              <w:t>Risks &amp; Mitigations;</w:t>
            </w:r>
          </w:p>
          <w:tbl>
            <w:tblPr>
              <w:tblW w:w="8785" w:type="dxa"/>
              <w:tblLook w:val="04A0" w:firstRow="1" w:lastRow="0" w:firstColumn="1" w:lastColumn="0" w:noHBand="0" w:noVBand="1"/>
            </w:tblPr>
            <w:tblGrid>
              <w:gridCol w:w="3872"/>
              <w:gridCol w:w="1230"/>
              <w:gridCol w:w="1013"/>
              <w:gridCol w:w="1471"/>
              <w:gridCol w:w="1162"/>
            </w:tblGrid>
            <w:tr w:rsidR="0022046E" w:rsidRPr="0022046E" w:rsidTr="00ED276A">
              <w:trPr>
                <w:trHeight w:val="345"/>
              </w:trPr>
              <w:tc>
                <w:tcPr>
                  <w:tcW w:w="3929"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color w:val="000000"/>
                      <w:sz w:val="20"/>
                      <w:lang w:eastAsia="en-GB"/>
                    </w:rPr>
                  </w:pPr>
                </w:p>
              </w:tc>
              <w:tc>
                <w:tcPr>
                  <w:tcW w:w="1245" w:type="dxa"/>
                  <w:tcBorders>
                    <w:top w:val="nil"/>
                    <w:left w:val="nil"/>
                    <w:bottom w:val="nil"/>
                    <w:right w:val="nil"/>
                  </w:tcBorders>
                  <w:shd w:val="clear" w:color="auto" w:fill="auto"/>
                  <w:hideMark/>
                </w:tcPr>
                <w:p w:rsidR="0022046E" w:rsidRPr="0022046E" w:rsidRDefault="0022046E" w:rsidP="0022046E">
                  <w:pPr>
                    <w:jc w:val="center"/>
                    <w:rPr>
                      <w:rFonts w:asciiTheme="minorHAnsi" w:hAnsiTheme="minorHAnsi" w:cs="Arial"/>
                      <w:color w:val="000000"/>
                      <w:sz w:val="20"/>
                      <w:lang w:eastAsia="en-GB"/>
                    </w:rPr>
                  </w:pPr>
                  <w:r w:rsidRPr="0022046E">
                    <w:rPr>
                      <w:rFonts w:asciiTheme="minorHAnsi" w:hAnsiTheme="minorHAnsi" w:cs="Arial"/>
                      <w:color w:val="000000"/>
                      <w:sz w:val="20"/>
                      <w:lang w:eastAsia="en-GB"/>
                    </w:rPr>
                    <w:t>£'m</w:t>
                  </w:r>
                </w:p>
              </w:tc>
              <w:tc>
                <w:tcPr>
                  <w:tcW w:w="1025" w:type="dxa"/>
                  <w:tcBorders>
                    <w:top w:val="nil"/>
                    <w:left w:val="nil"/>
                    <w:bottom w:val="nil"/>
                    <w:right w:val="nil"/>
                  </w:tcBorders>
                  <w:shd w:val="clear" w:color="auto" w:fill="auto"/>
                  <w:hideMark/>
                </w:tcPr>
                <w:p w:rsidR="0022046E" w:rsidRPr="0022046E" w:rsidRDefault="0022046E" w:rsidP="0022046E">
                  <w:pPr>
                    <w:rPr>
                      <w:rFonts w:asciiTheme="minorHAnsi" w:hAnsiTheme="minorHAnsi" w:cs="Arial"/>
                      <w:color w:val="000000"/>
                      <w:sz w:val="20"/>
                      <w:lang w:eastAsia="en-GB"/>
                    </w:rPr>
                  </w:pPr>
                  <w:r w:rsidRPr="0022046E">
                    <w:rPr>
                      <w:rFonts w:asciiTheme="minorHAnsi" w:hAnsiTheme="minorHAnsi" w:cs="Arial"/>
                      <w:color w:val="000000"/>
                      <w:sz w:val="20"/>
                      <w:lang w:eastAsia="en-GB"/>
                    </w:rPr>
                    <w:t>£'m</w:t>
                  </w:r>
                </w:p>
              </w:tc>
              <w:tc>
                <w:tcPr>
                  <w:tcW w:w="1410" w:type="dxa"/>
                  <w:tcBorders>
                    <w:top w:val="nil"/>
                    <w:left w:val="nil"/>
                    <w:bottom w:val="nil"/>
                    <w:right w:val="nil"/>
                  </w:tcBorders>
                  <w:shd w:val="clear" w:color="auto" w:fill="auto"/>
                  <w:hideMark/>
                </w:tcPr>
                <w:p w:rsidR="0022046E" w:rsidRPr="0022046E" w:rsidRDefault="0022046E" w:rsidP="0022046E">
                  <w:pPr>
                    <w:jc w:val="both"/>
                    <w:rPr>
                      <w:rFonts w:asciiTheme="minorHAnsi" w:hAnsiTheme="minorHAnsi" w:cs="Arial"/>
                      <w:color w:val="000000"/>
                      <w:sz w:val="20"/>
                      <w:lang w:eastAsia="en-GB"/>
                    </w:rPr>
                  </w:pPr>
                  <w:r w:rsidRPr="0022046E">
                    <w:rPr>
                      <w:rFonts w:asciiTheme="minorHAnsi" w:hAnsiTheme="minorHAnsi" w:cs="Arial"/>
                      <w:color w:val="000000"/>
                      <w:sz w:val="20"/>
                      <w:lang w:eastAsia="en-GB"/>
                    </w:rPr>
                    <w:t>RAG rating</w:t>
                  </w:r>
                </w:p>
              </w:tc>
              <w:tc>
                <w:tcPr>
                  <w:tcW w:w="1176" w:type="dxa"/>
                  <w:tcBorders>
                    <w:top w:val="nil"/>
                    <w:left w:val="nil"/>
                    <w:bottom w:val="nil"/>
                    <w:right w:val="nil"/>
                  </w:tcBorders>
                  <w:shd w:val="clear" w:color="auto" w:fill="auto"/>
                  <w:hideMark/>
                </w:tcPr>
                <w:p w:rsidR="0022046E" w:rsidRPr="0022046E" w:rsidRDefault="0022046E" w:rsidP="0022046E">
                  <w:pPr>
                    <w:jc w:val="both"/>
                    <w:rPr>
                      <w:rFonts w:ascii="Calibri" w:hAnsi="Calibri"/>
                      <w:color w:val="000000"/>
                      <w:sz w:val="22"/>
                      <w:szCs w:val="22"/>
                      <w:lang w:eastAsia="en-GB"/>
                    </w:rPr>
                  </w:pPr>
                </w:p>
              </w:tc>
            </w:tr>
            <w:tr w:rsidR="0022046E" w:rsidRPr="0022046E" w:rsidTr="00ED276A">
              <w:trPr>
                <w:trHeight w:val="300"/>
              </w:trPr>
              <w:tc>
                <w:tcPr>
                  <w:tcW w:w="3929" w:type="dxa"/>
                  <w:tcBorders>
                    <w:top w:val="nil"/>
                    <w:left w:val="nil"/>
                    <w:bottom w:val="nil"/>
                    <w:right w:val="nil"/>
                  </w:tcBorders>
                  <w:shd w:val="clear" w:color="auto" w:fill="auto"/>
                  <w:noWrap/>
                  <w:vAlign w:val="bottom"/>
                  <w:hideMark/>
                </w:tcPr>
                <w:p w:rsidR="0022046E" w:rsidRPr="0022046E" w:rsidRDefault="0022046E" w:rsidP="0022046E">
                  <w:pPr>
                    <w:rPr>
                      <w:rFonts w:asciiTheme="minorHAnsi" w:hAnsiTheme="minorHAnsi" w:cs="Arial"/>
                      <w:color w:val="000000"/>
                      <w:sz w:val="20"/>
                      <w:lang w:eastAsia="en-GB"/>
                    </w:rPr>
                  </w:pPr>
                  <w:r w:rsidRPr="0022046E">
                    <w:rPr>
                      <w:rFonts w:asciiTheme="minorHAnsi" w:hAnsiTheme="minorHAnsi" w:cs="Arial"/>
                      <w:color w:val="000000"/>
                      <w:sz w:val="20"/>
                      <w:lang w:eastAsia="en-GB"/>
                    </w:rPr>
                    <w:t>Total Risks</w:t>
                  </w:r>
                </w:p>
              </w:tc>
              <w:tc>
                <w:tcPr>
                  <w:tcW w:w="1245" w:type="dxa"/>
                  <w:tcBorders>
                    <w:top w:val="nil"/>
                    <w:left w:val="nil"/>
                    <w:bottom w:val="nil"/>
                    <w:right w:val="nil"/>
                  </w:tcBorders>
                  <w:shd w:val="clear" w:color="auto" w:fill="auto"/>
                  <w:noWrap/>
                  <w:vAlign w:val="bottom"/>
                  <w:hideMark/>
                </w:tcPr>
                <w:p w:rsidR="0022046E" w:rsidRPr="0022046E" w:rsidRDefault="0022046E" w:rsidP="0022046E">
                  <w:pPr>
                    <w:jc w:val="center"/>
                    <w:rPr>
                      <w:rFonts w:asciiTheme="minorHAnsi" w:hAnsiTheme="minorHAnsi" w:cs="Arial"/>
                      <w:color w:val="000000"/>
                      <w:sz w:val="20"/>
                      <w:lang w:eastAsia="en-GB"/>
                    </w:rPr>
                  </w:pPr>
                </w:p>
              </w:tc>
              <w:tc>
                <w:tcPr>
                  <w:tcW w:w="1025" w:type="dxa"/>
                  <w:tcBorders>
                    <w:top w:val="nil"/>
                    <w:left w:val="nil"/>
                    <w:bottom w:val="nil"/>
                    <w:right w:val="nil"/>
                  </w:tcBorders>
                  <w:shd w:val="clear" w:color="auto" w:fill="auto"/>
                  <w:noWrap/>
                  <w:vAlign w:val="bottom"/>
                  <w:hideMark/>
                </w:tcPr>
                <w:p w:rsidR="0022046E" w:rsidRPr="0022046E" w:rsidRDefault="0022046E" w:rsidP="0022046E">
                  <w:pPr>
                    <w:rPr>
                      <w:rFonts w:asciiTheme="minorHAnsi" w:hAnsiTheme="minorHAnsi" w:cs="Arial"/>
                      <w:color w:val="000000"/>
                      <w:sz w:val="20"/>
                      <w:u w:val="single"/>
                      <w:lang w:eastAsia="en-GB"/>
                    </w:rPr>
                  </w:pPr>
                  <w:r w:rsidRPr="0022046E">
                    <w:rPr>
                      <w:rFonts w:asciiTheme="minorHAnsi" w:hAnsiTheme="minorHAnsi" w:cs="Arial"/>
                      <w:color w:val="000000"/>
                      <w:sz w:val="20"/>
                      <w:u w:val="single"/>
                      <w:lang w:eastAsia="en-GB"/>
                    </w:rPr>
                    <w:t>1.29m</w:t>
                  </w:r>
                </w:p>
              </w:tc>
              <w:tc>
                <w:tcPr>
                  <w:tcW w:w="1410" w:type="dxa"/>
                  <w:tcBorders>
                    <w:top w:val="nil"/>
                    <w:left w:val="nil"/>
                    <w:bottom w:val="nil"/>
                    <w:right w:val="nil"/>
                  </w:tcBorders>
                  <w:shd w:val="clear" w:color="auto" w:fill="auto"/>
                  <w:noWrap/>
                  <w:vAlign w:val="bottom"/>
                  <w:hideMark/>
                </w:tcPr>
                <w:p w:rsidR="0022046E" w:rsidRPr="0022046E" w:rsidRDefault="0022046E" w:rsidP="0022046E">
                  <w:pPr>
                    <w:rPr>
                      <w:rFonts w:asciiTheme="minorHAnsi" w:hAnsiTheme="minorHAnsi" w:cs="Arial"/>
                      <w:color w:val="000000"/>
                      <w:sz w:val="20"/>
                      <w:lang w:eastAsia="en-GB"/>
                    </w:rPr>
                  </w:pPr>
                </w:p>
              </w:tc>
              <w:tc>
                <w:tcPr>
                  <w:tcW w:w="1176" w:type="dxa"/>
                  <w:tcBorders>
                    <w:top w:val="nil"/>
                    <w:left w:val="nil"/>
                    <w:bottom w:val="nil"/>
                    <w:right w:val="nil"/>
                  </w:tcBorders>
                  <w:shd w:val="clear" w:color="auto" w:fill="auto"/>
                  <w:noWrap/>
                  <w:vAlign w:val="bottom"/>
                  <w:hideMark/>
                </w:tcPr>
                <w:p w:rsidR="0022046E" w:rsidRPr="0022046E" w:rsidRDefault="0022046E" w:rsidP="0022046E">
                  <w:pPr>
                    <w:rPr>
                      <w:rFonts w:ascii="Calibri" w:hAnsi="Calibri"/>
                      <w:color w:val="000000"/>
                      <w:sz w:val="22"/>
                      <w:szCs w:val="22"/>
                      <w:lang w:eastAsia="en-GB"/>
                    </w:rPr>
                  </w:pPr>
                </w:p>
              </w:tc>
            </w:tr>
            <w:tr w:rsidR="0022046E" w:rsidRPr="0022046E" w:rsidTr="00ED276A">
              <w:trPr>
                <w:trHeight w:val="330"/>
              </w:trPr>
              <w:tc>
                <w:tcPr>
                  <w:tcW w:w="3929" w:type="dxa"/>
                  <w:tcBorders>
                    <w:top w:val="nil"/>
                    <w:left w:val="nil"/>
                    <w:bottom w:val="nil"/>
                    <w:right w:val="nil"/>
                  </w:tcBorders>
                  <w:shd w:val="clear" w:color="auto" w:fill="auto"/>
                  <w:noWrap/>
                  <w:vAlign w:val="bottom"/>
                  <w:hideMark/>
                </w:tcPr>
                <w:p w:rsidR="0022046E" w:rsidRPr="0022046E" w:rsidRDefault="0022046E" w:rsidP="0022046E">
                  <w:pPr>
                    <w:rPr>
                      <w:rFonts w:asciiTheme="minorHAnsi" w:hAnsiTheme="minorHAnsi" w:cs="Arial"/>
                      <w:color w:val="000000"/>
                      <w:sz w:val="20"/>
                      <w:lang w:eastAsia="en-GB"/>
                    </w:rPr>
                  </w:pPr>
                  <w:r w:rsidRPr="0022046E">
                    <w:rPr>
                      <w:rFonts w:asciiTheme="minorHAnsi" w:hAnsiTheme="minorHAnsi" w:cs="Arial"/>
                      <w:color w:val="000000"/>
                      <w:sz w:val="20"/>
                      <w:u w:val="single"/>
                      <w:lang w:eastAsia="en-GB"/>
                    </w:rPr>
                    <w:t>Less</w:t>
                  </w:r>
                  <w:r w:rsidRPr="0022046E">
                    <w:rPr>
                      <w:rFonts w:asciiTheme="minorHAnsi" w:hAnsiTheme="minorHAnsi" w:cs="Arial"/>
                      <w:color w:val="000000"/>
                      <w:sz w:val="20"/>
                      <w:lang w:eastAsia="en-GB"/>
                    </w:rPr>
                    <w:t>: Mitigations</w:t>
                  </w:r>
                </w:p>
              </w:tc>
              <w:tc>
                <w:tcPr>
                  <w:tcW w:w="1245" w:type="dxa"/>
                  <w:tcBorders>
                    <w:top w:val="nil"/>
                    <w:left w:val="nil"/>
                    <w:bottom w:val="nil"/>
                    <w:right w:val="nil"/>
                  </w:tcBorders>
                  <w:shd w:val="clear" w:color="auto" w:fill="auto"/>
                  <w:noWrap/>
                  <w:vAlign w:val="bottom"/>
                  <w:hideMark/>
                </w:tcPr>
                <w:p w:rsidR="0022046E" w:rsidRPr="0022046E" w:rsidRDefault="0022046E" w:rsidP="0022046E">
                  <w:pPr>
                    <w:jc w:val="center"/>
                    <w:rPr>
                      <w:rFonts w:asciiTheme="minorHAnsi" w:hAnsiTheme="minorHAnsi" w:cs="Arial"/>
                      <w:color w:val="000000"/>
                      <w:sz w:val="20"/>
                      <w:lang w:eastAsia="en-GB"/>
                    </w:rPr>
                  </w:pPr>
                </w:p>
              </w:tc>
              <w:tc>
                <w:tcPr>
                  <w:tcW w:w="1025" w:type="dxa"/>
                  <w:tcBorders>
                    <w:top w:val="nil"/>
                    <w:left w:val="nil"/>
                    <w:bottom w:val="nil"/>
                    <w:right w:val="nil"/>
                  </w:tcBorders>
                  <w:shd w:val="clear" w:color="auto" w:fill="auto"/>
                  <w:noWrap/>
                  <w:vAlign w:val="bottom"/>
                  <w:hideMark/>
                </w:tcPr>
                <w:p w:rsidR="0022046E" w:rsidRPr="0022046E" w:rsidRDefault="0022046E" w:rsidP="0022046E">
                  <w:pPr>
                    <w:rPr>
                      <w:rFonts w:asciiTheme="minorHAnsi" w:hAnsiTheme="minorHAnsi" w:cs="Arial"/>
                      <w:color w:val="000000"/>
                      <w:sz w:val="20"/>
                      <w:lang w:eastAsia="en-GB"/>
                    </w:rPr>
                  </w:pPr>
                </w:p>
              </w:tc>
              <w:tc>
                <w:tcPr>
                  <w:tcW w:w="1410" w:type="dxa"/>
                  <w:tcBorders>
                    <w:top w:val="nil"/>
                    <w:left w:val="nil"/>
                    <w:bottom w:val="nil"/>
                    <w:right w:val="nil"/>
                  </w:tcBorders>
                  <w:shd w:val="clear" w:color="auto" w:fill="auto"/>
                  <w:noWrap/>
                  <w:vAlign w:val="bottom"/>
                  <w:hideMark/>
                </w:tcPr>
                <w:p w:rsidR="0022046E" w:rsidRPr="0022046E" w:rsidRDefault="0022046E" w:rsidP="0022046E">
                  <w:pPr>
                    <w:rPr>
                      <w:rFonts w:asciiTheme="minorHAnsi" w:hAnsiTheme="minorHAnsi" w:cs="Arial"/>
                      <w:color w:val="000000"/>
                      <w:sz w:val="20"/>
                      <w:lang w:eastAsia="en-GB"/>
                    </w:rPr>
                  </w:pPr>
                </w:p>
              </w:tc>
              <w:tc>
                <w:tcPr>
                  <w:tcW w:w="1176" w:type="dxa"/>
                  <w:tcBorders>
                    <w:top w:val="nil"/>
                    <w:left w:val="nil"/>
                    <w:bottom w:val="nil"/>
                    <w:right w:val="nil"/>
                  </w:tcBorders>
                  <w:shd w:val="clear" w:color="auto" w:fill="auto"/>
                  <w:noWrap/>
                  <w:vAlign w:val="bottom"/>
                  <w:hideMark/>
                </w:tcPr>
                <w:p w:rsidR="0022046E" w:rsidRPr="0022046E" w:rsidRDefault="0022046E" w:rsidP="0022046E">
                  <w:pPr>
                    <w:rPr>
                      <w:rFonts w:ascii="Calibri" w:hAnsi="Calibri"/>
                      <w:color w:val="000000"/>
                      <w:sz w:val="22"/>
                      <w:szCs w:val="22"/>
                      <w:lang w:eastAsia="en-GB"/>
                    </w:rPr>
                  </w:pPr>
                </w:p>
              </w:tc>
            </w:tr>
            <w:tr w:rsidR="0022046E" w:rsidRPr="0022046E" w:rsidTr="00ED276A">
              <w:trPr>
                <w:trHeight w:val="289"/>
              </w:trPr>
              <w:tc>
                <w:tcPr>
                  <w:tcW w:w="3929" w:type="dxa"/>
                  <w:tcBorders>
                    <w:top w:val="nil"/>
                    <w:left w:val="nil"/>
                    <w:bottom w:val="nil"/>
                    <w:right w:val="nil"/>
                  </w:tcBorders>
                  <w:shd w:val="clear" w:color="auto" w:fill="auto"/>
                  <w:noWrap/>
                  <w:vAlign w:val="bottom"/>
                  <w:hideMark/>
                </w:tcPr>
                <w:p w:rsidR="0022046E" w:rsidRPr="0022046E" w:rsidRDefault="0022046E" w:rsidP="0022046E">
                  <w:pPr>
                    <w:rPr>
                      <w:rFonts w:asciiTheme="minorHAnsi" w:hAnsiTheme="minorHAnsi" w:cs="Arial"/>
                      <w:color w:val="000000"/>
                      <w:sz w:val="20"/>
                      <w:lang w:eastAsia="en-GB"/>
                    </w:rPr>
                  </w:pPr>
                  <w:r w:rsidRPr="0022046E">
                    <w:rPr>
                      <w:rFonts w:asciiTheme="minorHAnsi" w:hAnsiTheme="minorHAnsi" w:cs="Arial"/>
                      <w:color w:val="000000"/>
                      <w:sz w:val="20"/>
                      <w:lang w:eastAsia="en-GB"/>
                    </w:rPr>
                    <w:t xml:space="preserve">          - Contract Reserves</w:t>
                  </w:r>
                </w:p>
              </w:tc>
              <w:tc>
                <w:tcPr>
                  <w:tcW w:w="1245" w:type="dxa"/>
                  <w:tcBorders>
                    <w:top w:val="nil"/>
                    <w:left w:val="nil"/>
                    <w:bottom w:val="nil"/>
                    <w:right w:val="nil"/>
                  </w:tcBorders>
                  <w:shd w:val="clear" w:color="auto" w:fill="auto"/>
                  <w:noWrap/>
                  <w:vAlign w:val="bottom"/>
                  <w:hideMark/>
                </w:tcPr>
                <w:p w:rsidR="0022046E" w:rsidRPr="0022046E" w:rsidRDefault="0022046E" w:rsidP="0022046E">
                  <w:pPr>
                    <w:jc w:val="center"/>
                    <w:rPr>
                      <w:rFonts w:asciiTheme="minorHAnsi" w:hAnsiTheme="minorHAnsi" w:cs="Arial"/>
                      <w:color w:val="000000"/>
                      <w:sz w:val="20"/>
                      <w:lang w:eastAsia="en-GB"/>
                    </w:rPr>
                  </w:pPr>
                  <w:r w:rsidRPr="0022046E">
                    <w:rPr>
                      <w:rFonts w:asciiTheme="minorHAnsi" w:hAnsiTheme="minorHAnsi" w:cs="Arial"/>
                      <w:color w:val="000000"/>
                      <w:sz w:val="20"/>
                      <w:lang w:eastAsia="en-GB"/>
                    </w:rPr>
                    <w:t>0.20m</w:t>
                  </w:r>
                </w:p>
              </w:tc>
              <w:tc>
                <w:tcPr>
                  <w:tcW w:w="1025" w:type="dxa"/>
                  <w:tcBorders>
                    <w:top w:val="nil"/>
                    <w:left w:val="nil"/>
                    <w:bottom w:val="nil"/>
                    <w:right w:val="nil"/>
                  </w:tcBorders>
                  <w:shd w:val="clear" w:color="auto" w:fill="auto"/>
                  <w:noWrap/>
                  <w:vAlign w:val="bottom"/>
                  <w:hideMark/>
                </w:tcPr>
                <w:p w:rsidR="0022046E" w:rsidRPr="0022046E" w:rsidRDefault="0022046E" w:rsidP="0022046E">
                  <w:pPr>
                    <w:rPr>
                      <w:rFonts w:asciiTheme="minorHAnsi" w:hAnsiTheme="minorHAnsi" w:cs="Arial"/>
                      <w:color w:val="000000"/>
                      <w:sz w:val="20"/>
                      <w:lang w:eastAsia="en-GB"/>
                    </w:rPr>
                  </w:pPr>
                </w:p>
              </w:tc>
              <w:tc>
                <w:tcPr>
                  <w:tcW w:w="1410" w:type="dxa"/>
                  <w:tcBorders>
                    <w:top w:val="nil"/>
                    <w:left w:val="nil"/>
                    <w:bottom w:val="nil"/>
                    <w:right w:val="nil"/>
                  </w:tcBorders>
                  <w:shd w:val="clear" w:color="auto" w:fill="auto"/>
                  <w:noWrap/>
                  <w:vAlign w:val="center"/>
                  <w:hideMark/>
                </w:tcPr>
                <w:p w:rsidR="0022046E" w:rsidRPr="0022046E" w:rsidRDefault="0022046E" w:rsidP="0022046E">
                  <w:pPr>
                    <w:jc w:val="center"/>
                    <w:rPr>
                      <w:rFonts w:asciiTheme="minorHAnsi" w:hAnsiTheme="minorHAnsi" w:cs="Arial"/>
                      <w:color w:val="C0504D"/>
                      <w:sz w:val="20"/>
                      <w:lang w:eastAsia="en-GB"/>
                    </w:rPr>
                  </w:pPr>
                  <w:r w:rsidRPr="0022046E">
                    <w:rPr>
                      <w:rFonts w:asciiTheme="minorHAnsi" w:hAnsiTheme="minorHAnsi"/>
                      <w:noProof/>
                      <w:sz w:val="20"/>
                      <w:lang w:eastAsia="en-GB"/>
                    </w:rPr>
                    <w:drawing>
                      <wp:inline distT="0" distB="0" distL="0" distR="0" wp14:anchorId="343DD7AF" wp14:editId="43882A11">
                        <wp:extent cx="809624" cy="35242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811417" cy="353205"/>
                                </a:xfrm>
                                <a:prstGeom prst="rect">
                                  <a:avLst/>
                                </a:prstGeom>
                              </pic:spPr>
                            </pic:pic>
                          </a:graphicData>
                        </a:graphic>
                      </wp:inline>
                    </w:drawing>
                  </w:r>
                </w:p>
              </w:tc>
              <w:tc>
                <w:tcPr>
                  <w:tcW w:w="1176" w:type="dxa"/>
                  <w:tcBorders>
                    <w:top w:val="nil"/>
                    <w:left w:val="nil"/>
                    <w:bottom w:val="nil"/>
                    <w:right w:val="nil"/>
                  </w:tcBorders>
                  <w:shd w:val="clear" w:color="auto" w:fill="auto"/>
                  <w:noWrap/>
                  <w:vAlign w:val="bottom"/>
                  <w:hideMark/>
                </w:tcPr>
                <w:p w:rsidR="0022046E" w:rsidRPr="0022046E" w:rsidRDefault="0022046E" w:rsidP="0022046E">
                  <w:pPr>
                    <w:rPr>
                      <w:rFonts w:ascii="Calibri" w:hAnsi="Calibri"/>
                      <w:color w:val="000000"/>
                      <w:sz w:val="22"/>
                      <w:szCs w:val="22"/>
                      <w:lang w:eastAsia="en-GB"/>
                    </w:rPr>
                  </w:pPr>
                </w:p>
              </w:tc>
            </w:tr>
            <w:tr w:rsidR="0022046E" w:rsidRPr="0022046E" w:rsidTr="00ED276A">
              <w:trPr>
                <w:trHeight w:val="289"/>
              </w:trPr>
              <w:tc>
                <w:tcPr>
                  <w:tcW w:w="3929" w:type="dxa"/>
                  <w:tcBorders>
                    <w:top w:val="nil"/>
                    <w:left w:val="nil"/>
                    <w:bottom w:val="nil"/>
                    <w:right w:val="nil"/>
                  </w:tcBorders>
                  <w:shd w:val="clear" w:color="auto" w:fill="auto"/>
                  <w:noWrap/>
                  <w:vAlign w:val="bottom"/>
                  <w:hideMark/>
                </w:tcPr>
                <w:p w:rsidR="0022046E" w:rsidRPr="0022046E" w:rsidRDefault="0022046E" w:rsidP="0022046E">
                  <w:pPr>
                    <w:rPr>
                      <w:rFonts w:asciiTheme="minorHAnsi" w:hAnsiTheme="minorHAnsi" w:cs="Arial"/>
                      <w:color w:val="000000"/>
                      <w:sz w:val="20"/>
                      <w:lang w:eastAsia="en-GB"/>
                    </w:rPr>
                  </w:pPr>
                  <w:r w:rsidRPr="0022046E">
                    <w:rPr>
                      <w:rFonts w:asciiTheme="minorHAnsi" w:hAnsiTheme="minorHAnsi" w:cs="Arial"/>
                      <w:color w:val="000000"/>
                      <w:sz w:val="20"/>
                      <w:lang w:eastAsia="en-GB"/>
                    </w:rPr>
                    <w:t xml:space="preserve">          - Non Recurrent Measures</w:t>
                  </w:r>
                </w:p>
              </w:tc>
              <w:tc>
                <w:tcPr>
                  <w:tcW w:w="1245" w:type="dxa"/>
                  <w:tcBorders>
                    <w:top w:val="nil"/>
                    <w:left w:val="nil"/>
                    <w:bottom w:val="nil"/>
                    <w:right w:val="nil"/>
                  </w:tcBorders>
                  <w:shd w:val="clear" w:color="auto" w:fill="auto"/>
                  <w:noWrap/>
                  <w:vAlign w:val="bottom"/>
                  <w:hideMark/>
                </w:tcPr>
                <w:p w:rsidR="0022046E" w:rsidRPr="0022046E" w:rsidRDefault="0022046E" w:rsidP="0022046E">
                  <w:pPr>
                    <w:jc w:val="center"/>
                    <w:rPr>
                      <w:rFonts w:asciiTheme="minorHAnsi" w:hAnsiTheme="minorHAnsi" w:cs="Arial"/>
                      <w:color w:val="000000"/>
                      <w:sz w:val="20"/>
                      <w:lang w:eastAsia="en-GB"/>
                    </w:rPr>
                  </w:pPr>
                  <w:r w:rsidRPr="0022046E">
                    <w:rPr>
                      <w:rFonts w:asciiTheme="minorHAnsi" w:hAnsiTheme="minorHAnsi" w:cs="Arial"/>
                      <w:color w:val="000000"/>
                      <w:sz w:val="20"/>
                      <w:lang w:eastAsia="en-GB"/>
                    </w:rPr>
                    <w:t>0.86m</w:t>
                  </w:r>
                </w:p>
              </w:tc>
              <w:tc>
                <w:tcPr>
                  <w:tcW w:w="1025" w:type="dxa"/>
                  <w:tcBorders>
                    <w:top w:val="nil"/>
                    <w:left w:val="nil"/>
                    <w:bottom w:val="nil"/>
                    <w:right w:val="nil"/>
                  </w:tcBorders>
                  <w:shd w:val="clear" w:color="auto" w:fill="auto"/>
                  <w:noWrap/>
                  <w:vAlign w:val="bottom"/>
                  <w:hideMark/>
                </w:tcPr>
                <w:p w:rsidR="0022046E" w:rsidRPr="0022046E" w:rsidRDefault="0022046E" w:rsidP="0022046E">
                  <w:pPr>
                    <w:rPr>
                      <w:rFonts w:asciiTheme="minorHAnsi" w:hAnsiTheme="minorHAnsi" w:cs="Arial"/>
                      <w:color w:val="000000"/>
                      <w:sz w:val="20"/>
                      <w:lang w:eastAsia="en-GB"/>
                    </w:rPr>
                  </w:pPr>
                </w:p>
              </w:tc>
              <w:tc>
                <w:tcPr>
                  <w:tcW w:w="1410" w:type="dxa"/>
                  <w:tcBorders>
                    <w:top w:val="nil"/>
                    <w:left w:val="nil"/>
                    <w:bottom w:val="nil"/>
                    <w:right w:val="nil"/>
                  </w:tcBorders>
                  <w:shd w:val="clear" w:color="auto" w:fill="auto"/>
                  <w:noWrap/>
                  <w:vAlign w:val="center"/>
                </w:tcPr>
                <w:p w:rsidR="0022046E" w:rsidRPr="0022046E" w:rsidRDefault="0022046E" w:rsidP="0022046E">
                  <w:pPr>
                    <w:jc w:val="center"/>
                    <w:rPr>
                      <w:rFonts w:asciiTheme="minorHAnsi" w:hAnsiTheme="minorHAnsi" w:cs="Arial"/>
                      <w:color w:val="C0504D"/>
                      <w:sz w:val="20"/>
                      <w:lang w:eastAsia="en-GB"/>
                    </w:rPr>
                  </w:pPr>
                  <w:r w:rsidRPr="0022046E">
                    <w:rPr>
                      <w:rFonts w:asciiTheme="minorHAnsi" w:hAnsiTheme="minorHAnsi" w:cs="Arial"/>
                      <w:noProof/>
                      <w:color w:val="C0504D"/>
                      <w:sz w:val="20"/>
                      <w:lang w:eastAsia="en-GB"/>
                    </w:rPr>
                    <w:drawing>
                      <wp:inline distT="0" distB="0" distL="0" distR="0" wp14:anchorId="59C2B1AE" wp14:editId="1D274272">
                        <wp:extent cx="638175" cy="311362"/>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8175" cy="311362"/>
                                </a:xfrm>
                                <a:prstGeom prst="rect">
                                  <a:avLst/>
                                </a:prstGeom>
                                <a:noFill/>
                                <a:ln>
                                  <a:noFill/>
                                </a:ln>
                              </pic:spPr>
                            </pic:pic>
                          </a:graphicData>
                        </a:graphic>
                      </wp:inline>
                    </w:drawing>
                  </w:r>
                </w:p>
              </w:tc>
              <w:tc>
                <w:tcPr>
                  <w:tcW w:w="1176" w:type="dxa"/>
                  <w:tcBorders>
                    <w:top w:val="nil"/>
                    <w:left w:val="nil"/>
                    <w:bottom w:val="nil"/>
                    <w:right w:val="nil"/>
                  </w:tcBorders>
                  <w:shd w:val="clear" w:color="auto" w:fill="auto"/>
                  <w:noWrap/>
                  <w:vAlign w:val="bottom"/>
                  <w:hideMark/>
                </w:tcPr>
                <w:p w:rsidR="0022046E" w:rsidRPr="0022046E" w:rsidRDefault="0022046E" w:rsidP="0022046E">
                  <w:pPr>
                    <w:rPr>
                      <w:rFonts w:ascii="Calibri" w:hAnsi="Calibri"/>
                      <w:color w:val="000000"/>
                      <w:sz w:val="22"/>
                      <w:szCs w:val="22"/>
                      <w:lang w:eastAsia="en-GB"/>
                    </w:rPr>
                  </w:pPr>
                </w:p>
              </w:tc>
            </w:tr>
            <w:tr w:rsidR="0022046E" w:rsidRPr="0022046E" w:rsidTr="00ED276A">
              <w:trPr>
                <w:trHeight w:val="289"/>
              </w:trPr>
              <w:tc>
                <w:tcPr>
                  <w:tcW w:w="3929" w:type="dxa"/>
                  <w:tcBorders>
                    <w:top w:val="nil"/>
                    <w:left w:val="nil"/>
                    <w:bottom w:val="nil"/>
                    <w:right w:val="nil"/>
                  </w:tcBorders>
                  <w:shd w:val="clear" w:color="auto" w:fill="auto"/>
                  <w:noWrap/>
                  <w:vAlign w:val="bottom"/>
                  <w:hideMark/>
                </w:tcPr>
                <w:p w:rsidR="0022046E" w:rsidRPr="0022046E" w:rsidRDefault="0022046E" w:rsidP="0022046E">
                  <w:pPr>
                    <w:rPr>
                      <w:rFonts w:asciiTheme="minorHAnsi" w:hAnsiTheme="minorHAnsi" w:cs="Arial"/>
                      <w:color w:val="000000"/>
                      <w:sz w:val="20"/>
                      <w:lang w:eastAsia="en-GB"/>
                    </w:rPr>
                  </w:pPr>
                  <w:r w:rsidRPr="0022046E">
                    <w:rPr>
                      <w:rFonts w:asciiTheme="minorHAnsi" w:hAnsiTheme="minorHAnsi" w:cs="Arial"/>
                      <w:color w:val="000000"/>
                      <w:sz w:val="20"/>
                      <w:lang w:eastAsia="en-GB"/>
                    </w:rPr>
                    <w:t xml:space="preserve">          - Delay / Reduce Investment Plans</w:t>
                  </w:r>
                </w:p>
              </w:tc>
              <w:tc>
                <w:tcPr>
                  <w:tcW w:w="1245" w:type="dxa"/>
                  <w:tcBorders>
                    <w:top w:val="nil"/>
                    <w:left w:val="nil"/>
                    <w:bottom w:val="nil"/>
                    <w:right w:val="nil"/>
                  </w:tcBorders>
                  <w:shd w:val="clear" w:color="auto" w:fill="auto"/>
                  <w:noWrap/>
                  <w:vAlign w:val="bottom"/>
                  <w:hideMark/>
                </w:tcPr>
                <w:p w:rsidR="0022046E" w:rsidRPr="0022046E" w:rsidRDefault="0022046E" w:rsidP="0022046E">
                  <w:pPr>
                    <w:jc w:val="center"/>
                    <w:rPr>
                      <w:rFonts w:asciiTheme="minorHAnsi" w:hAnsiTheme="minorHAnsi" w:cs="Arial"/>
                      <w:color w:val="000000"/>
                      <w:sz w:val="20"/>
                      <w:u w:val="single"/>
                      <w:lang w:eastAsia="en-GB"/>
                    </w:rPr>
                  </w:pPr>
                  <w:r w:rsidRPr="0022046E">
                    <w:rPr>
                      <w:rFonts w:asciiTheme="minorHAnsi" w:hAnsiTheme="minorHAnsi" w:cs="Arial"/>
                      <w:color w:val="000000"/>
                      <w:sz w:val="20"/>
                      <w:u w:val="single"/>
                      <w:lang w:eastAsia="en-GB"/>
                    </w:rPr>
                    <w:t>0.23m</w:t>
                  </w:r>
                </w:p>
              </w:tc>
              <w:tc>
                <w:tcPr>
                  <w:tcW w:w="1025" w:type="dxa"/>
                  <w:tcBorders>
                    <w:top w:val="nil"/>
                    <w:left w:val="nil"/>
                    <w:bottom w:val="nil"/>
                    <w:right w:val="nil"/>
                  </w:tcBorders>
                  <w:shd w:val="clear" w:color="auto" w:fill="auto"/>
                  <w:noWrap/>
                  <w:vAlign w:val="bottom"/>
                  <w:hideMark/>
                </w:tcPr>
                <w:p w:rsidR="0022046E" w:rsidRPr="0022046E" w:rsidRDefault="0022046E" w:rsidP="0022046E">
                  <w:pPr>
                    <w:rPr>
                      <w:rFonts w:asciiTheme="minorHAnsi" w:hAnsiTheme="minorHAnsi" w:cs="Arial"/>
                      <w:color w:val="000000"/>
                      <w:sz w:val="20"/>
                      <w:lang w:eastAsia="en-GB"/>
                    </w:rPr>
                  </w:pPr>
                </w:p>
              </w:tc>
              <w:tc>
                <w:tcPr>
                  <w:tcW w:w="1410" w:type="dxa"/>
                  <w:tcBorders>
                    <w:top w:val="nil"/>
                    <w:left w:val="nil"/>
                    <w:bottom w:val="nil"/>
                    <w:right w:val="nil"/>
                  </w:tcBorders>
                  <w:shd w:val="clear" w:color="auto" w:fill="auto"/>
                  <w:noWrap/>
                  <w:vAlign w:val="center"/>
                </w:tcPr>
                <w:p w:rsidR="0022046E" w:rsidRPr="0022046E" w:rsidRDefault="0022046E" w:rsidP="0022046E">
                  <w:pPr>
                    <w:jc w:val="center"/>
                    <w:rPr>
                      <w:rFonts w:asciiTheme="minorHAnsi" w:hAnsiTheme="minorHAnsi" w:cs="Arial"/>
                      <w:color w:val="C0504D"/>
                      <w:sz w:val="20"/>
                      <w:lang w:eastAsia="en-GB"/>
                    </w:rPr>
                  </w:pPr>
                  <w:r w:rsidRPr="0022046E">
                    <w:rPr>
                      <w:rFonts w:asciiTheme="minorHAnsi" w:hAnsiTheme="minorHAnsi" w:cs="Arial"/>
                      <w:noProof/>
                      <w:color w:val="C0504D"/>
                      <w:sz w:val="20"/>
                      <w:lang w:eastAsia="en-GB"/>
                    </w:rPr>
                    <w:drawing>
                      <wp:inline distT="0" distB="0" distL="0" distR="0" wp14:anchorId="062CC7EA" wp14:editId="7EFE0DD5">
                        <wp:extent cx="688861" cy="31432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5325" cy="317274"/>
                                </a:xfrm>
                                <a:prstGeom prst="rect">
                                  <a:avLst/>
                                </a:prstGeom>
                                <a:noFill/>
                                <a:ln>
                                  <a:noFill/>
                                </a:ln>
                              </pic:spPr>
                            </pic:pic>
                          </a:graphicData>
                        </a:graphic>
                      </wp:inline>
                    </w:drawing>
                  </w:r>
                </w:p>
              </w:tc>
              <w:tc>
                <w:tcPr>
                  <w:tcW w:w="1176" w:type="dxa"/>
                  <w:tcBorders>
                    <w:top w:val="nil"/>
                    <w:left w:val="nil"/>
                    <w:bottom w:val="nil"/>
                    <w:right w:val="nil"/>
                  </w:tcBorders>
                  <w:shd w:val="clear" w:color="auto" w:fill="auto"/>
                  <w:noWrap/>
                  <w:vAlign w:val="bottom"/>
                  <w:hideMark/>
                </w:tcPr>
                <w:p w:rsidR="0022046E" w:rsidRPr="0022046E" w:rsidRDefault="0022046E" w:rsidP="0022046E">
                  <w:pPr>
                    <w:rPr>
                      <w:rFonts w:ascii="Calibri" w:hAnsi="Calibri"/>
                      <w:color w:val="000000"/>
                      <w:sz w:val="22"/>
                      <w:szCs w:val="22"/>
                      <w:lang w:eastAsia="en-GB"/>
                    </w:rPr>
                  </w:pPr>
                </w:p>
              </w:tc>
            </w:tr>
            <w:tr w:rsidR="0022046E" w:rsidRPr="0022046E" w:rsidTr="00ED276A">
              <w:trPr>
                <w:trHeight w:val="289"/>
              </w:trPr>
              <w:tc>
                <w:tcPr>
                  <w:tcW w:w="3929" w:type="dxa"/>
                  <w:tcBorders>
                    <w:top w:val="nil"/>
                    <w:left w:val="nil"/>
                    <w:bottom w:val="nil"/>
                    <w:right w:val="nil"/>
                  </w:tcBorders>
                  <w:shd w:val="clear" w:color="auto" w:fill="auto"/>
                  <w:noWrap/>
                  <w:vAlign w:val="bottom"/>
                </w:tcPr>
                <w:p w:rsidR="0022046E" w:rsidRPr="0022046E" w:rsidRDefault="0022046E" w:rsidP="0022046E">
                  <w:pPr>
                    <w:rPr>
                      <w:rFonts w:asciiTheme="minorHAnsi" w:hAnsiTheme="minorHAnsi" w:cs="Arial"/>
                      <w:color w:val="000000"/>
                      <w:sz w:val="20"/>
                      <w:lang w:eastAsia="en-GB"/>
                    </w:rPr>
                  </w:pPr>
                </w:p>
              </w:tc>
              <w:tc>
                <w:tcPr>
                  <w:tcW w:w="1245" w:type="dxa"/>
                  <w:tcBorders>
                    <w:top w:val="nil"/>
                    <w:left w:val="nil"/>
                    <w:bottom w:val="nil"/>
                    <w:right w:val="nil"/>
                  </w:tcBorders>
                  <w:shd w:val="clear" w:color="auto" w:fill="auto"/>
                  <w:noWrap/>
                  <w:vAlign w:val="bottom"/>
                </w:tcPr>
                <w:p w:rsidR="0022046E" w:rsidRPr="0022046E" w:rsidRDefault="0022046E" w:rsidP="0022046E">
                  <w:pPr>
                    <w:rPr>
                      <w:rFonts w:asciiTheme="minorHAnsi" w:hAnsiTheme="minorHAnsi" w:cs="Arial"/>
                      <w:color w:val="000000"/>
                      <w:sz w:val="20"/>
                      <w:lang w:eastAsia="en-GB"/>
                    </w:rPr>
                  </w:pPr>
                </w:p>
              </w:tc>
              <w:tc>
                <w:tcPr>
                  <w:tcW w:w="1025" w:type="dxa"/>
                  <w:tcBorders>
                    <w:top w:val="nil"/>
                    <w:left w:val="nil"/>
                    <w:bottom w:val="nil"/>
                    <w:right w:val="nil"/>
                  </w:tcBorders>
                  <w:shd w:val="clear" w:color="auto" w:fill="auto"/>
                  <w:noWrap/>
                  <w:vAlign w:val="bottom"/>
                </w:tcPr>
                <w:p w:rsidR="00ED276A" w:rsidRPr="0022046E" w:rsidRDefault="00ED276A" w:rsidP="0022046E">
                  <w:pPr>
                    <w:rPr>
                      <w:rFonts w:asciiTheme="minorHAnsi" w:hAnsiTheme="minorHAnsi" w:cs="Arial"/>
                      <w:color w:val="000000"/>
                      <w:sz w:val="20"/>
                      <w:u w:val="single"/>
                      <w:lang w:eastAsia="en-GB"/>
                    </w:rPr>
                  </w:pPr>
                  <w:r>
                    <w:rPr>
                      <w:rFonts w:asciiTheme="minorHAnsi" w:hAnsiTheme="minorHAnsi" w:cs="Arial"/>
                      <w:color w:val="000000"/>
                      <w:sz w:val="20"/>
                      <w:u w:val="single"/>
                      <w:lang w:eastAsia="en-GB"/>
                    </w:rPr>
                    <w:t>1.29m</w:t>
                  </w:r>
                </w:p>
              </w:tc>
              <w:tc>
                <w:tcPr>
                  <w:tcW w:w="1410" w:type="dxa"/>
                  <w:tcBorders>
                    <w:top w:val="nil"/>
                    <w:left w:val="nil"/>
                    <w:bottom w:val="nil"/>
                    <w:right w:val="nil"/>
                  </w:tcBorders>
                  <w:shd w:val="clear" w:color="auto" w:fill="auto"/>
                  <w:noWrap/>
                  <w:vAlign w:val="center"/>
                </w:tcPr>
                <w:p w:rsidR="00ED276A" w:rsidRPr="0022046E" w:rsidRDefault="00ED276A" w:rsidP="00ED276A">
                  <w:pPr>
                    <w:rPr>
                      <w:rFonts w:asciiTheme="minorHAnsi" w:hAnsiTheme="minorHAnsi" w:cs="Arial"/>
                      <w:color w:val="C0504D"/>
                      <w:sz w:val="20"/>
                      <w:lang w:eastAsia="en-GB"/>
                    </w:rPr>
                  </w:pPr>
                </w:p>
              </w:tc>
              <w:tc>
                <w:tcPr>
                  <w:tcW w:w="1176" w:type="dxa"/>
                  <w:tcBorders>
                    <w:top w:val="nil"/>
                    <w:left w:val="nil"/>
                    <w:bottom w:val="nil"/>
                    <w:right w:val="nil"/>
                  </w:tcBorders>
                  <w:shd w:val="clear" w:color="auto" w:fill="auto"/>
                  <w:noWrap/>
                  <w:vAlign w:val="bottom"/>
                  <w:hideMark/>
                </w:tcPr>
                <w:p w:rsidR="0022046E" w:rsidRPr="0022046E" w:rsidRDefault="0022046E" w:rsidP="0022046E">
                  <w:pPr>
                    <w:rPr>
                      <w:rFonts w:ascii="Calibri" w:hAnsi="Calibri"/>
                      <w:color w:val="000000"/>
                      <w:sz w:val="22"/>
                      <w:szCs w:val="22"/>
                      <w:lang w:eastAsia="en-GB"/>
                    </w:rPr>
                  </w:pPr>
                </w:p>
              </w:tc>
            </w:tr>
          </w:tbl>
          <w:p w:rsidR="00A41667" w:rsidRDefault="00ED276A" w:rsidP="0022046E">
            <w:pPr>
              <w:pStyle w:val="Default"/>
              <w:jc w:val="both"/>
              <w:rPr>
                <w:rFonts w:ascii="Calibri" w:hAnsi="Calibri" w:cs="Calibri"/>
                <w:sz w:val="20"/>
                <w:szCs w:val="20"/>
              </w:rPr>
            </w:pPr>
            <w:r w:rsidRPr="00ED276A">
              <w:rPr>
                <w:rFonts w:ascii="Calibri" w:hAnsi="Calibri" w:cs="Calibri"/>
                <w:sz w:val="20"/>
                <w:szCs w:val="20"/>
              </w:rPr>
              <w:t xml:space="preserve">The </w:t>
            </w:r>
            <w:r w:rsidR="00B10221">
              <w:rPr>
                <w:rFonts w:ascii="Calibri" w:hAnsi="Calibri" w:cs="Calibri"/>
                <w:sz w:val="20"/>
                <w:szCs w:val="20"/>
              </w:rPr>
              <w:t xml:space="preserve">January 2019 </w:t>
            </w:r>
            <w:r w:rsidRPr="00ED276A">
              <w:rPr>
                <w:rFonts w:ascii="Calibri" w:hAnsi="Calibri" w:cs="Calibri"/>
                <w:sz w:val="20"/>
                <w:szCs w:val="20"/>
              </w:rPr>
              <w:t>total risks figure has reduced by £0.71m from £2.0m since the last report due in the main to the net impact of the crystallisation of the NLAG activity risk, the high cost NCA patient and a reduction in risk around adult social care savings plans.</w:t>
            </w:r>
          </w:p>
          <w:p w:rsidR="00ED276A" w:rsidRDefault="00ED276A" w:rsidP="0022046E">
            <w:pPr>
              <w:pStyle w:val="Default"/>
              <w:jc w:val="both"/>
              <w:rPr>
                <w:rFonts w:ascii="Calibri" w:hAnsi="Calibri" w:cs="Calibri"/>
                <w:sz w:val="20"/>
                <w:szCs w:val="20"/>
              </w:rPr>
            </w:pPr>
            <w:r w:rsidRPr="00ED276A">
              <w:rPr>
                <w:rFonts w:ascii="Calibri" w:hAnsi="Calibri" w:cs="Calibri"/>
                <w:sz w:val="20"/>
                <w:szCs w:val="20"/>
              </w:rPr>
              <w:t>The key risks that the CCG needs to manage in the remainder of the year relate to NLAG and are:-</w:t>
            </w:r>
          </w:p>
          <w:p w:rsidR="00ED276A" w:rsidRDefault="00ED276A" w:rsidP="00ED276A">
            <w:pPr>
              <w:pStyle w:val="Default"/>
              <w:numPr>
                <w:ilvl w:val="0"/>
                <w:numId w:val="9"/>
              </w:numPr>
              <w:jc w:val="both"/>
              <w:rPr>
                <w:rFonts w:ascii="Calibri" w:hAnsi="Calibri" w:cs="Calibri"/>
                <w:sz w:val="20"/>
                <w:szCs w:val="20"/>
              </w:rPr>
            </w:pPr>
            <w:r w:rsidRPr="00ED276A">
              <w:rPr>
                <w:rFonts w:ascii="Calibri" w:hAnsi="Calibri" w:cs="Calibri"/>
                <w:sz w:val="20"/>
                <w:szCs w:val="20"/>
              </w:rPr>
              <w:t>High levels of activity</w:t>
            </w:r>
          </w:p>
          <w:p w:rsidR="00ED276A" w:rsidRDefault="00ED276A" w:rsidP="00ED276A">
            <w:pPr>
              <w:pStyle w:val="Default"/>
              <w:numPr>
                <w:ilvl w:val="0"/>
                <w:numId w:val="9"/>
              </w:numPr>
              <w:jc w:val="both"/>
              <w:rPr>
                <w:rFonts w:ascii="Calibri" w:hAnsi="Calibri" w:cs="Calibri"/>
                <w:sz w:val="20"/>
                <w:szCs w:val="20"/>
              </w:rPr>
            </w:pPr>
            <w:r w:rsidRPr="00ED276A">
              <w:rPr>
                <w:rFonts w:ascii="Calibri" w:hAnsi="Calibri" w:cs="Calibri"/>
                <w:sz w:val="20"/>
                <w:szCs w:val="20"/>
              </w:rPr>
              <w:t>Day case to outpatient QIPP savings</w:t>
            </w:r>
          </w:p>
          <w:p w:rsidR="00ED276A" w:rsidRDefault="00ED276A" w:rsidP="00ED276A">
            <w:pPr>
              <w:pStyle w:val="Default"/>
              <w:numPr>
                <w:ilvl w:val="0"/>
                <w:numId w:val="9"/>
              </w:numPr>
              <w:jc w:val="both"/>
              <w:rPr>
                <w:rFonts w:ascii="Calibri" w:hAnsi="Calibri" w:cs="Calibri"/>
                <w:sz w:val="20"/>
                <w:szCs w:val="20"/>
              </w:rPr>
            </w:pPr>
            <w:r w:rsidRPr="00ED276A">
              <w:rPr>
                <w:rFonts w:ascii="Calibri" w:hAnsi="Calibri" w:cs="Calibri"/>
                <w:sz w:val="20"/>
                <w:szCs w:val="20"/>
              </w:rPr>
              <w:t>Non elective coding changes / case mix adjustment</w:t>
            </w:r>
          </w:p>
          <w:p w:rsidR="00ED276A" w:rsidRDefault="00ED276A" w:rsidP="00ED276A">
            <w:pPr>
              <w:pStyle w:val="Default"/>
              <w:jc w:val="both"/>
              <w:rPr>
                <w:rFonts w:ascii="Calibri" w:hAnsi="Calibri" w:cs="Calibri"/>
                <w:sz w:val="20"/>
                <w:szCs w:val="20"/>
              </w:rPr>
            </w:pPr>
          </w:p>
          <w:p w:rsidR="00ED276A" w:rsidRDefault="00ED276A" w:rsidP="00ED276A">
            <w:pPr>
              <w:pStyle w:val="Default"/>
              <w:jc w:val="both"/>
              <w:rPr>
                <w:rFonts w:ascii="Calibri" w:hAnsi="Calibri" w:cs="Calibri"/>
                <w:sz w:val="20"/>
                <w:szCs w:val="20"/>
              </w:rPr>
            </w:pPr>
            <w:r w:rsidRPr="00ED276A">
              <w:rPr>
                <w:rFonts w:ascii="Calibri" w:hAnsi="Calibri" w:cs="Calibri"/>
                <w:b/>
                <w:sz w:val="20"/>
                <w:szCs w:val="20"/>
              </w:rPr>
              <w:t>Better Payment Practice; As at January 2019</w:t>
            </w:r>
            <w:r w:rsidRPr="00ED276A">
              <w:rPr>
                <w:rFonts w:ascii="Calibri" w:hAnsi="Calibri" w:cs="Calibri"/>
                <w:sz w:val="20"/>
                <w:szCs w:val="20"/>
              </w:rPr>
              <w:t xml:space="preserve">, the payment performance continues to be over 95% target for both the value &amp; quantity of invoices paid within 30 days. An improvement </w:t>
            </w:r>
            <w:proofErr w:type="gramStart"/>
            <w:r w:rsidRPr="00ED276A">
              <w:rPr>
                <w:rFonts w:ascii="Calibri" w:hAnsi="Calibri" w:cs="Calibri"/>
                <w:sz w:val="20"/>
                <w:szCs w:val="20"/>
              </w:rPr>
              <w:t>has been seen</w:t>
            </w:r>
            <w:proofErr w:type="gramEnd"/>
            <w:r w:rsidRPr="00ED276A">
              <w:rPr>
                <w:rFonts w:ascii="Calibri" w:hAnsi="Calibri" w:cs="Calibri"/>
                <w:sz w:val="20"/>
                <w:szCs w:val="20"/>
              </w:rPr>
              <w:t xml:space="preserve"> in the percentage number of invoices paid by NELC since last reported.   If this </w:t>
            </w:r>
            <w:proofErr w:type="gramStart"/>
            <w:r w:rsidRPr="00ED276A">
              <w:rPr>
                <w:rFonts w:ascii="Calibri" w:hAnsi="Calibri" w:cs="Calibri"/>
                <w:sz w:val="20"/>
                <w:szCs w:val="20"/>
              </w:rPr>
              <w:t>continues</w:t>
            </w:r>
            <w:proofErr w:type="gramEnd"/>
            <w:r w:rsidRPr="00ED276A">
              <w:rPr>
                <w:rFonts w:ascii="Calibri" w:hAnsi="Calibri" w:cs="Calibri"/>
                <w:sz w:val="20"/>
                <w:szCs w:val="20"/>
              </w:rPr>
              <w:t xml:space="preserve"> the BPPC target </w:t>
            </w:r>
            <w:r w:rsidR="00B10221" w:rsidRPr="00ED276A">
              <w:rPr>
                <w:rFonts w:ascii="Calibri" w:hAnsi="Calibri" w:cs="Calibri"/>
                <w:sz w:val="20"/>
                <w:szCs w:val="20"/>
              </w:rPr>
              <w:t>will achieved</w:t>
            </w:r>
            <w:r w:rsidRPr="00ED276A">
              <w:rPr>
                <w:rFonts w:ascii="Calibri" w:hAnsi="Calibri" w:cs="Calibri"/>
                <w:sz w:val="20"/>
                <w:szCs w:val="20"/>
              </w:rPr>
              <w:t xml:space="preserve"> at the end of the financial year.</w:t>
            </w:r>
          </w:p>
          <w:p w:rsidR="00ED276A" w:rsidRDefault="00ED276A" w:rsidP="00ED276A">
            <w:pPr>
              <w:pStyle w:val="Default"/>
              <w:jc w:val="both"/>
              <w:rPr>
                <w:rFonts w:ascii="Calibri" w:hAnsi="Calibri" w:cs="Calibri"/>
                <w:b/>
                <w:sz w:val="20"/>
                <w:szCs w:val="20"/>
              </w:rPr>
            </w:pPr>
          </w:p>
          <w:p w:rsidR="00ED276A" w:rsidRDefault="00ED276A" w:rsidP="00ED276A">
            <w:pPr>
              <w:pStyle w:val="Default"/>
              <w:jc w:val="both"/>
              <w:rPr>
                <w:rFonts w:ascii="Calibri" w:hAnsi="Calibri" w:cs="Calibri"/>
                <w:sz w:val="20"/>
                <w:szCs w:val="20"/>
              </w:rPr>
            </w:pPr>
            <w:r w:rsidRPr="00ED276A">
              <w:rPr>
                <w:rFonts w:ascii="Calibri" w:hAnsi="Calibri" w:cs="Calibri"/>
                <w:b/>
                <w:sz w:val="20"/>
                <w:szCs w:val="20"/>
              </w:rPr>
              <w:t>Cash:</w:t>
            </w:r>
            <w:r w:rsidRPr="00ED276A">
              <w:rPr>
                <w:rFonts w:ascii="Calibri" w:hAnsi="Calibri" w:cs="Calibri"/>
                <w:sz w:val="20"/>
                <w:szCs w:val="20"/>
              </w:rPr>
              <w:t xml:space="preserve"> As at </w:t>
            </w:r>
            <w:r w:rsidR="00B10221">
              <w:rPr>
                <w:rFonts w:ascii="Calibri" w:hAnsi="Calibri" w:cs="Calibri"/>
                <w:sz w:val="20"/>
                <w:szCs w:val="20"/>
              </w:rPr>
              <w:t>January</w:t>
            </w:r>
            <w:r w:rsidRPr="00ED276A">
              <w:rPr>
                <w:rFonts w:ascii="Calibri" w:hAnsi="Calibri" w:cs="Calibri"/>
                <w:sz w:val="20"/>
                <w:szCs w:val="20"/>
              </w:rPr>
              <w:t xml:space="preserve"> </w:t>
            </w:r>
            <w:proofErr w:type="gramStart"/>
            <w:r w:rsidRPr="00ED276A">
              <w:rPr>
                <w:rFonts w:ascii="Calibri" w:hAnsi="Calibri" w:cs="Calibri"/>
                <w:sz w:val="20"/>
                <w:szCs w:val="20"/>
              </w:rPr>
              <w:t>2018</w:t>
            </w:r>
            <w:proofErr w:type="gramEnd"/>
            <w:r w:rsidRPr="00ED276A">
              <w:rPr>
                <w:rFonts w:ascii="Calibri" w:hAnsi="Calibri" w:cs="Calibri"/>
                <w:sz w:val="20"/>
                <w:szCs w:val="20"/>
              </w:rPr>
              <w:t xml:space="preserve"> the CCG had drawn down 81% of its annual cash allocation, which is 2.1% (£3.07m) less than planned.</w:t>
            </w:r>
          </w:p>
          <w:p w:rsidR="00ED276A" w:rsidRDefault="00ED276A" w:rsidP="00ED276A">
            <w:pPr>
              <w:pStyle w:val="Default"/>
              <w:jc w:val="both"/>
              <w:rPr>
                <w:rFonts w:ascii="Calibri" w:hAnsi="Calibri" w:cs="Calibri"/>
                <w:sz w:val="20"/>
                <w:szCs w:val="20"/>
              </w:rPr>
            </w:pPr>
          </w:p>
          <w:p w:rsidR="00ED276A" w:rsidRDefault="00EF44B1" w:rsidP="00EF44B1">
            <w:pPr>
              <w:pStyle w:val="Default"/>
              <w:jc w:val="both"/>
              <w:rPr>
                <w:rFonts w:ascii="Calibri" w:hAnsi="Calibri" w:cs="Calibri"/>
                <w:sz w:val="20"/>
                <w:szCs w:val="20"/>
              </w:rPr>
            </w:pPr>
            <w:r w:rsidRPr="00EF44B1">
              <w:rPr>
                <w:rFonts w:ascii="Calibri" w:hAnsi="Calibri" w:cs="Calibri"/>
                <w:b/>
                <w:sz w:val="20"/>
                <w:szCs w:val="20"/>
              </w:rPr>
              <w:t>QIPP</w:t>
            </w:r>
            <w:r w:rsidR="00491316">
              <w:rPr>
                <w:rFonts w:ascii="Calibri" w:hAnsi="Calibri" w:cs="Calibri"/>
                <w:b/>
                <w:sz w:val="20"/>
                <w:szCs w:val="20"/>
              </w:rPr>
              <w:t xml:space="preserve"> as at February 2019</w:t>
            </w:r>
            <w:r w:rsidRPr="00EF44B1">
              <w:rPr>
                <w:rFonts w:ascii="Calibri" w:hAnsi="Calibri" w:cs="Calibri"/>
                <w:b/>
                <w:sz w:val="20"/>
                <w:szCs w:val="20"/>
              </w:rPr>
              <w:t>;</w:t>
            </w:r>
            <w:r>
              <w:rPr>
                <w:rFonts w:ascii="Calibri" w:hAnsi="Calibri" w:cs="Calibri"/>
                <w:sz w:val="20"/>
                <w:szCs w:val="20"/>
              </w:rPr>
              <w:t xml:space="preserve"> S</w:t>
            </w:r>
            <w:r w:rsidRPr="00EF44B1">
              <w:rPr>
                <w:rFonts w:ascii="Calibri" w:hAnsi="Calibri" w:cs="Calibri"/>
                <w:sz w:val="20"/>
                <w:szCs w:val="20"/>
              </w:rPr>
              <w:t>aving</w:t>
            </w:r>
            <w:r>
              <w:rPr>
                <w:rFonts w:ascii="Calibri" w:hAnsi="Calibri" w:cs="Calibri"/>
                <w:sz w:val="20"/>
                <w:szCs w:val="20"/>
              </w:rPr>
              <w:t>s achieved year to date are £21k ahead of plan with a forecast over achievement of £91k.</w:t>
            </w:r>
            <w:r w:rsidRPr="00EF44B1">
              <w:rPr>
                <w:rFonts w:ascii="Calibri" w:hAnsi="Calibri" w:cs="Calibri"/>
                <w:sz w:val="20"/>
                <w:szCs w:val="20"/>
              </w:rPr>
              <w:t xml:space="preserve">  The key points to draw to the committees attention are:-</w:t>
            </w:r>
          </w:p>
          <w:p w:rsidR="00EF44B1" w:rsidRDefault="00EF44B1" w:rsidP="00EF44B1">
            <w:pPr>
              <w:pStyle w:val="Default"/>
              <w:jc w:val="both"/>
              <w:rPr>
                <w:rFonts w:ascii="Calibri" w:hAnsi="Calibri" w:cs="Calibri"/>
                <w:sz w:val="20"/>
                <w:szCs w:val="20"/>
              </w:rPr>
            </w:pPr>
          </w:p>
          <w:p w:rsidR="00EF44B1" w:rsidRDefault="00EF44B1" w:rsidP="00713215">
            <w:pPr>
              <w:pStyle w:val="Default"/>
              <w:numPr>
                <w:ilvl w:val="0"/>
                <w:numId w:val="11"/>
              </w:numPr>
              <w:jc w:val="both"/>
              <w:rPr>
                <w:rFonts w:ascii="Calibri" w:hAnsi="Calibri" w:cs="Calibri"/>
                <w:sz w:val="20"/>
                <w:szCs w:val="20"/>
              </w:rPr>
            </w:pPr>
            <w:r w:rsidRPr="00EF44B1">
              <w:rPr>
                <w:rFonts w:ascii="Calibri" w:hAnsi="Calibri" w:cs="Calibri"/>
                <w:b/>
                <w:sz w:val="20"/>
                <w:szCs w:val="20"/>
              </w:rPr>
              <w:t>Outpatient Follow-up Scheme;</w:t>
            </w:r>
            <w:r w:rsidRPr="00EF44B1">
              <w:rPr>
                <w:rFonts w:ascii="Calibri" w:hAnsi="Calibri" w:cs="Calibri"/>
                <w:sz w:val="20"/>
                <w:szCs w:val="20"/>
              </w:rPr>
              <w:t xml:space="preserve"> </w:t>
            </w:r>
            <w:proofErr w:type="gramStart"/>
            <w:r w:rsidRPr="00EF44B1">
              <w:rPr>
                <w:rFonts w:ascii="Calibri" w:hAnsi="Calibri" w:cs="Calibri"/>
                <w:sz w:val="20"/>
                <w:szCs w:val="20"/>
              </w:rPr>
              <w:t>The</w:t>
            </w:r>
            <w:proofErr w:type="gramEnd"/>
            <w:r w:rsidRPr="00EF44B1">
              <w:rPr>
                <w:rFonts w:ascii="Calibri" w:hAnsi="Calibri" w:cs="Calibri"/>
                <w:sz w:val="20"/>
                <w:szCs w:val="20"/>
              </w:rPr>
              <w:t xml:space="preserve"> savings originally planned to be achieved during the year are now forecast to be </w:t>
            </w:r>
            <w:r>
              <w:rPr>
                <w:rFonts w:ascii="Calibri" w:hAnsi="Calibri" w:cs="Calibri"/>
                <w:sz w:val="20"/>
                <w:szCs w:val="20"/>
              </w:rPr>
              <w:t xml:space="preserve">significantly </w:t>
            </w:r>
            <w:r w:rsidRPr="00EF44B1">
              <w:rPr>
                <w:rFonts w:ascii="Calibri" w:hAnsi="Calibri" w:cs="Calibri"/>
                <w:sz w:val="20"/>
                <w:szCs w:val="20"/>
              </w:rPr>
              <w:t>lower than planned, this in the main ref</w:t>
            </w:r>
            <w:r>
              <w:rPr>
                <w:rFonts w:ascii="Calibri" w:hAnsi="Calibri" w:cs="Calibri"/>
                <w:sz w:val="20"/>
                <w:szCs w:val="20"/>
              </w:rPr>
              <w:t>l</w:t>
            </w:r>
            <w:r w:rsidRPr="00EF44B1">
              <w:rPr>
                <w:rFonts w:ascii="Calibri" w:hAnsi="Calibri" w:cs="Calibri"/>
                <w:sz w:val="20"/>
                <w:szCs w:val="20"/>
              </w:rPr>
              <w:t>ects the increase in the outpatient referrals which has seen an increase in the first appointments during the year.</w:t>
            </w:r>
          </w:p>
          <w:p w:rsidR="00EF44B1" w:rsidRDefault="00EF44B1" w:rsidP="00EF44B1">
            <w:pPr>
              <w:pStyle w:val="Default"/>
              <w:jc w:val="both"/>
              <w:rPr>
                <w:rFonts w:ascii="Calibri" w:hAnsi="Calibri" w:cs="Calibri"/>
                <w:sz w:val="20"/>
                <w:szCs w:val="20"/>
              </w:rPr>
            </w:pPr>
          </w:p>
          <w:p w:rsidR="00EF44B1" w:rsidRDefault="00EF44B1" w:rsidP="00713215">
            <w:pPr>
              <w:pStyle w:val="Default"/>
              <w:numPr>
                <w:ilvl w:val="0"/>
                <w:numId w:val="11"/>
              </w:numPr>
              <w:jc w:val="both"/>
              <w:rPr>
                <w:rFonts w:ascii="Calibri" w:hAnsi="Calibri" w:cs="Calibri"/>
                <w:sz w:val="20"/>
                <w:szCs w:val="20"/>
              </w:rPr>
            </w:pPr>
            <w:r w:rsidRPr="00EF44B1">
              <w:rPr>
                <w:rFonts w:ascii="Calibri" w:hAnsi="Calibri" w:cs="Calibri"/>
                <w:b/>
                <w:sz w:val="20"/>
                <w:szCs w:val="20"/>
              </w:rPr>
              <w:t>Non-elective demand management scheme</w:t>
            </w:r>
            <w:r w:rsidRPr="00EF44B1">
              <w:rPr>
                <w:rFonts w:ascii="Calibri" w:hAnsi="Calibri" w:cs="Calibri"/>
                <w:sz w:val="20"/>
                <w:szCs w:val="20"/>
              </w:rPr>
              <w:t xml:space="preserve">; A &amp; E and emergency admissions from Care Homes are higher than anticipated, with the main conditions seeing a pressure in demand being; cardiac conditions, vascular conditions, urological conditions and lacerations. </w:t>
            </w:r>
          </w:p>
          <w:p w:rsidR="00713215" w:rsidRDefault="00713215" w:rsidP="00713215">
            <w:pPr>
              <w:pStyle w:val="Default"/>
              <w:ind w:left="720"/>
              <w:jc w:val="both"/>
              <w:rPr>
                <w:rFonts w:ascii="Calibri" w:hAnsi="Calibri" w:cs="Calibri"/>
                <w:sz w:val="20"/>
                <w:szCs w:val="20"/>
              </w:rPr>
            </w:pPr>
          </w:p>
          <w:p w:rsidR="00EF44B1" w:rsidRDefault="00713215" w:rsidP="00713215">
            <w:pPr>
              <w:pStyle w:val="Default"/>
              <w:numPr>
                <w:ilvl w:val="0"/>
                <w:numId w:val="11"/>
              </w:numPr>
              <w:jc w:val="both"/>
              <w:rPr>
                <w:rFonts w:ascii="Calibri" w:hAnsi="Calibri" w:cs="Calibri"/>
                <w:sz w:val="20"/>
                <w:szCs w:val="20"/>
              </w:rPr>
            </w:pPr>
            <w:r w:rsidRPr="00713215">
              <w:rPr>
                <w:rFonts w:ascii="Calibri" w:hAnsi="Calibri" w:cs="Calibri"/>
                <w:b/>
                <w:sz w:val="20"/>
                <w:szCs w:val="20"/>
              </w:rPr>
              <w:t>Support to care home scheme</w:t>
            </w:r>
            <w:r>
              <w:rPr>
                <w:rFonts w:ascii="Calibri" w:hAnsi="Calibri" w:cs="Calibri"/>
                <w:sz w:val="20"/>
                <w:szCs w:val="20"/>
              </w:rPr>
              <w:t>;</w:t>
            </w:r>
            <w:r w:rsidRPr="00713215">
              <w:rPr>
                <w:rFonts w:ascii="Calibri" w:hAnsi="Calibri" w:cs="Calibri"/>
                <w:sz w:val="20"/>
                <w:szCs w:val="20"/>
              </w:rPr>
              <w:t xml:space="preserve"> </w:t>
            </w:r>
            <w:proofErr w:type="gramStart"/>
            <w:r w:rsidR="00EF44B1" w:rsidRPr="00EF44B1">
              <w:rPr>
                <w:rFonts w:ascii="Calibri" w:hAnsi="Calibri" w:cs="Calibri"/>
                <w:sz w:val="20"/>
                <w:szCs w:val="20"/>
              </w:rPr>
              <w:t>The</w:t>
            </w:r>
            <w:proofErr w:type="gramEnd"/>
            <w:r w:rsidR="00EF44B1" w:rsidRPr="00EF44B1">
              <w:rPr>
                <w:rFonts w:ascii="Calibri" w:hAnsi="Calibri" w:cs="Calibri"/>
                <w:sz w:val="20"/>
                <w:szCs w:val="20"/>
              </w:rPr>
              <w:t xml:space="preserve"> underperformance on th</w:t>
            </w:r>
            <w:r>
              <w:rPr>
                <w:rFonts w:ascii="Calibri" w:hAnsi="Calibri" w:cs="Calibri"/>
                <w:sz w:val="20"/>
                <w:szCs w:val="20"/>
              </w:rPr>
              <w:t>is scheme</w:t>
            </w:r>
            <w:r w:rsidR="00EF44B1" w:rsidRPr="00EF44B1">
              <w:rPr>
                <w:rFonts w:ascii="Calibri" w:hAnsi="Calibri" w:cs="Calibri"/>
                <w:sz w:val="20"/>
                <w:szCs w:val="20"/>
              </w:rPr>
              <w:t xml:space="preserve"> is being mitigated by the agreement of a local Ambulatory Care tariff. </w:t>
            </w:r>
          </w:p>
          <w:p w:rsidR="00491316" w:rsidRDefault="00491316" w:rsidP="00491316">
            <w:pPr>
              <w:pStyle w:val="Default"/>
              <w:jc w:val="both"/>
              <w:rPr>
                <w:rFonts w:ascii="Calibri" w:hAnsi="Calibri" w:cs="Calibri"/>
                <w:sz w:val="20"/>
                <w:szCs w:val="20"/>
              </w:rPr>
            </w:pPr>
          </w:p>
          <w:p w:rsidR="00491316" w:rsidRDefault="00491316" w:rsidP="00713215">
            <w:pPr>
              <w:pStyle w:val="Default"/>
              <w:numPr>
                <w:ilvl w:val="0"/>
                <w:numId w:val="11"/>
              </w:numPr>
              <w:jc w:val="both"/>
              <w:rPr>
                <w:rFonts w:ascii="Calibri" w:hAnsi="Calibri" w:cs="Calibri"/>
                <w:sz w:val="20"/>
                <w:szCs w:val="20"/>
              </w:rPr>
            </w:pPr>
            <w:r w:rsidRPr="00491316">
              <w:rPr>
                <w:rFonts w:ascii="Calibri" w:hAnsi="Calibri" w:cs="Calibri"/>
                <w:b/>
                <w:sz w:val="20"/>
                <w:szCs w:val="20"/>
              </w:rPr>
              <w:t xml:space="preserve">Day case to </w:t>
            </w:r>
            <w:r w:rsidR="00B10221" w:rsidRPr="00491316">
              <w:rPr>
                <w:rFonts w:ascii="Calibri" w:hAnsi="Calibri" w:cs="Calibri"/>
                <w:b/>
                <w:sz w:val="20"/>
                <w:szCs w:val="20"/>
              </w:rPr>
              <w:t>outpatient</w:t>
            </w:r>
            <w:r w:rsidRPr="00491316">
              <w:rPr>
                <w:rFonts w:ascii="Calibri" w:hAnsi="Calibri" w:cs="Calibri"/>
                <w:b/>
                <w:sz w:val="20"/>
                <w:szCs w:val="20"/>
              </w:rPr>
              <w:t xml:space="preserve"> procedure scheme:</w:t>
            </w:r>
            <w:r w:rsidRPr="00491316">
              <w:rPr>
                <w:rFonts w:ascii="Calibri" w:hAnsi="Calibri" w:cs="Calibri"/>
                <w:sz w:val="20"/>
                <w:szCs w:val="20"/>
              </w:rPr>
              <w:t xml:space="preserve"> </w:t>
            </w:r>
            <w:r>
              <w:rPr>
                <w:rFonts w:ascii="Calibri" w:hAnsi="Calibri" w:cs="Calibri"/>
                <w:sz w:val="20"/>
                <w:szCs w:val="20"/>
              </w:rPr>
              <w:t>This scheme is significantly under plan with delays in Trust roll out and agreement of procedures.</w:t>
            </w:r>
          </w:p>
          <w:p w:rsidR="00491316" w:rsidRDefault="00491316" w:rsidP="00491316">
            <w:pPr>
              <w:pStyle w:val="Default"/>
              <w:jc w:val="both"/>
              <w:rPr>
                <w:rFonts w:ascii="Calibri" w:hAnsi="Calibri" w:cs="Calibri"/>
                <w:sz w:val="20"/>
                <w:szCs w:val="20"/>
              </w:rPr>
            </w:pPr>
          </w:p>
          <w:p w:rsidR="00491316" w:rsidRDefault="00491316" w:rsidP="00713215">
            <w:pPr>
              <w:pStyle w:val="Default"/>
              <w:numPr>
                <w:ilvl w:val="0"/>
                <w:numId w:val="11"/>
              </w:numPr>
              <w:jc w:val="both"/>
              <w:rPr>
                <w:rFonts w:ascii="Calibri" w:hAnsi="Calibri" w:cs="Calibri"/>
                <w:sz w:val="20"/>
                <w:szCs w:val="20"/>
              </w:rPr>
            </w:pPr>
            <w:proofErr w:type="spellStart"/>
            <w:r w:rsidRPr="00EF44B1">
              <w:rPr>
                <w:rFonts w:ascii="Calibri" w:hAnsi="Calibri" w:cs="Calibri"/>
                <w:b/>
                <w:sz w:val="20"/>
                <w:szCs w:val="20"/>
              </w:rPr>
              <w:t>Rightcare</w:t>
            </w:r>
            <w:proofErr w:type="spellEnd"/>
            <w:r w:rsidRPr="00EF44B1">
              <w:rPr>
                <w:rFonts w:ascii="Calibri" w:hAnsi="Calibri" w:cs="Calibri"/>
                <w:b/>
                <w:sz w:val="20"/>
                <w:szCs w:val="20"/>
              </w:rPr>
              <w:t xml:space="preserve"> - Gastro;</w:t>
            </w:r>
            <w:r w:rsidRPr="00EF44B1">
              <w:rPr>
                <w:rFonts w:ascii="Calibri" w:hAnsi="Calibri" w:cs="Calibri"/>
                <w:sz w:val="20"/>
                <w:szCs w:val="20"/>
              </w:rPr>
              <w:t xml:space="preserve"> There has been a reduction in the FOT due to delays in the pathway implementation. This was due to </w:t>
            </w:r>
            <w:proofErr w:type="gramStart"/>
            <w:r w:rsidRPr="00EF44B1">
              <w:rPr>
                <w:rFonts w:ascii="Calibri" w:hAnsi="Calibri" w:cs="Calibri"/>
                <w:sz w:val="20"/>
                <w:szCs w:val="20"/>
              </w:rPr>
              <w:t>be rolled out</w:t>
            </w:r>
            <w:proofErr w:type="gramEnd"/>
            <w:r w:rsidRPr="00EF44B1">
              <w:rPr>
                <w:rFonts w:ascii="Calibri" w:hAnsi="Calibri" w:cs="Calibri"/>
                <w:sz w:val="20"/>
                <w:szCs w:val="20"/>
              </w:rPr>
              <w:t xml:space="preserve"> in January but has not happened</w:t>
            </w:r>
            <w:r>
              <w:rPr>
                <w:rFonts w:ascii="Calibri" w:hAnsi="Calibri" w:cs="Calibri"/>
                <w:sz w:val="20"/>
                <w:szCs w:val="20"/>
              </w:rPr>
              <w:t>.</w:t>
            </w:r>
            <w:r>
              <w:t xml:space="preserve"> </w:t>
            </w:r>
            <w:r w:rsidRPr="00EF44B1">
              <w:rPr>
                <w:rFonts w:ascii="Calibri" w:hAnsi="Calibri" w:cs="Calibri"/>
                <w:sz w:val="20"/>
                <w:szCs w:val="20"/>
              </w:rPr>
              <w:t xml:space="preserve">We have also seen increased activity within </w:t>
            </w:r>
            <w:proofErr w:type="spellStart"/>
            <w:r w:rsidRPr="00EF44B1">
              <w:rPr>
                <w:rFonts w:ascii="Calibri" w:hAnsi="Calibri" w:cs="Calibri"/>
                <w:sz w:val="20"/>
                <w:szCs w:val="20"/>
              </w:rPr>
              <w:t>daycase</w:t>
            </w:r>
            <w:proofErr w:type="spellEnd"/>
            <w:r w:rsidRPr="00EF44B1">
              <w:rPr>
                <w:rFonts w:ascii="Calibri" w:hAnsi="Calibri" w:cs="Calibri"/>
                <w:sz w:val="20"/>
                <w:szCs w:val="20"/>
              </w:rPr>
              <w:t xml:space="preserve"> endoscopy.</w:t>
            </w:r>
          </w:p>
          <w:p w:rsidR="00491316" w:rsidRDefault="00491316" w:rsidP="00491316">
            <w:pPr>
              <w:pStyle w:val="Default"/>
              <w:jc w:val="both"/>
              <w:rPr>
                <w:rFonts w:ascii="Calibri" w:hAnsi="Calibri" w:cs="Calibri"/>
                <w:sz w:val="20"/>
                <w:szCs w:val="20"/>
              </w:rPr>
            </w:pPr>
          </w:p>
          <w:p w:rsidR="00491316" w:rsidRPr="000D1B0D" w:rsidRDefault="00491316" w:rsidP="00713215">
            <w:pPr>
              <w:pStyle w:val="Default"/>
              <w:numPr>
                <w:ilvl w:val="0"/>
                <w:numId w:val="11"/>
              </w:numPr>
              <w:jc w:val="both"/>
              <w:rPr>
                <w:rFonts w:ascii="Calibri" w:hAnsi="Calibri" w:cs="Calibri"/>
                <w:sz w:val="20"/>
                <w:szCs w:val="20"/>
              </w:rPr>
            </w:pPr>
            <w:r w:rsidRPr="00491316">
              <w:rPr>
                <w:rFonts w:ascii="Calibri" w:hAnsi="Calibri" w:cs="Calibri"/>
                <w:b/>
                <w:sz w:val="20"/>
                <w:szCs w:val="20"/>
              </w:rPr>
              <w:t>Budget Baseline Review scheme;</w:t>
            </w:r>
            <w:r w:rsidRPr="00491316">
              <w:rPr>
                <w:rFonts w:ascii="Calibri" w:hAnsi="Calibri" w:cs="Calibri"/>
                <w:sz w:val="20"/>
                <w:szCs w:val="20"/>
              </w:rPr>
              <w:t xml:space="preserve"> A Finance led process to establish further QIPP (savings) opportunities from the existing budgets was conducted with all Service Leads during the month of October '18. Th</w:t>
            </w:r>
            <w:r>
              <w:rPr>
                <w:rFonts w:ascii="Calibri" w:hAnsi="Calibri" w:cs="Calibri"/>
                <w:sz w:val="20"/>
                <w:szCs w:val="20"/>
              </w:rPr>
              <w:t xml:space="preserve">is process yielded significant </w:t>
            </w:r>
            <w:r w:rsidRPr="00491316">
              <w:rPr>
                <w:rFonts w:ascii="Calibri" w:hAnsi="Calibri" w:cs="Calibri"/>
                <w:sz w:val="20"/>
                <w:szCs w:val="20"/>
              </w:rPr>
              <w:t>in-yea</w:t>
            </w:r>
            <w:r>
              <w:rPr>
                <w:rFonts w:ascii="Calibri" w:hAnsi="Calibri" w:cs="Calibri"/>
                <w:sz w:val="20"/>
                <w:szCs w:val="20"/>
              </w:rPr>
              <w:t xml:space="preserve">r financials </w:t>
            </w:r>
            <w:proofErr w:type="gramStart"/>
            <w:r>
              <w:rPr>
                <w:rFonts w:ascii="Calibri" w:hAnsi="Calibri" w:cs="Calibri"/>
                <w:sz w:val="20"/>
                <w:szCs w:val="20"/>
              </w:rPr>
              <w:t>savings which</w:t>
            </w:r>
            <w:proofErr w:type="gramEnd"/>
            <w:r>
              <w:rPr>
                <w:rFonts w:ascii="Calibri" w:hAnsi="Calibri" w:cs="Calibri"/>
                <w:sz w:val="20"/>
                <w:szCs w:val="20"/>
              </w:rPr>
              <w:t xml:space="preserve"> </w:t>
            </w:r>
            <w:r w:rsidRPr="00491316">
              <w:rPr>
                <w:rFonts w:ascii="Calibri" w:hAnsi="Calibri" w:cs="Calibri"/>
                <w:sz w:val="20"/>
                <w:szCs w:val="20"/>
              </w:rPr>
              <w:t xml:space="preserve">contribute towards the CCG achieving its QIPP Target for the Year. Key areas of savings were mainly due to slippage on primary care </w:t>
            </w:r>
            <w:proofErr w:type="gramStart"/>
            <w:r w:rsidRPr="00491316">
              <w:rPr>
                <w:rFonts w:ascii="Calibri" w:hAnsi="Calibri" w:cs="Calibri"/>
                <w:sz w:val="20"/>
                <w:szCs w:val="20"/>
              </w:rPr>
              <w:t>initiatives which</w:t>
            </w:r>
            <w:proofErr w:type="gramEnd"/>
            <w:r w:rsidRPr="00491316">
              <w:rPr>
                <w:rFonts w:ascii="Calibri" w:hAnsi="Calibri" w:cs="Calibri"/>
                <w:sz w:val="20"/>
                <w:szCs w:val="20"/>
              </w:rPr>
              <w:t xml:space="preserve"> yielded non-recurrent savings.</w:t>
            </w:r>
            <w:r w:rsidR="00713215">
              <w:rPr>
                <w:rFonts w:ascii="Calibri" w:hAnsi="Calibri" w:cs="Calibri"/>
                <w:sz w:val="20"/>
                <w:szCs w:val="20"/>
              </w:rPr>
              <w:t xml:space="preserve"> </w:t>
            </w:r>
          </w:p>
        </w:tc>
      </w:tr>
      <w:tr w:rsidR="00473CC5" w:rsidRPr="000D1B0D" w:rsidTr="00144ED4">
        <w:tc>
          <w:tcPr>
            <w:tcW w:w="1183" w:type="pct"/>
            <w:shd w:val="clear" w:color="auto" w:fill="auto"/>
          </w:tcPr>
          <w:p w:rsidR="00473CC5" w:rsidRPr="000D1B0D" w:rsidRDefault="00473CC5" w:rsidP="009D4EDC">
            <w:pPr>
              <w:pStyle w:val="Default"/>
              <w:rPr>
                <w:rFonts w:ascii="Calibri" w:hAnsi="Calibri" w:cs="Calibri"/>
                <w:b/>
                <w:sz w:val="20"/>
                <w:szCs w:val="20"/>
              </w:rPr>
            </w:pPr>
            <w:r w:rsidRPr="000D1B0D">
              <w:rPr>
                <w:rFonts w:ascii="Calibri" w:hAnsi="Calibri" w:cs="Calibri"/>
                <w:b/>
                <w:sz w:val="20"/>
                <w:szCs w:val="20"/>
              </w:rPr>
              <w:t>Quality Implications:</w:t>
            </w:r>
          </w:p>
          <w:p w:rsidR="00473CC5" w:rsidRPr="00D42959" w:rsidRDefault="00473CC5" w:rsidP="009D4EDC">
            <w:pPr>
              <w:pStyle w:val="Default"/>
              <w:rPr>
                <w:rFonts w:ascii="Calibri" w:hAnsi="Calibri" w:cs="Calibri"/>
                <w:i/>
                <w:sz w:val="20"/>
                <w:szCs w:val="20"/>
              </w:rPr>
            </w:pPr>
          </w:p>
        </w:tc>
        <w:tc>
          <w:tcPr>
            <w:tcW w:w="3817" w:type="pct"/>
            <w:gridSpan w:val="2"/>
            <w:shd w:val="clear" w:color="auto" w:fill="auto"/>
          </w:tcPr>
          <w:p w:rsidR="00D42959" w:rsidRP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This report details a neutral impact on quality. </w:t>
            </w:r>
            <w:r>
              <w:rPr>
                <w:rFonts w:ascii="Calibri" w:hAnsi="Calibri" w:cs="Calibri"/>
                <w:sz w:val="20"/>
                <w:szCs w:val="20"/>
              </w:rPr>
              <w:t xml:space="preserve">                                                                                           </w:t>
            </w:r>
            <w:sdt>
              <w:sdtPr>
                <w:rPr>
                  <w:rFonts w:ascii="Calibri" w:hAnsi="Calibri" w:cs="Calibri"/>
                  <w:sz w:val="20"/>
                  <w:szCs w:val="20"/>
                </w:rPr>
                <w:id w:val="1480650251"/>
                <w14:checkbox>
                  <w14:checked w14:val="1"/>
                  <w14:checkedState w14:val="2612" w14:font="MS Gothic"/>
                  <w14:uncheckedState w14:val="2610" w14:font="MS Gothic"/>
                </w14:checkbox>
              </w:sdtPr>
              <w:sdtEndPr/>
              <w:sdtContent>
                <w:r w:rsidR="00BD3456">
                  <w:rPr>
                    <w:rFonts w:ascii="MS Gothic" w:eastAsia="MS Gothic" w:hAnsi="MS Gothic" w:cs="Calibri" w:hint="eastAsia"/>
                    <w:sz w:val="20"/>
                    <w:szCs w:val="20"/>
                  </w:rPr>
                  <w:t>☒</w:t>
                </w:r>
              </w:sdtContent>
            </w:sdt>
          </w:p>
          <w:p w:rsidR="00D42959" w:rsidRDefault="00D42959" w:rsidP="00D42959">
            <w:pPr>
              <w:pStyle w:val="Default"/>
              <w:jc w:val="both"/>
              <w:rPr>
                <w:rFonts w:ascii="Calibri" w:hAnsi="Calibri" w:cs="Calibri"/>
                <w:sz w:val="20"/>
                <w:szCs w:val="20"/>
              </w:rPr>
            </w:pPr>
            <w:r w:rsidRPr="00D42959">
              <w:rPr>
                <w:rFonts w:ascii="Calibri" w:hAnsi="Calibri" w:cs="Calibri"/>
                <w:sz w:val="20"/>
                <w:szCs w:val="20"/>
              </w:rPr>
              <w:t xml:space="preserve">The report will not make any impact on experience, safety or effectiveness.  </w:t>
            </w:r>
          </w:p>
          <w:p w:rsidR="00246EFA" w:rsidRPr="000D1B0D" w:rsidRDefault="00246EFA" w:rsidP="00D42959">
            <w:pPr>
              <w:pStyle w:val="Default"/>
              <w:jc w:val="both"/>
              <w:rPr>
                <w:rFonts w:ascii="Calibri" w:hAnsi="Calibri" w:cs="Calibri"/>
                <w:sz w:val="20"/>
                <w:szCs w:val="20"/>
              </w:rPr>
            </w:pPr>
          </w:p>
        </w:tc>
      </w:tr>
      <w:tr w:rsidR="009D4EDC" w:rsidRPr="000D1B0D" w:rsidTr="00144ED4">
        <w:tc>
          <w:tcPr>
            <w:tcW w:w="1183" w:type="pct"/>
            <w:shd w:val="clear" w:color="auto" w:fill="auto"/>
          </w:tcPr>
          <w:p w:rsidR="009D4EDC" w:rsidRPr="000D1B0D" w:rsidRDefault="009D4EDC" w:rsidP="00E76606">
            <w:pPr>
              <w:pStyle w:val="Default"/>
              <w:rPr>
                <w:rFonts w:ascii="Calibri" w:hAnsi="Calibri" w:cs="Calibri"/>
                <w:b/>
                <w:sz w:val="20"/>
                <w:szCs w:val="20"/>
              </w:rPr>
            </w:pPr>
            <w:r w:rsidRPr="000D1B0D">
              <w:rPr>
                <w:rFonts w:ascii="Calibri" w:hAnsi="Calibri" w:cs="Calibri"/>
                <w:b/>
                <w:sz w:val="20"/>
                <w:szCs w:val="20"/>
              </w:rPr>
              <w:t>Procurement Decisions</w:t>
            </w:r>
            <w:r w:rsidR="00246EFA">
              <w:rPr>
                <w:rFonts w:ascii="Calibri" w:hAnsi="Calibri" w:cs="Calibri"/>
                <w:b/>
                <w:sz w:val="20"/>
                <w:szCs w:val="20"/>
              </w:rPr>
              <w:t>/Implications</w:t>
            </w:r>
            <w:r w:rsidR="00E76606" w:rsidRPr="000D1B0D">
              <w:rPr>
                <w:rFonts w:ascii="Calibri" w:hAnsi="Calibri" w:cs="Calibri"/>
                <w:b/>
                <w:sz w:val="20"/>
                <w:szCs w:val="20"/>
              </w:rPr>
              <w:t xml:space="preserve"> </w:t>
            </w:r>
            <w:r w:rsidR="00E76606" w:rsidRPr="000D1B0D">
              <w:rPr>
                <w:rFonts w:ascii="Calibri" w:hAnsi="Calibri" w:cs="Calibri"/>
                <w:b/>
                <w:i/>
                <w:sz w:val="20"/>
                <w:szCs w:val="20"/>
              </w:rPr>
              <w:t>(Care Contracting Committee)</w:t>
            </w:r>
            <w:r w:rsidRPr="000D1B0D">
              <w:rPr>
                <w:rFonts w:ascii="Calibri" w:hAnsi="Calibri" w:cs="Calibri"/>
                <w:b/>
                <w:i/>
                <w:sz w:val="20"/>
                <w:szCs w:val="20"/>
              </w:rPr>
              <w:t>:</w:t>
            </w:r>
          </w:p>
          <w:p w:rsidR="009D4EDC" w:rsidRPr="000D1B0D" w:rsidRDefault="009D4EDC" w:rsidP="00F300A1">
            <w:pPr>
              <w:pStyle w:val="Default"/>
              <w:rPr>
                <w:rFonts w:ascii="Calibri" w:hAnsi="Calibri" w:cs="Calibri"/>
                <w:b/>
                <w:sz w:val="20"/>
                <w:szCs w:val="20"/>
              </w:rPr>
            </w:pPr>
          </w:p>
        </w:tc>
        <w:tc>
          <w:tcPr>
            <w:tcW w:w="3817" w:type="pct"/>
            <w:gridSpan w:val="2"/>
            <w:shd w:val="clear" w:color="auto" w:fill="auto"/>
          </w:tcPr>
          <w:p w:rsidR="00246EFA" w:rsidRPr="00901CC0" w:rsidRDefault="00BD3456" w:rsidP="00E61AF0">
            <w:pPr>
              <w:pStyle w:val="Default"/>
              <w:jc w:val="both"/>
              <w:rPr>
                <w:rFonts w:ascii="Calibri" w:hAnsi="Calibri" w:cs="Calibri"/>
                <w:sz w:val="20"/>
                <w:szCs w:val="20"/>
              </w:rPr>
            </w:pPr>
            <w:r>
              <w:rPr>
                <w:rFonts w:ascii="Calibri" w:hAnsi="Calibri" w:cs="Calibri"/>
                <w:sz w:val="20"/>
                <w:szCs w:val="20"/>
              </w:rPr>
              <w:t>None</w:t>
            </w:r>
          </w:p>
        </w:tc>
      </w:tr>
      <w:tr w:rsidR="00473CC5" w:rsidRPr="000D1B0D" w:rsidTr="00144ED4">
        <w:tc>
          <w:tcPr>
            <w:tcW w:w="1183" w:type="pct"/>
            <w:shd w:val="clear" w:color="auto" w:fill="auto"/>
          </w:tcPr>
          <w:p w:rsidR="00473CC5" w:rsidRPr="00F300A1" w:rsidRDefault="00473CC5" w:rsidP="00BD3456">
            <w:pPr>
              <w:pStyle w:val="Default"/>
              <w:rPr>
                <w:rFonts w:ascii="Calibri" w:hAnsi="Calibri" w:cs="Calibri"/>
                <w:i/>
                <w:sz w:val="20"/>
                <w:szCs w:val="20"/>
              </w:rPr>
            </w:pPr>
            <w:r w:rsidRPr="000D1B0D">
              <w:rPr>
                <w:rFonts w:ascii="Calibri" w:hAnsi="Calibri" w:cs="Calibri"/>
                <w:b/>
                <w:sz w:val="20"/>
                <w:szCs w:val="20"/>
              </w:rPr>
              <w:t>Engagement Implications:</w:t>
            </w:r>
            <w:r w:rsidRPr="000D1B0D">
              <w:rPr>
                <w:rFonts w:ascii="Calibri" w:hAnsi="Calibri" w:cs="Calibri"/>
                <w:b/>
                <w:sz w:val="20"/>
                <w:szCs w:val="20"/>
              </w:rPr>
              <w:br/>
            </w:r>
          </w:p>
        </w:tc>
        <w:tc>
          <w:tcPr>
            <w:tcW w:w="3817" w:type="pct"/>
            <w:gridSpan w:val="2"/>
            <w:shd w:val="clear" w:color="auto" w:fill="auto"/>
          </w:tcPr>
          <w:p w:rsidR="00246EFA" w:rsidRDefault="00BD3456" w:rsidP="000D1B0D">
            <w:pPr>
              <w:pStyle w:val="Default"/>
              <w:jc w:val="both"/>
              <w:rPr>
                <w:rFonts w:ascii="Calibri" w:hAnsi="Calibri" w:cs="Calibri"/>
                <w:sz w:val="20"/>
                <w:szCs w:val="20"/>
              </w:rPr>
            </w:pPr>
            <w:r>
              <w:rPr>
                <w:rFonts w:ascii="Calibri" w:hAnsi="Calibri" w:cs="Calibri"/>
                <w:sz w:val="20"/>
                <w:szCs w:val="20"/>
              </w:rPr>
              <w:t>None</w:t>
            </w:r>
          </w:p>
          <w:p w:rsidR="00246EFA" w:rsidRPr="000D1B0D" w:rsidRDefault="00246EFA" w:rsidP="000D1B0D">
            <w:pPr>
              <w:pStyle w:val="Default"/>
              <w:jc w:val="both"/>
              <w:rPr>
                <w:rFonts w:ascii="Calibri" w:hAnsi="Calibri" w:cs="Calibri"/>
                <w:sz w:val="20"/>
                <w:szCs w:val="20"/>
              </w:rPr>
            </w:pPr>
          </w:p>
        </w:tc>
      </w:tr>
      <w:tr w:rsidR="00246EFA" w:rsidRPr="000D1B0D" w:rsidTr="00144ED4">
        <w:trPr>
          <w:trHeight w:val="86"/>
        </w:trPr>
        <w:tc>
          <w:tcPr>
            <w:tcW w:w="1183" w:type="pct"/>
            <w:shd w:val="clear" w:color="auto" w:fill="D9D9D9"/>
          </w:tcPr>
          <w:p w:rsidR="00246EFA" w:rsidRPr="000D1B0D" w:rsidRDefault="00246EFA" w:rsidP="000D1B0D">
            <w:pPr>
              <w:pStyle w:val="Default"/>
              <w:jc w:val="both"/>
              <w:rPr>
                <w:rFonts w:ascii="Calibri" w:hAnsi="Calibri" w:cs="Calibri"/>
                <w:b/>
                <w:sz w:val="20"/>
                <w:szCs w:val="20"/>
              </w:rPr>
            </w:pPr>
          </w:p>
        </w:tc>
        <w:tc>
          <w:tcPr>
            <w:tcW w:w="3817" w:type="pct"/>
            <w:gridSpan w:val="2"/>
            <w:shd w:val="clear" w:color="auto" w:fill="D9D9D9"/>
          </w:tcPr>
          <w:p w:rsidR="00246EFA" w:rsidRPr="000D1B0D" w:rsidRDefault="00246EFA" w:rsidP="000D1B0D">
            <w:pPr>
              <w:pStyle w:val="Default"/>
              <w:jc w:val="both"/>
              <w:rPr>
                <w:rFonts w:ascii="Calibri" w:hAnsi="Calibri" w:cs="Calibri"/>
                <w:sz w:val="20"/>
                <w:szCs w:val="20"/>
              </w:rPr>
            </w:pPr>
          </w:p>
        </w:tc>
      </w:tr>
      <w:tr w:rsidR="007E1C2F" w:rsidRPr="000D1B0D" w:rsidTr="00144ED4">
        <w:tc>
          <w:tcPr>
            <w:tcW w:w="1183" w:type="pct"/>
            <w:shd w:val="clear" w:color="auto" w:fill="auto"/>
          </w:tcPr>
          <w:p w:rsidR="007E1C2F" w:rsidRPr="000D1B0D" w:rsidRDefault="007E1C2F" w:rsidP="007E1C2F">
            <w:pPr>
              <w:pStyle w:val="Default"/>
              <w:rPr>
                <w:rFonts w:ascii="Calibri" w:hAnsi="Calibri" w:cs="Calibri"/>
                <w:b/>
                <w:sz w:val="20"/>
                <w:szCs w:val="20"/>
              </w:rPr>
            </w:pPr>
            <w:r w:rsidRPr="000D1B0D">
              <w:rPr>
                <w:rFonts w:ascii="Calibri" w:hAnsi="Calibri" w:cs="Calibri"/>
                <w:b/>
                <w:sz w:val="20"/>
                <w:szCs w:val="20"/>
              </w:rPr>
              <w:t>Conflict</w:t>
            </w:r>
            <w:r w:rsidR="00006E07">
              <w:rPr>
                <w:rFonts w:ascii="Calibri" w:hAnsi="Calibri" w:cs="Calibri"/>
                <w:b/>
                <w:sz w:val="20"/>
                <w:szCs w:val="20"/>
              </w:rPr>
              <w:t>s of Interest</w:t>
            </w:r>
            <w:r w:rsidRPr="000D1B0D">
              <w:rPr>
                <w:rFonts w:ascii="Calibri" w:hAnsi="Calibri" w:cs="Calibri"/>
                <w:b/>
                <w:sz w:val="20"/>
                <w:szCs w:val="20"/>
              </w:rPr>
              <w:t xml:space="preserve"> </w:t>
            </w:r>
          </w:p>
          <w:p w:rsidR="007E1C2F" w:rsidRPr="00C450D4" w:rsidRDefault="007E1C2F" w:rsidP="007E1C2F">
            <w:pPr>
              <w:pStyle w:val="Default"/>
              <w:rPr>
                <w:rFonts w:ascii="Calibri" w:hAnsi="Calibri" w:cs="Calibri"/>
                <w:i/>
                <w:sz w:val="20"/>
                <w:szCs w:val="20"/>
              </w:rPr>
            </w:pPr>
          </w:p>
        </w:tc>
        <w:tc>
          <w:tcPr>
            <w:tcW w:w="3817" w:type="pct"/>
            <w:gridSpan w:val="2"/>
            <w:shd w:val="clear" w:color="auto" w:fill="auto"/>
          </w:tcPr>
          <w:p w:rsidR="00C450D4" w:rsidRDefault="00E61AF0" w:rsidP="000D1B0D">
            <w:pPr>
              <w:pStyle w:val="Default"/>
              <w:jc w:val="both"/>
              <w:rPr>
                <w:rFonts w:ascii="Calibri" w:hAnsi="Calibri" w:cs="Calibri"/>
                <w:i/>
                <w:sz w:val="20"/>
                <w:szCs w:val="20"/>
              </w:rPr>
            </w:pPr>
            <w:r w:rsidRPr="00E61AF0">
              <w:rPr>
                <w:rFonts w:ascii="Calibri" w:hAnsi="Calibri" w:cs="Calibri"/>
                <w:i/>
                <w:sz w:val="20"/>
                <w:szCs w:val="20"/>
              </w:rPr>
              <w:t xml:space="preserve">Have all conflicts and potential conflicts of interest been appropriately declared and entered in </w:t>
            </w:r>
            <w:proofErr w:type="gramStart"/>
            <w:r w:rsidRPr="00E61AF0">
              <w:rPr>
                <w:rFonts w:ascii="Calibri" w:hAnsi="Calibri" w:cs="Calibri"/>
                <w:i/>
                <w:sz w:val="20"/>
                <w:szCs w:val="20"/>
              </w:rPr>
              <w:t>registers which</w:t>
            </w:r>
            <w:proofErr w:type="gramEnd"/>
            <w:r w:rsidRPr="00E61AF0">
              <w:rPr>
                <w:rFonts w:ascii="Calibri" w:hAnsi="Calibri" w:cs="Calibri"/>
                <w:i/>
                <w:sz w:val="20"/>
                <w:szCs w:val="20"/>
              </w:rPr>
              <w:t xml:space="preserve"> are publicly available?</w:t>
            </w:r>
            <w:r w:rsidR="00006E07">
              <w:rPr>
                <w:rFonts w:ascii="Calibri" w:hAnsi="Calibri" w:cs="Calibri"/>
                <w:i/>
                <w:sz w:val="20"/>
                <w:szCs w:val="20"/>
              </w:rPr>
              <w:t xml:space="preserve"> </w:t>
            </w:r>
            <w:r w:rsidR="006006E6">
              <w:rPr>
                <w:rFonts w:ascii="Calibri" w:hAnsi="Calibri" w:cs="Calibri"/>
                <w:i/>
                <w:sz w:val="20"/>
                <w:szCs w:val="20"/>
              </w:rPr>
              <w:t xml:space="preserve">  </w:t>
            </w:r>
          </w:p>
          <w:p w:rsidR="00006E07" w:rsidRDefault="00006E07" w:rsidP="000D1B0D">
            <w:pPr>
              <w:pStyle w:val="Default"/>
              <w:jc w:val="both"/>
              <w:rPr>
                <w:rFonts w:ascii="Calibri" w:hAnsi="Calibri" w:cs="Calibri"/>
                <w:b/>
                <w:sz w:val="20"/>
                <w:szCs w:val="20"/>
              </w:rPr>
            </w:pPr>
          </w:p>
          <w:p w:rsidR="00006E07" w:rsidRDefault="00A71DF6" w:rsidP="00D42959">
            <w:pPr>
              <w:pStyle w:val="Default"/>
              <w:tabs>
                <w:tab w:val="left" w:pos="936"/>
              </w:tabs>
              <w:jc w:val="both"/>
              <w:rPr>
                <w:rFonts w:ascii="Calibri" w:hAnsi="Calibri" w:cs="Calibri"/>
                <w:sz w:val="20"/>
                <w:szCs w:val="20"/>
              </w:rPr>
            </w:pPr>
            <w:sdt>
              <w:sdtPr>
                <w:rPr>
                  <w:rFonts w:ascii="Calibri" w:hAnsi="Calibri" w:cs="Calibri"/>
                  <w:sz w:val="20"/>
                  <w:szCs w:val="20"/>
                </w:rPr>
                <w:id w:val="419144559"/>
                <w14:checkbox>
                  <w14:checked w14:val="1"/>
                  <w14:checkedState w14:val="2612" w14:font="MS Gothic"/>
                  <w14:uncheckedState w14:val="2610" w14:font="MS Gothic"/>
                </w14:checkbox>
              </w:sdtPr>
              <w:sdtEndPr/>
              <w:sdtContent>
                <w:r w:rsidR="00BD3456">
                  <w:rPr>
                    <w:rFonts w:ascii="MS Gothic" w:eastAsia="MS Gothic" w:hAnsi="MS Gothic" w:cs="Calibri" w:hint="eastAsia"/>
                    <w:sz w:val="20"/>
                    <w:szCs w:val="20"/>
                  </w:rPr>
                  <w:t>☒</w:t>
                </w:r>
              </w:sdtContent>
            </w:sdt>
            <w:r w:rsidR="006C1307" w:rsidRPr="006C1307">
              <w:rPr>
                <w:rFonts w:ascii="Calibri" w:hAnsi="Calibri" w:cs="Calibri"/>
                <w:sz w:val="20"/>
                <w:szCs w:val="20"/>
              </w:rPr>
              <w:t xml:space="preserve">  Yes</w:t>
            </w:r>
            <w:r w:rsidR="006C1307">
              <w:rPr>
                <w:rFonts w:ascii="Calibri" w:hAnsi="Calibri" w:cs="Calibri"/>
                <w:sz w:val="20"/>
                <w:szCs w:val="20"/>
              </w:rPr>
              <w:t xml:space="preserve">            </w:t>
            </w:r>
            <w:sdt>
              <w:sdtPr>
                <w:rPr>
                  <w:rFonts w:ascii="Calibri" w:hAnsi="Calibri" w:cs="Calibri"/>
                  <w:sz w:val="20"/>
                  <w:szCs w:val="20"/>
                </w:rPr>
                <w:id w:val="1133061687"/>
                <w14:checkbox>
                  <w14:checked w14:val="0"/>
                  <w14:checkedState w14:val="2612" w14:font="MS Gothic"/>
                  <w14:uncheckedState w14:val="2610" w14:font="MS Gothic"/>
                </w14:checkbox>
              </w:sdtPr>
              <w:sdtEndPr/>
              <w:sdtContent>
                <w:r w:rsidR="006C1307">
                  <w:rPr>
                    <w:rFonts w:ascii="MS Gothic" w:eastAsia="MS Gothic" w:hAnsi="MS Gothic" w:cs="Calibri" w:hint="eastAsia"/>
                    <w:sz w:val="20"/>
                    <w:szCs w:val="20"/>
                  </w:rPr>
                  <w:t>☐</w:t>
                </w:r>
              </w:sdtContent>
            </w:sdt>
            <w:r w:rsidR="006C1307">
              <w:rPr>
                <w:rFonts w:ascii="Calibri" w:hAnsi="Calibri" w:cs="Calibri"/>
                <w:sz w:val="20"/>
                <w:szCs w:val="20"/>
              </w:rPr>
              <w:t xml:space="preserve">  No</w:t>
            </w:r>
          </w:p>
          <w:p w:rsidR="00246EFA" w:rsidRPr="000D1B0D" w:rsidRDefault="00246EFA" w:rsidP="000D1B0D">
            <w:pPr>
              <w:pStyle w:val="Default"/>
              <w:jc w:val="both"/>
              <w:rPr>
                <w:rFonts w:ascii="Calibri" w:hAnsi="Calibri" w:cs="Calibri"/>
                <w:sz w:val="20"/>
                <w:szCs w:val="20"/>
              </w:rPr>
            </w:pPr>
          </w:p>
        </w:tc>
      </w:tr>
      <w:tr w:rsidR="007663C8" w:rsidRPr="000D1B0D" w:rsidTr="00144ED4">
        <w:tc>
          <w:tcPr>
            <w:tcW w:w="1183" w:type="pct"/>
            <w:shd w:val="clear" w:color="auto" w:fill="auto"/>
          </w:tcPr>
          <w:p w:rsidR="007663C8" w:rsidRPr="006330C7" w:rsidRDefault="006330C7" w:rsidP="00306A1B">
            <w:pPr>
              <w:pStyle w:val="Default"/>
              <w:rPr>
                <w:rFonts w:ascii="Calibri" w:hAnsi="Calibri" w:cs="Calibri"/>
                <w:b/>
                <w:sz w:val="20"/>
                <w:szCs w:val="20"/>
              </w:rPr>
            </w:pPr>
            <w:r>
              <w:rPr>
                <w:rFonts w:ascii="Calibri" w:hAnsi="Calibri" w:cs="Calibri"/>
                <w:b/>
                <w:sz w:val="20"/>
                <w:szCs w:val="20"/>
              </w:rPr>
              <w:t xml:space="preserve">Links to CCG’s </w:t>
            </w:r>
            <w:r w:rsidR="007663C8">
              <w:rPr>
                <w:rFonts w:ascii="Calibri" w:hAnsi="Calibri" w:cs="Calibri"/>
                <w:b/>
                <w:sz w:val="20"/>
                <w:szCs w:val="20"/>
              </w:rPr>
              <w:t>Strategic Objectives</w:t>
            </w:r>
          </w:p>
        </w:tc>
        <w:tc>
          <w:tcPr>
            <w:tcW w:w="3817" w:type="pct"/>
            <w:gridSpan w:val="2"/>
            <w:shd w:val="clear" w:color="auto" w:fill="auto"/>
          </w:tcPr>
          <w:p w:rsidR="006330C7" w:rsidRDefault="00A71DF6" w:rsidP="006330C7">
            <w:pPr>
              <w:tabs>
                <w:tab w:val="left" w:pos="1020"/>
                <w:tab w:val="left" w:pos="4800"/>
              </w:tabs>
              <w:autoSpaceDE w:val="0"/>
              <w:autoSpaceDN w:val="0"/>
              <w:rPr>
                <w:rFonts w:ascii="Calibri" w:hAnsi="Calibri" w:cs="Calibri"/>
                <w:sz w:val="22"/>
                <w:szCs w:val="22"/>
              </w:rPr>
            </w:pPr>
            <w:sdt>
              <w:sdtPr>
                <w:rPr>
                  <w:rFonts w:ascii="Calibri" w:hAnsi="Calibri" w:cs="Calibri"/>
                  <w:sz w:val="22"/>
                  <w:szCs w:val="22"/>
                </w:rPr>
                <w:id w:val="-659457400"/>
                <w14:checkbox>
                  <w14:checked w14:val="0"/>
                  <w14:checkedState w14:val="2612" w14:font="MS Gothic"/>
                  <w14:uncheckedState w14:val="2610" w14:font="MS Gothic"/>
                </w14:checkbox>
              </w:sdtPr>
              <w:sdtEndPr/>
              <w:sdtContent>
                <w:r w:rsidR="00DB37E5">
                  <w:rPr>
                    <w:rFonts w:ascii="MS Gothic" w:eastAsia="MS Gothic" w:hAnsi="MS Gothic" w:cs="Calibri" w:hint="eastAsia"/>
                    <w:sz w:val="22"/>
                    <w:szCs w:val="22"/>
                  </w:rPr>
                  <w:t>☐</w:t>
                </w:r>
              </w:sdtContent>
            </w:sdt>
            <w:r w:rsidR="006330C7">
              <w:rPr>
                <w:rFonts w:ascii="Calibri" w:hAnsi="Calibri" w:cs="Calibri"/>
                <w:sz w:val="22"/>
                <w:szCs w:val="22"/>
              </w:rPr>
              <w:t xml:space="preserve"> Sustainable services                                       </w:t>
            </w:r>
            <w:sdt>
              <w:sdtPr>
                <w:rPr>
                  <w:rFonts w:ascii="Calibri" w:hAnsi="Calibri" w:cs="Calibri"/>
                  <w:sz w:val="22"/>
                  <w:szCs w:val="22"/>
                </w:rPr>
                <w:id w:val="-225378782"/>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Empowering people</w:t>
            </w:r>
          </w:p>
          <w:p w:rsidR="006330C7" w:rsidRDefault="00A71DF6" w:rsidP="00D42959">
            <w:pPr>
              <w:tabs>
                <w:tab w:val="left" w:pos="1656"/>
                <w:tab w:val="left" w:pos="5364"/>
              </w:tabs>
              <w:autoSpaceDE w:val="0"/>
              <w:autoSpaceDN w:val="0"/>
              <w:rPr>
                <w:rFonts w:ascii="Calibri" w:hAnsi="Calibri" w:cs="Calibri"/>
                <w:sz w:val="22"/>
                <w:szCs w:val="22"/>
              </w:rPr>
            </w:pPr>
            <w:sdt>
              <w:sdtPr>
                <w:rPr>
                  <w:rFonts w:ascii="Calibri" w:hAnsi="Calibri" w:cs="Calibri"/>
                  <w:sz w:val="22"/>
                  <w:szCs w:val="22"/>
                </w:rPr>
                <w:id w:val="666679595"/>
                <w14:checkbox>
                  <w14:checked w14:val="0"/>
                  <w14:checkedState w14:val="2612" w14:font="MS Gothic"/>
                  <w14:uncheckedState w14:val="2610" w14:font="MS Gothic"/>
                </w14:checkbox>
              </w:sdtPr>
              <w:sdtEndPr/>
              <w:sdtContent>
                <w:r w:rsidR="006330C7">
                  <w:rPr>
                    <w:rFonts w:ascii="MS Gothic" w:eastAsia="MS Gothic" w:hAnsi="MS Gothic" w:cs="Calibri" w:hint="eastAsia"/>
                    <w:sz w:val="22"/>
                    <w:szCs w:val="22"/>
                  </w:rPr>
                  <w:t>☐</w:t>
                </w:r>
              </w:sdtContent>
            </w:sdt>
            <w:r w:rsidR="006330C7">
              <w:rPr>
                <w:rFonts w:ascii="Calibri" w:hAnsi="Calibri" w:cs="Calibri"/>
                <w:sz w:val="22"/>
                <w:szCs w:val="22"/>
              </w:rPr>
              <w:t xml:space="preserve"> Supporting communities</w:t>
            </w:r>
            <w:r w:rsidR="00144ED4">
              <w:rPr>
                <w:rFonts w:ascii="Calibri" w:hAnsi="Calibri" w:cs="Calibri"/>
                <w:sz w:val="22"/>
                <w:szCs w:val="22"/>
              </w:rPr>
              <w:t xml:space="preserve">                               </w:t>
            </w:r>
            <w:sdt>
              <w:sdtPr>
                <w:rPr>
                  <w:rFonts w:ascii="Calibri" w:hAnsi="Calibri" w:cs="Calibri"/>
                  <w:sz w:val="22"/>
                  <w:szCs w:val="22"/>
                </w:rPr>
                <w:id w:val="-690685341"/>
                <w14:checkbox>
                  <w14:checked w14:val="1"/>
                  <w14:checkedState w14:val="2612" w14:font="MS Gothic"/>
                  <w14:uncheckedState w14:val="2610" w14:font="MS Gothic"/>
                </w14:checkbox>
              </w:sdtPr>
              <w:sdtEndPr/>
              <w:sdtContent>
                <w:r w:rsidR="00BD3456">
                  <w:rPr>
                    <w:rFonts w:ascii="MS Gothic" w:eastAsia="MS Gothic" w:hAnsi="MS Gothic" w:cs="Calibri" w:hint="eastAsia"/>
                    <w:sz w:val="22"/>
                    <w:szCs w:val="22"/>
                  </w:rPr>
                  <w:t>☒</w:t>
                </w:r>
              </w:sdtContent>
            </w:sdt>
            <w:r w:rsidR="00144ED4">
              <w:rPr>
                <w:rFonts w:ascii="Calibri" w:hAnsi="Calibri" w:cs="Calibri"/>
                <w:sz w:val="22"/>
                <w:szCs w:val="22"/>
              </w:rPr>
              <w:t xml:space="preserve"> Delivering a fit for purpose organisation</w:t>
            </w:r>
          </w:p>
          <w:p w:rsidR="00220DF9" w:rsidRPr="006330C7" w:rsidRDefault="00220DF9" w:rsidP="00D42959">
            <w:pPr>
              <w:tabs>
                <w:tab w:val="left" w:pos="1656"/>
                <w:tab w:val="left" w:pos="5364"/>
              </w:tabs>
              <w:autoSpaceDE w:val="0"/>
              <w:autoSpaceDN w:val="0"/>
              <w:rPr>
                <w:rFonts w:ascii="Calibri" w:hAnsi="Calibri" w:cs="Calibri"/>
                <w:sz w:val="22"/>
                <w:szCs w:val="22"/>
              </w:rPr>
            </w:pPr>
          </w:p>
        </w:tc>
      </w:tr>
      <w:tr w:rsidR="00473CC5" w:rsidRPr="000D1B0D" w:rsidTr="00144ED4">
        <w:tc>
          <w:tcPr>
            <w:tcW w:w="1183" w:type="pct"/>
            <w:shd w:val="clear" w:color="auto" w:fill="auto"/>
          </w:tcPr>
          <w:p w:rsidR="00473CC5" w:rsidRPr="000D1B0D" w:rsidRDefault="00473CC5" w:rsidP="000D1B0D">
            <w:pPr>
              <w:pStyle w:val="Default"/>
              <w:jc w:val="both"/>
              <w:rPr>
                <w:rFonts w:ascii="Calibri" w:hAnsi="Calibri" w:cs="Calibri"/>
                <w:b/>
                <w:sz w:val="20"/>
                <w:szCs w:val="20"/>
              </w:rPr>
            </w:pPr>
            <w:r w:rsidRPr="000D1B0D">
              <w:rPr>
                <w:rFonts w:ascii="Calibri" w:hAnsi="Calibri" w:cs="Calibri"/>
                <w:b/>
                <w:sz w:val="20"/>
                <w:szCs w:val="20"/>
              </w:rPr>
              <w:t>NHS Constitution:</w:t>
            </w:r>
          </w:p>
          <w:p w:rsidR="00473CC5" w:rsidRPr="0009052F" w:rsidRDefault="00473CC5" w:rsidP="0009052F">
            <w:pPr>
              <w:pStyle w:val="Default"/>
              <w:rPr>
                <w:rFonts w:ascii="Calibri" w:hAnsi="Calibri" w:cs="Calibri"/>
                <w:i/>
                <w:sz w:val="20"/>
                <w:szCs w:val="20"/>
              </w:rPr>
            </w:pPr>
          </w:p>
        </w:tc>
        <w:tc>
          <w:tcPr>
            <w:tcW w:w="3817" w:type="pct"/>
            <w:gridSpan w:val="2"/>
            <w:shd w:val="clear" w:color="auto" w:fill="auto"/>
          </w:tcPr>
          <w:p w:rsidR="00144ED4" w:rsidRDefault="00A71DF6" w:rsidP="000D1B0D">
            <w:pPr>
              <w:pStyle w:val="Default"/>
              <w:jc w:val="both"/>
              <w:rPr>
                <w:rFonts w:ascii="Calibri" w:hAnsi="Calibri" w:cs="Calibri"/>
                <w:sz w:val="20"/>
                <w:szCs w:val="20"/>
              </w:rPr>
            </w:pPr>
            <w:hyperlink r:id="rId11" w:history="1">
              <w:r w:rsidR="00160986" w:rsidRPr="009D45D5">
                <w:rPr>
                  <w:rStyle w:val="Hyperlink"/>
                  <w:rFonts w:ascii="Calibri" w:hAnsi="Calibri" w:cs="Calibri"/>
                  <w:sz w:val="20"/>
                  <w:szCs w:val="20"/>
                </w:rPr>
                <w:t>https://www.gov.uk/government/publications/the-nhs-constitution-for-england</w:t>
              </w:r>
            </w:hyperlink>
          </w:p>
          <w:p w:rsidR="00034CF6" w:rsidRDefault="00034CF6" w:rsidP="000D1B0D">
            <w:pPr>
              <w:pStyle w:val="Default"/>
              <w:jc w:val="both"/>
              <w:rPr>
                <w:rFonts w:ascii="Calibri" w:hAnsi="Calibri" w:cs="Calibri"/>
                <w:sz w:val="20"/>
                <w:szCs w:val="20"/>
              </w:rPr>
            </w:pPr>
          </w:p>
          <w:p w:rsidR="00006E07" w:rsidRPr="000D1B0D" w:rsidRDefault="00BD3456" w:rsidP="0009052F">
            <w:pPr>
              <w:pStyle w:val="Default"/>
              <w:jc w:val="both"/>
              <w:rPr>
                <w:rFonts w:ascii="Calibri" w:hAnsi="Calibri" w:cs="Calibri"/>
                <w:sz w:val="20"/>
                <w:szCs w:val="20"/>
              </w:rPr>
            </w:pPr>
            <w:r>
              <w:rPr>
                <w:rFonts w:ascii="Calibri" w:hAnsi="Calibri" w:cs="Calibri"/>
                <w:sz w:val="20"/>
                <w:szCs w:val="20"/>
              </w:rPr>
              <w:t>T</w:t>
            </w:r>
            <w:r w:rsidRPr="00143128">
              <w:rPr>
                <w:rFonts w:ascii="Calibri" w:hAnsi="Calibri" w:cs="Calibri"/>
                <w:sz w:val="20"/>
                <w:szCs w:val="20"/>
              </w:rPr>
              <w:t xml:space="preserve">he </w:t>
            </w:r>
            <w:r>
              <w:rPr>
                <w:rFonts w:ascii="Calibri" w:hAnsi="Calibri" w:cs="Calibri"/>
                <w:sz w:val="20"/>
                <w:szCs w:val="20"/>
              </w:rPr>
              <w:t xml:space="preserve">CCG </w:t>
            </w:r>
            <w:r w:rsidRPr="00143128">
              <w:rPr>
                <w:rFonts w:ascii="Calibri" w:hAnsi="Calibri" w:cs="Calibri"/>
                <w:sz w:val="20"/>
                <w:szCs w:val="20"/>
              </w:rPr>
              <w:t>will promote good governance and proper stewardship of public resources in pursuance of its goals and in meeting its statutory duties.</w:t>
            </w:r>
          </w:p>
        </w:tc>
      </w:tr>
      <w:tr w:rsidR="00E402F3" w:rsidRPr="000D1B0D" w:rsidTr="00144ED4">
        <w:tc>
          <w:tcPr>
            <w:tcW w:w="1183" w:type="pct"/>
            <w:shd w:val="clear" w:color="auto" w:fill="auto"/>
          </w:tcPr>
          <w:p w:rsidR="00E402F3" w:rsidRPr="000D1B0D" w:rsidRDefault="00E402F3" w:rsidP="00E402F3">
            <w:pPr>
              <w:pStyle w:val="Default"/>
              <w:rPr>
                <w:rFonts w:ascii="Calibri" w:hAnsi="Calibri" w:cs="Calibri"/>
                <w:b/>
                <w:sz w:val="20"/>
                <w:szCs w:val="20"/>
              </w:rPr>
            </w:pPr>
            <w:r w:rsidRPr="000D1B0D">
              <w:rPr>
                <w:rFonts w:ascii="Calibri" w:hAnsi="Calibri" w:cs="Calibri"/>
                <w:b/>
                <w:sz w:val="20"/>
                <w:szCs w:val="20"/>
              </w:rPr>
              <w:t>Appendices / attachments</w:t>
            </w:r>
          </w:p>
          <w:p w:rsidR="00E402F3" w:rsidRPr="000D1B0D" w:rsidRDefault="00E402F3" w:rsidP="00E402F3">
            <w:pPr>
              <w:pStyle w:val="Default"/>
              <w:rPr>
                <w:rFonts w:ascii="Calibri" w:hAnsi="Calibri" w:cs="Calibri"/>
                <w:b/>
                <w:sz w:val="20"/>
                <w:szCs w:val="20"/>
              </w:rPr>
            </w:pPr>
          </w:p>
        </w:tc>
        <w:tc>
          <w:tcPr>
            <w:tcW w:w="3817" w:type="pct"/>
            <w:gridSpan w:val="2"/>
            <w:shd w:val="clear" w:color="auto" w:fill="auto"/>
          </w:tcPr>
          <w:p w:rsidR="00E402F3" w:rsidRPr="000D1B0D" w:rsidRDefault="003E2DF5" w:rsidP="000D1B0D">
            <w:pPr>
              <w:pStyle w:val="Default"/>
              <w:jc w:val="both"/>
              <w:rPr>
                <w:rFonts w:ascii="Calibri" w:hAnsi="Calibri" w:cs="Calibri"/>
                <w:sz w:val="20"/>
                <w:szCs w:val="20"/>
              </w:rPr>
            </w:pPr>
            <w:r>
              <w:rPr>
                <w:rFonts w:ascii="Calibri" w:hAnsi="Calibri" w:cs="Calibri"/>
                <w:sz w:val="20"/>
                <w:szCs w:val="20"/>
              </w:rPr>
              <w:object w:dxaOrig="1551" w:dyaOrig="10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55pt;height:50.2pt" o:ole="">
                  <v:imagedata r:id="rId12" o:title=""/>
                </v:shape>
                <o:OLEObject Type="Embed" ProgID="AcroExch.Document.DC" ShapeID="_x0000_i1025" DrawAspect="Icon" ObjectID="_1615190647" r:id="rId13"/>
              </w:object>
            </w:r>
          </w:p>
        </w:tc>
      </w:tr>
    </w:tbl>
    <w:p w:rsidR="009D4EDC" w:rsidRDefault="009D4EDC" w:rsidP="00D3211A">
      <w:pPr>
        <w:pStyle w:val="Default"/>
        <w:jc w:val="both"/>
        <w:rPr>
          <w:rFonts w:ascii="Calibri" w:hAnsi="Calibri" w:cs="Calibri"/>
          <w:sz w:val="20"/>
          <w:szCs w:val="20"/>
        </w:rPr>
      </w:pPr>
    </w:p>
    <w:p w:rsidR="00893409" w:rsidRDefault="00893409" w:rsidP="00D3211A">
      <w:pPr>
        <w:pStyle w:val="Default"/>
        <w:jc w:val="both"/>
        <w:rPr>
          <w:rFonts w:ascii="Calibri" w:hAnsi="Calibri" w:cs="Calibri"/>
          <w:sz w:val="20"/>
          <w:szCs w:val="20"/>
        </w:rPr>
      </w:pPr>
    </w:p>
    <w:sectPr w:rsidR="00893409" w:rsidSect="00144ED4">
      <w:headerReference w:type="default" r:id="rId14"/>
      <w:footerReference w:type="default" r:id="rId15"/>
      <w:pgSz w:w="11900" w:h="16840"/>
      <w:pgMar w:top="567" w:right="567" w:bottom="567" w:left="567" w:header="0" w:footer="113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69AB" w:rsidRDefault="004B69AB" w:rsidP="00E1284E">
      <w:r>
        <w:separator/>
      </w:r>
    </w:p>
  </w:endnote>
  <w:endnote w:type="continuationSeparator" w:id="0">
    <w:p w:rsidR="004B69AB" w:rsidRDefault="004B69AB" w:rsidP="00E12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419C" w:rsidRDefault="0028419C">
    <w:pPr>
      <w:pStyle w:val="Footer"/>
    </w:pPr>
    <w:r>
      <w:fldChar w:fldCharType="begin"/>
    </w:r>
    <w:r>
      <w:instrText xml:space="preserve"> PAGE   \* MERGEFORMAT </w:instrText>
    </w:r>
    <w:r>
      <w:fldChar w:fldCharType="separate"/>
    </w:r>
    <w:r w:rsidR="00A71DF6">
      <w:rPr>
        <w:noProof/>
      </w:rPr>
      <w:t>5</w:t>
    </w:r>
    <w:r>
      <w:rPr>
        <w:noProof/>
      </w:rPr>
      <w:fldChar w:fldCharType="end"/>
    </w:r>
  </w:p>
  <w:p w:rsidR="0028419C" w:rsidRDefault="002841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69AB" w:rsidRDefault="004B69AB" w:rsidP="00E1284E">
      <w:r>
        <w:separator/>
      </w:r>
    </w:p>
  </w:footnote>
  <w:footnote w:type="continuationSeparator" w:id="0">
    <w:p w:rsidR="004B69AB" w:rsidRDefault="004B69AB" w:rsidP="00E128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409" w:rsidRDefault="001D2409">
    <w:pPr>
      <w:pStyle w:val="Header"/>
    </w:pPr>
    <w:r>
      <w:rPr>
        <w:noProof/>
        <w:lang w:val="en-GB" w:eastAsia="en-GB"/>
      </w:rPr>
      <mc:AlternateContent>
        <mc:Choice Requires="wps">
          <w:drawing>
            <wp:anchor distT="0" distB="0" distL="114300" distR="114300" simplePos="0" relativeHeight="251657728" behindDoc="0" locked="0" layoutInCell="0" allowOverlap="1" wp14:anchorId="200A828D" wp14:editId="4E3F2135">
              <wp:simplePos x="0" y="0"/>
              <wp:positionH relativeFrom="page">
                <wp:posOffset>6988810</wp:posOffset>
              </wp:positionH>
              <wp:positionV relativeFrom="page">
                <wp:posOffset>8150225</wp:posOffset>
              </wp:positionV>
              <wp:extent cx="51943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93409" w:rsidRPr="00893409" w:rsidRDefault="00893409">
                          <w:pPr>
                            <w:pStyle w:val="Footer"/>
                            <w:rPr>
                              <w:rFonts w:eastAsia="Times New Roman"/>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00A828D" id="Rectangle 3" o:spid="_x0000_s1029" style="position:absolute;margin-left:550.3pt;margin-top:641.75pt;width:40.9pt;height:171.9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" o:allowincell="f" filled="f" stroked="f">
              <v:textbox style="layout-flow:vertical;mso-layout-flow-alt:bottom-to-top;mso-fit-shape-to-text:t">
                <w:txbxContent>
                  <w:p w:rsidR="00893409" w:rsidRPr="00893409" w:rsidRDefault="00893409">
                    <w:pPr>
                      <w:pStyle w:val="Footer"/>
                      <w:rPr>
                        <w:rFonts w:eastAsia="Times New Roman"/>
                        <w:sz w:val="44"/>
                        <w:szCs w:val="44"/>
                      </w:rPr>
                    </w:pP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07813"/>
    <w:multiLevelType w:val="hybridMultilevel"/>
    <w:tmpl w:val="7B1455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8D207B"/>
    <w:multiLevelType w:val="hybridMultilevel"/>
    <w:tmpl w:val="A0F2DE5C"/>
    <w:lvl w:ilvl="0" w:tplc="945282FC">
      <w:start w:val="1"/>
      <w:numFmt w:val="decimal"/>
      <w:lvlText w:val="%1."/>
      <w:lvlJc w:val="left"/>
      <w:pPr>
        <w:ind w:left="360" w:hanging="360"/>
      </w:pPr>
      <w:rPr>
        <w:rFonts w:cs="Calibri"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16AE4FEC"/>
    <w:multiLevelType w:val="hybridMultilevel"/>
    <w:tmpl w:val="2AA44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581ECA"/>
    <w:multiLevelType w:val="hybridMultilevel"/>
    <w:tmpl w:val="C7DCDFA6"/>
    <w:lvl w:ilvl="0" w:tplc="F39EC00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2D5301"/>
    <w:multiLevelType w:val="hybridMultilevel"/>
    <w:tmpl w:val="0878629C"/>
    <w:lvl w:ilvl="0" w:tplc="F39EC00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B25E4"/>
    <w:multiLevelType w:val="hybridMultilevel"/>
    <w:tmpl w:val="538EE8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3C874D94"/>
    <w:multiLevelType w:val="hybridMultilevel"/>
    <w:tmpl w:val="A2506BB6"/>
    <w:lvl w:ilvl="0" w:tplc="FC04B498">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062788B"/>
    <w:multiLevelType w:val="hybridMultilevel"/>
    <w:tmpl w:val="59A45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D956A54"/>
    <w:multiLevelType w:val="hybridMultilevel"/>
    <w:tmpl w:val="B8ECBDEC"/>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EFB4461"/>
    <w:multiLevelType w:val="hybridMultilevel"/>
    <w:tmpl w:val="D228E95A"/>
    <w:lvl w:ilvl="0" w:tplc="F39EC004">
      <w:numFmt w:val="bullet"/>
      <w:lvlText w:val="-"/>
      <w:lvlJc w:val="left"/>
      <w:pPr>
        <w:ind w:left="720" w:hanging="360"/>
      </w:pPr>
      <w:rPr>
        <w:rFonts w:ascii="Calibri" w:eastAsia="MS Mincho"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5"/>
  </w:num>
  <w:num w:numId="5">
    <w:abstractNumId w:val="0"/>
  </w:num>
  <w:num w:numId="6">
    <w:abstractNumId w:val="7"/>
  </w:num>
  <w:num w:numId="7">
    <w:abstractNumId w:val="9"/>
  </w:num>
  <w:num w:numId="8">
    <w:abstractNumId w:val="4"/>
  </w:num>
  <w:num w:numId="9">
    <w:abstractNumId w:val="3"/>
  </w:num>
  <w:num w:numId="10">
    <w:abstractNumId w:val="8"/>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s>
  <w:rsids>
    <w:rsidRoot w:val="0092546C"/>
    <w:rsid w:val="00005BBC"/>
    <w:rsid w:val="00006E07"/>
    <w:rsid w:val="00034CF6"/>
    <w:rsid w:val="000350E4"/>
    <w:rsid w:val="00043C7A"/>
    <w:rsid w:val="00046B77"/>
    <w:rsid w:val="00077517"/>
    <w:rsid w:val="0009052F"/>
    <w:rsid w:val="00096E41"/>
    <w:rsid w:val="000A554D"/>
    <w:rsid w:val="000A7EB7"/>
    <w:rsid w:val="000C4D3C"/>
    <w:rsid w:val="000C70E4"/>
    <w:rsid w:val="000D1426"/>
    <w:rsid w:val="000D1B0D"/>
    <w:rsid w:val="00107535"/>
    <w:rsid w:val="001139C9"/>
    <w:rsid w:val="0013341F"/>
    <w:rsid w:val="00136B75"/>
    <w:rsid w:val="00144ED4"/>
    <w:rsid w:val="001521B4"/>
    <w:rsid w:val="001556E0"/>
    <w:rsid w:val="00160986"/>
    <w:rsid w:val="0016479A"/>
    <w:rsid w:val="00172A75"/>
    <w:rsid w:val="001851BD"/>
    <w:rsid w:val="001D2409"/>
    <w:rsid w:val="002044CF"/>
    <w:rsid w:val="002054A0"/>
    <w:rsid w:val="0022046E"/>
    <w:rsid w:val="00220DF9"/>
    <w:rsid w:val="00246A4E"/>
    <w:rsid w:val="00246EFA"/>
    <w:rsid w:val="00267CA4"/>
    <w:rsid w:val="0028419C"/>
    <w:rsid w:val="002C32CC"/>
    <w:rsid w:val="002F38A7"/>
    <w:rsid w:val="00306A1B"/>
    <w:rsid w:val="0036733E"/>
    <w:rsid w:val="003B7B5D"/>
    <w:rsid w:val="003D7845"/>
    <w:rsid w:val="003E2DF5"/>
    <w:rsid w:val="004126BC"/>
    <w:rsid w:val="004458C3"/>
    <w:rsid w:val="00453E4B"/>
    <w:rsid w:val="00462732"/>
    <w:rsid w:val="00473CC5"/>
    <w:rsid w:val="004767D8"/>
    <w:rsid w:val="00491316"/>
    <w:rsid w:val="004B444D"/>
    <w:rsid w:val="004B69AB"/>
    <w:rsid w:val="004E32B5"/>
    <w:rsid w:val="004F5317"/>
    <w:rsid w:val="004F6116"/>
    <w:rsid w:val="005310F1"/>
    <w:rsid w:val="005341D0"/>
    <w:rsid w:val="0054308A"/>
    <w:rsid w:val="005A0D0A"/>
    <w:rsid w:val="005A4EC5"/>
    <w:rsid w:val="005A53D1"/>
    <w:rsid w:val="005B0C13"/>
    <w:rsid w:val="006006E6"/>
    <w:rsid w:val="006330C7"/>
    <w:rsid w:val="00641C33"/>
    <w:rsid w:val="00663808"/>
    <w:rsid w:val="00697B0F"/>
    <w:rsid w:val="006A23CE"/>
    <w:rsid w:val="006C1307"/>
    <w:rsid w:val="006F3A4E"/>
    <w:rsid w:val="00703268"/>
    <w:rsid w:val="0071072D"/>
    <w:rsid w:val="00711DA9"/>
    <w:rsid w:val="00713215"/>
    <w:rsid w:val="00720BF3"/>
    <w:rsid w:val="00734128"/>
    <w:rsid w:val="007405E7"/>
    <w:rsid w:val="00755446"/>
    <w:rsid w:val="007663C8"/>
    <w:rsid w:val="00793F90"/>
    <w:rsid w:val="007C526F"/>
    <w:rsid w:val="007D1C13"/>
    <w:rsid w:val="007E1C2F"/>
    <w:rsid w:val="007E2A23"/>
    <w:rsid w:val="008044FD"/>
    <w:rsid w:val="0081494F"/>
    <w:rsid w:val="008336DE"/>
    <w:rsid w:val="00842CBF"/>
    <w:rsid w:val="00846301"/>
    <w:rsid w:val="00876931"/>
    <w:rsid w:val="00893409"/>
    <w:rsid w:val="008A1D10"/>
    <w:rsid w:val="008C5A15"/>
    <w:rsid w:val="008D2FFA"/>
    <w:rsid w:val="00901CC0"/>
    <w:rsid w:val="00911F40"/>
    <w:rsid w:val="009169E9"/>
    <w:rsid w:val="009232A3"/>
    <w:rsid w:val="009245B1"/>
    <w:rsid w:val="0092546C"/>
    <w:rsid w:val="0098436E"/>
    <w:rsid w:val="00991A1C"/>
    <w:rsid w:val="00995A9E"/>
    <w:rsid w:val="009B4B1E"/>
    <w:rsid w:val="009D39DE"/>
    <w:rsid w:val="009D4EDC"/>
    <w:rsid w:val="009E45D2"/>
    <w:rsid w:val="00A0148B"/>
    <w:rsid w:val="00A218A3"/>
    <w:rsid w:val="00A34173"/>
    <w:rsid w:val="00A41667"/>
    <w:rsid w:val="00A66D55"/>
    <w:rsid w:val="00A67A77"/>
    <w:rsid w:val="00A71DF6"/>
    <w:rsid w:val="00A9358C"/>
    <w:rsid w:val="00A977E0"/>
    <w:rsid w:val="00AB1B69"/>
    <w:rsid w:val="00AB4FF6"/>
    <w:rsid w:val="00AB645B"/>
    <w:rsid w:val="00AF4A4F"/>
    <w:rsid w:val="00B10221"/>
    <w:rsid w:val="00B24425"/>
    <w:rsid w:val="00B62F45"/>
    <w:rsid w:val="00B658DC"/>
    <w:rsid w:val="00B76E57"/>
    <w:rsid w:val="00B904DF"/>
    <w:rsid w:val="00B96B78"/>
    <w:rsid w:val="00B971B9"/>
    <w:rsid w:val="00BB0439"/>
    <w:rsid w:val="00BB40A8"/>
    <w:rsid w:val="00BD3456"/>
    <w:rsid w:val="00BE2870"/>
    <w:rsid w:val="00BE53CE"/>
    <w:rsid w:val="00BE727A"/>
    <w:rsid w:val="00BE7CCE"/>
    <w:rsid w:val="00C11E96"/>
    <w:rsid w:val="00C22A1B"/>
    <w:rsid w:val="00C24F69"/>
    <w:rsid w:val="00C41576"/>
    <w:rsid w:val="00C450D4"/>
    <w:rsid w:val="00C52984"/>
    <w:rsid w:val="00C64AF0"/>
    <w:rsid w:val="00C81EF3"/>
    <w:rsid w:val="00CA348E"/>
    <w:rsid w:val="00CA4E8E"/>
    <w:rsid w:val="00CB1860"/>
    <w:rsid w:val="00CC2C55"/>
    <w:rsid w:val="00CF20A6"/>
    <w:rsid w:val="00CF347F"/>
    <w:rsid w:val="00CF395E"/>
    <w:rsid w:val="00CF7E0D"/>
    <w:rsid w:val="00D00012"/>
    <w:rsid w:val="00D035B0"/>
    <w:rsid w:val="00D3211A"/>
    <w:rsid w:val="00D37168"/>
    <w:rsid w:val="00D42959"/>
    <w:rsid w:val="00D471D2"/>
    <w:rsid w:val="00D608FD"/>
    <w:rsid w:val="00D7667F"/>
    <w:rsid w:val="00DA7A50"/>
    <w:rsid w:val="00DB37E5"/>
    <w:rsid w:val="00DE0BED"/>
    <w:rsid w:val="00DE185E"/>
    <w:rsid w:val="00DF7670"/>
    <w:rsid w:val="00E1284E"/>
    <w:rsid w:val="00E26D6F"/>
    <w:rsid w:val="00E402F3"/>
    <w:rsid w:val="00E52FDA"/>
    <w:rsid w:val="00E61AF0"/>
    <w:rsid w:val="00E72942"/>
    <w:rsid w:val="00E72F52"/>
    <w:rsid w:val="00E73B61"/>
    <w:rsid w:val="00E763D6"/>
    <w:rsid w:val="00E76606"/>
    <w:rsid w:val="00E86651"/>
    <w:rsid w:val="00E912FC"/>
    <w:rsid w:val="00E97542"/>
    <w:rsid w:val="00EA4E01"/>
    <w:rsid w:val="00EB634A"/>
    <w:rsid w:val="00ED276A"/>
    <w:rsid w:val="00EF44B1"/>
    <w:rsid w:val="00F300A1"/>
    <w:rsid w:val="00F4010D"/>
    <w:rsid w:val="00F54DEB"/>
    <w:rsid w:val="00F97DC2"/>
    <w:rsid w:val="00FB449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2633901"/>
  <w15:docId w15:val="{52699A9C-05D2-40FB-8A9F-4EF4C0F2A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651"/>
    <w:rPr>
      <w:rFonts w:ascii="Times New Roman" w:eastAsia="Times New Roman" w:hAnsi="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link w:val="MediumGrid2Char"/>
    <w:qFormat/>
    <w:rsid w:val="0092546C"/>
    <w:rPr>
      <w:sz w:val="24"/>
      <w:szCs w:val="24"/>
      <w:lang w:val="en-US" w:eastAsia="ja-JP"/>
    </w:rPr>
  </w:style>
  <w:style w:type="paragraph" w:styleId="Header">
    <w:name w:val="header"/>
    <w:basedOn w:val="Normal"/>
    <w:link w:val="Head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HeaderChar">
    <w:name w:val="Header Char"/>
    <w:basedOn w:val="DefaultParagraphFont"/>
    <w:link w:val="Header"/>
    <w:uiPriority w:val="99"/>
    <w:rsid w:val="00E1284E"/>
  </w:style>
  <w:style w:type="paragraph" w:styleId="Footer">
    <w:name w:val="footer"/>
    <w:basedOn w:val="Normal"/>
    <w:link w:val="FooterChar"/>
    <w:uiPriority w:val="99"/>
    <w:unhideWhenUsed/>
    <w:rsid w:val="00E1284E"/>
    <w:pPr>
      <w:tabs>
        <w:tab w:val="center" w:pos="4320"/>
        <w:tab w:val="right" w:pos="8640"/>
      </w:tabs>
    </w:pPr>
    <w:rPr>
      <w:rFonts w:ascii="Cambria" w:eastAsia="MS Mincho" w:hAnsi="Cambria"/>
      <w:szCs w:val="24"/>
      <w:lang w:val="en-US" w:eastAsia="ja-JP"/>
    </w:rPr>
  </w:style>
  <w:style w:type="character" w:customStyle="1" w:styleId="FooterChar">
    <w:name w:val="Footer Char"/>
    <w:basedOn w:val="DefaultParagraphFont"/>
    <w:link w:val="Footer"/>
    <w:uiPriority w:val="99"/>
    <w:rsid w:val="00E1284E"/>
  </w:style>
  <w:style w:type="character" w:customStyle="1" w:styleId="MediumGrid2Char">
    <w:name w:val="Medium Grid 2 Char"/>
    <w:link w:val="MediumGrid21"/>
    <w:rsid w:val="00E1284E"/>
    <w:rPr>
      <w:sz w:val="24"/>
      <w:szCs w:val="24"/>
      <w:lang w:val="en-US" w:eastAsia="ja-JP" w:bidi="ar-SA"/>
    </w:rPr>
  </w:style>
  <w:style w:type="character" w:styleId="Hyperlink">
    <w:name w:val="Hyperlink"/>
    <w:uiPriority w:val="99"/>
    <w:unhideWhenUsed/>
    <w:rsid w:val="000C4D3C"/>
    <w:rPr>
      <w:color w:val="0000FF"/>
      <w:u w:val="single"/>
    </w:rPr>
  </w:style>
  <w:style w:type="paragraph" w:customStyle="1" w:styleId="Default">
    <w:name w:val="Default"/>
    <w:rsid w:val="00D3211A"/>
    <w:pPr>
      <w:autoSpaceDE w:val="0"/>
      <w:autoSpaceDN w:val="0"/>
      <w:adjustRightInd w:val="0"/>
    </w:pPr>
    <w:rPr>
      <w:rFonts w:ascii="Arial" w:hAnsi="Arial" w:cs="Arial"/>
      <w:color w:val="000000"/>
      <w:sz w:val="24"/>
      <w:szCs w:val="24"/>
    </w:rPr>
  </w:style>
  <w:style w:type="paragraph" w:styleId="NoSpacing">
    <w:name w:val="No Spacing"/>
    <w:uiPriority w:val="1"/>
    <w:qFormat/>
    <w:rsid w:val="00BE2870"/>
    <w:rPr>
      <w:rFonts w:ascii="Calibri" w:eastAsia="Calibri" w:hAnsi="Calibri"/>
      <w:sz w:val="22"/>
      <w:szCs w:val="22"/>
      <w:lang w:eastAsia="en-US"/>
    </w:rPr>
  </w:style>
  <w:style w:type="paragraph" w:styleId="ListParagraph">
    <w:name w:val="List Paragraph"/>
    <w:basedOn w:val="Normal"/>
    <w:uiPriority w:val="34"/>
    <w:qFormat/>
    <w:rsid w:val="00BE2870"/>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7C52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402F3"/>
    <w:rPr>
      <w:rFonts w:ascii="Tahoma" w:hAnsi="Tahoma" w:cs="Tahoma"/>
      <w:sz w:val="16"/>
      <w:szCs w:val="16"/>
    </w:rPr>
  </w:style>
  <w:style w:type="character" w:customStyle="1" w:styleId="BalloonTextChar">
    <w:name w:val="Balloon Text Char"/>
    <w:basedOn w:val="DefaultParagraphFont"/>
    <w:link w:val="BalloonText"/>
    <w:uiPriority w:val="99"/>
    <w:semiHidden/>
    <w:rsid w:val="00E402F3"/>
    <w:rPr>
      <w:rFonts w:ascii="Tahoma" w:eastAsia="Times New Roman" w:hAnsi="Tahoma" w:cs="Tahoma"/>
      <w:sz w:val="16"/>
      <w:szCs w:val="16"/>
      <w:lang w:eastAsia="en-US"/>
    </w:rPr>
  </w:style>
  <w:style w:type="character" w:styleId="PlaceholderText">
    <w:name w:val="Placeholder Text"/>
    <w:basedOn w:val="DefaultParagraphFont"/>
    <w:uiPriority w:val="99"/>
    <w:unhideWhenUsed/>
    <w:rsid w:val="00842CB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656195">
      <w:bodyDiv w:val="1"/>
      <w:marLeft w:val="0"/>
      <w:marRight w:val="0"/>
      <w:marTop w:val="0"/>
      <w:marBottom w:val="0"/>
      <w:divBdr>
        <w:top w:val="none" w:sz="0" w:space="0" w:color="auto"/>
        <w:left w:val="none" w:sz="0" w:space="0" w:color="auto"/>
        <w:bottom w:val="none" w:sz="0" w:space="0" w:color="auto"/>
        <w:right w:val="none" w:sz="0" w:space="0" w:color="auto"/>
      </w:divBdr>
    </w:div>
    <w:div w:id="69037924">
      <w:bodyDiv w:val="1"/>
      <w:marLeft w:val="0"/>
      <w:marRight w:val="0"/>
      <w:marTop w:val="0"/>
      <w:marBottom w:val="0"/>
      <w:divBdr>
        <w:top w:val="none" w:sz="0" w:space="0" w:color="auto"/>
        <w:left w:val="none" w:sz="0" w:space="0" w:color="auto"/>
        <w:bottom w:val="none" w:sz="0" w:space="0" w:color="auto"/>
        <w:right w:val="none" w:sz="0" w:space="0" w:color="auto"/>
      </w:divBdr>
    </w:div>
    <w:div w:id="169106507">
      <w:bodyDiv w:val="1"/>
      <w:marLeft w:val="0"/>
      <w:marRight w:val="0"/>
      <w:marTop w:val="0"/>
      <w:marBottom w:val="0"/>
      <w:divBdr>
        <w:top w:val="none" w:sz="0" w:space="0" w:color="auto"/>
        <w:left w:val="none" w:sz="0" w:space="0" w:color="auto"/>
        <w:bottom w:val="none" w:sz="0" w:space="0" w:color="auto"/>
        <w:right w:val="none" w:sz="0" w:space="0" w:color="auto"/>
      </w:divBdr>
    </w:div>
    <w:div w:id="348484309">
      <w:bodyDiv w:val="1"/>
      <w:marLeft w:val="0"/>
      <w:marRight w:val="0"/>
      <w:marTop w:val="0"/>
      <w:marBottom w:val="0"/>
      <w:divBdr>
        <w:top w:val="none" w:sz="0" w:space="0" w:color="auto"/>
        <w:left w:val="none" w:sz="0" w:space="0" w:color="auto"/>
        <w:bottom w:val="none" w:sz="0" w:space="0" w:color="auto"/>
        <w:right w:val="none" w:sz="0" w:space="0" w:color="auto"/>
      </w:divBdr>
    </w:div>
    <w:div w:id="563570978">
      <w:bodyDiv w:val="1"/>
      <w:marLeft w:val="0"/>
      <w:marRight w:val="0"/>
      <w:marTop w:val="0"/>
      <w:marBottom w:val="0"/>
      <w:divBdr>
        <w:top w:val="none" w:sz="0" w:space="0" w:color="auto"/>
        <w:left w:val="none" w:sz="0" w:space="0" w:color="auto"/>
        <w:bottom w:val="none" w:sz="0" w:space="0" w:color="auto"/>
        <w:right w:val="none" w:sz="0" w:space="0" w:color="auto"/>
      </w:divBdr>
    </w:div>
    <w:div w:id="728650986">
      <w:bodyDiv w:val="1"/>
      <w:marLeft w:val="0"/>
      <w:marRight w:val="0"/>
      <w:marTop w:val="0"/>
      <w:marBottom w:val="0"/>
      <w:divBdr>
        <w:top w:val="none" w:sz="0" w:space="0" w:color="auto"/>
        <w:left w:val="none" w:sz="0" w:space="0" w:color="auto"/>
        <w:bottom w:val="none" w:sz="0" w:space="0" w:color="auto"/>
        <w:right w:val="none" w:sz="0" w:space="0" w:color="auto"/>
      </w:divBdr>
    </w:div>
    <w:div w:id="1051149287">
      <w:bodyDiv w:val="1"/>
      <w:marLeft w:val="0"/>
      <w:marRight w:val="0"/>
      <w:marTop w:val="0"/>
      <w:marBottom w:val="0"/>
      <w:divBdr>
        <w:top w:val="none" w:sz="0" w:space="0" w:color="auto"/>
        <w:left w:val="none" w:sz="0" w:space="0" w:color="auto"/>
        <w:bottom w:val="none" w:sz="0" w:space="0" w:color="auto"/>
        <w:right w:val="none" w:sz="0" w:space="0" w:color="auto"/>
      </w:divBdr>
    </w:div>
    <w:div w:id="1567884022">
      <w:bodyDiv w:val="1"/>
      <w:marLeft w:val="0"/>
      <w:marRight w:val="0"/>
      <w:marTop w:val="0"/>
      <w:marBottom w:val="0"/>
      <w:divBdr>
        <w:top w:val="none" w:sz="0" w:space="0" w:color="auto"/>
        <w:left w:val="none" w:sz="0" w:space="0" w:color="auto"/>
        <w:bottom w:val="none" w:sz="0" w:space="0" w:color="auto"/>
        <w:right w:val="none" w:sz="0" w:space="0" w:color="auto"/>
      </w:divBdr>
    </w:div>
    <w:div w:id="1895461224">
      <w:bodyDiv w:val="1"/>
      <w:marLeft w:val="0"/>
      <w:marRight w:val="0"/>
      <w:marTop w:val="0"/>
      <w:marBottom w:val="0"/>
      <w:divBdr>
        <w:top w:val="none" w:sz="0" w:space="0" w:color="auto"/>
        <w:left w:val="none" w:sz="0" w:space="0" w:color="auto"/>
        <w:bottom w:val="none" w:sz="0" w:space="0" w:color="auto"/>
        <w:right w:val="none" w:sz="0" w:space="0" w:color="auto"/>
      </w:divBdr>
    </w:div>
    <w:div w:id="2039885703">
      <w:bodyDiv w:val="1"/>
      <w:marLeft w:val="0"/>
      <w:marRight w:val="0"/>
      <w:marTop w:val="0"/>
      <w:marBottom w:val="0"/>
      <w:divBdr>
        <w:top w:val="none" w:sz="0" w:space="0" w:color="auto"/>
        <w:left w:val="none" w:sz="0" w:space="0" w:color="auto"/>
        <w:bottom w:val="none" w:sz="0" w:space="0" w:color="auto"/>
        <w:right w:val="none" w:sz="0" w:space="0" w:color="auto"/>
      </w:divBdr>
    </w:div>
    <w:div w:id="2043549018">
      <w:bodyDiv w:val="1"/>
      <w:marLeft w:val="0"/>
      <w:marRight w:val="0"/>
      <w:marTop w:val="0"/>
      <w:marBottom w:val="0"/>
      <w:divBdr>
        <w:top w:val="none" w:sz="0" w:space="0" w:color="auto"/>
        <w:left w:val="none" w:sz="0" w:space="0" w:color="auto"/>
        <w:bottom w:val="none" w:sz="0" w:space="0" w:color="auto"/>
        <w:right w:val="none" w:sz="0" w:space="0" w:color="auto"/>
      </w:divBdr>
    </w:div>
    <w:div w:id="213597662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nhs-constitution-for-england"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146071C1414426F925DEB63060F4E98"/>
        <w:category>
          <w:name w:val="General"/>
          <w:gallery w:val="placeholder"/>
        </w:category>
        <w:types>
          <w:type w:val="bbPlcHdr"/>
        </w:types>
        <w:behaviors>
          <w:behavior w:val="content"/>
        </w:behaviors>
        <w:guid w:val="{236ABD40-5FA7-445A-B776-B955F209EE84}"/>
      </w:docPartPr>
      <w:docPartBody>
        <w:p w:rsidR="00D64D66" w:rsidRDefault="005F57D8" w:rsidP="005F57D8">
          <w:pPr>
            <w:pStyle w:val="0146071C1414426F925DEB63060F4E982"/>
          </w:pPr>
          <w:r w:rsidRPr="005E21EC">
            <w:rPr>
              <w:rStyle w:val="PlaceholderText"/>
            </w:rPr>
            <w:t>Choose an item.</w:t>
          </w:r>
        </w:p>
      </w:docPartBody>
    </w:docPart>
    <w:docPart>
      <w:docPartPr>
        <w:name w:val="C4AB961EECCF4A3AA4054559838E24CC"/>
        <w:category>
          <w:name w:val="General"/>
          <w:gallery w:val="placeholder"/>
        </w:category>
        <w:types>
          <w:type w:val="bbPlcHdr"/>
        </w:types>
        <w:behaviors>
          <w:behavior w:val="content"/>
        </w:behaviors>
        <w:guid w:val="{4C31FBCE-A5AB-4C35-8E2C-AAA1338FA4EC}"/>
      </w:docPartPr>
      <w:docPartBody>
        <w:p w:rsidR="00D64D66" w:rsidRDefault="005F57D8" w:rsidP="005F57D8">
          <w:pPr>
            <w:pStyle w:val="C4AB961EECCF4A3AA4054559838E24CC"/>
          </w:pPr>
          <w:r w:rsidRPr="005E21E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57D8"/>
    <w:rsid w:val="004A779D"/>
    <w:rsid w:val="005F57D8"/>
    <w:rsid w:val="00BD5FF1"/>
    <w:rsid w:val="00D64D66"/>
    <w:rsid w:val="00E141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5F57D8"/>
    <w:rPr>
      <w:color w:val="808080"/>
    </w:rPr>
  </w:style>
  <w:style w:type="paragraph" w:customStyle="1" w:styleId="0146071C1414426F925DEB63060F4E98">
    <w:name w:val="0146071C1414426F925DEB63060F4E98"/>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1">
    <w:name w:val="0146071C1414426F925DEB63060F4E98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
    <w:name w:val="5E948EC5DC984D49BFFBB0750303DE04"/>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0146071C1414426F925DEB63060F4E982">
    <w:name w:val="0146071C1414426F925DEB63060F4E982"/>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5E948EC5DC984D49BFFBB0750303DE041">
    <w:name w:val="5E948EC5DC984D49BFFBB0750303DE041"/>
    <w:rsid w:val="005F57D8"/>
    <w:pPr>
      <w:autoSpaceDE w:val="0"/>
      <w:autoSpaceDN w:val="0"/>
      <w:adjustRightInd w:val="0"/>
      <w:spacing w:after="0" w:line="240" w:lineRule="auto"/>
    </w:pPr>
    <w:rPr>
      <w:rFonts w:ascii="Arial" w:eastAsia="MS Mincho" w:hAnsi="Arial" w:cs="Arial"/>
      <w:color w:val="000000"/>
      <w:sz w:val="24"/>
      <w:szCs w:val="24"/>
    </w:rPr>
  </w:style>
  <w:style w:type="paragraph" w:customStyle="1" w:styleId="C4AB961EECCF4A3AA4054559838E24CC">
    <w:name w:val="C4AB961EECCF4A3AA4054559838E24CC"/>
    <w:rsid w:val="005F57D8"/>
    <w:pPr>
      <w:autoSpaceDE w:val="0"/>
      <w:autoSpaceDN w:val="0"/>
      <w:adjustRightInd w:val="0"/>
      <w:spacing w:after="0" w:line="240" w:lineRule="auto"/>
    </w:pPr>
    <w:rPr>
      <w:rFonts w:ascii="Arial" w:eastAsia="MS Mincho" w:hAnsi="Arial" w:cs="Arial"/>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248A2C-3129-465C-BA88-7620EE0F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1525</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NHS ERY</Company>
  <LinksUpToDate>false</LinksUpToDate>
  <CharactersWithSpaces>10198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Jablonski</dc:creator>
  <cp:lastModifiedBy>Helen Askham (CCG)</cp:lastModifiedBy>
  <cp:revision>3</cp:revision>
  <cp:lastPrinted>2015-02-05T14:14:00Z</cp:lastPrinted>
  <dcterms:created xsi:type="dcterms:W3CDTF">2019-03-22T16:10:00Z</dcterms:created>
  <dcterms:modified xsi:type="dcterms:W3CDTF">2019-03-27T11:17:00Z</dcterms:modified>
</cp:coreProperties>
</file>