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4B76DB60"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F67042">
        <w:rPr>
          <w:rFonts w:ascii="Arial" w:hAnsi="Arial" w:cs="Arial"/>
          <w:b/>
          <w:bCs/>
        </w:rPr>
        <w:t xml:space="preserve"> 04</w:t>
      </w:r>
    </w:p>
    <w:p w14:paraId="22258ED1" w14:textId="15E4ADD6" w:rsidR="007A35A7" w:rsidRDefault="007A35A7" w:rsidP="007A35A7">
      <w:pPr>
        <w:rPr>
          <w:rFonts w:ascii="Arial" w:hAnsi="Arial" w:cs="Arial"/>
        </w:rPr>
      </w:pPr>
    </w:p>
    <w:p w14:paraId="00EDB048" w14:textId="2FE6CFC9"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584AEC">
            <w:rPr>
              <w:rFonts w:ascii="Arial" w:hAnsi="Arial" w:cs="Arial"/>
            </w:rPr>
            <w:t>Governing Body</w:t>
          </w:r>
        </w:sdtContent>
      </w:sdt>
    </w:p>
    <w:p w14:paraId="16DEF567" w14:textId="0E1A8358"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date w:fullDate="2021-10-28T00:00:00Z">
            <w:dateFormat w:val="dd/MM/yyyy"/>
            <w:lid w:val="en-GB"/>
            <w:storeMappedDataAs w:val="dateTime"/>
            <w:calendar w:val="gregorian"/>
          </w:date>
        </w:sdtPr>
        <w:sdtEndPr/>
        <w:sdtContent>
          <w:r w:rsidR="00612F4B">
            <w:rPr>
              <w:rFonts w:ascii="Arial" w:hAnsi="Arial" w:cs="Arial"/>
              <w:b/>
              <w:bCs/>
              <w:lang w:val="en-GB"/>
            </w:rPr>
            <w:t>28/10/2021</w:t>
          </w:r>
        </w:sdtContent>
      </w:sdt>
    </w:p>
    <w:p w14:paraId="5693DC73" w14:textId="2E129556"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date w:fullDate="2021-10-21T00:00:00Z">
            <w:dateFormat w:val="dd/MM/yyyy"/>
            <w:lid w:val="en-GB"/>
            <w:storeMappedDataAs w:val="dateTime"/>
            <w:calendar w:val="gregorian"/>
          </w:date>
        </w:sdtPr>
        <w:sdtEndPr/>
        <w:sdtContent>
          <w:r w:rsidR="00612F4B">
            <w:rPr>
              <w:rFonts w:ascii="Arial" w:hAnsi="Arial" w:cs="Arial"/>
              <w:b/>
              <w:bCs/>
              <w:lang w:val="en-GB"/>
            </w:rPr>
            <w:t>21/10/2021</w:t>
          </w:r>
        </w:sdtContent>
      </w:sdt>
    </w:p>
    <w:p w14:paraId="559C3671" w14:textId="3677BA50"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612F4B">
            <w:rPr>
              <w:rFonts w:ascii="Arial" w:hAnsi="Arial" w:cs="Arial"/>
              <w:b/>
              <w:bCs/>
            </w:rPr>
            <w:t>Winter Plan</w:t>
          </w:r>
          <w:r w:rsidR="00584AEC" w:rsidRPr="00371247">
            <w:rPr>
              <w:rFonts w:ascii="Arial" w:hAnsi="Arial" w:cs="Arial"/>
              <w:b/>
              <w:bCs/>
            </w:rPr>
            <w:t xml:space="preserve"> 2021/22</w:t>
          </w:r>
        </w:sdtContent>
      </w:sdt>
    </w:p>
    <w:p w14:paraId="69070772" w14:textId="7077679A"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text/>
        </w:sdtPr>
        <w:sdtEndPr/>
        <w:sdtContent>
          <w:r w:rsidR="00584AEC">
            <w:rPr>
              <w:rFonts w:ascii="Arial" w:hAnsi="Arial" w:cs="Arial"/>
              <w:b/>
              <w:bCs/>
            </w:rPr>
            <w:t>Helen Kenyon</w:t>
          </w:r>
        </w:sdtContent>
      </w:sdt>
    </w:p>
    <w:p w14:paraId="50602481" w14:textId="3CE1C6CE"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584AEC">
            <w:rPr>
              <w:rFonts w:ascii="Arial" w:hAnsi="Arial" w:cs="Arial"/>
              <w:b/>
              <w:bCs/>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F3B8EA0"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612F4B">
                                  <w:rPr>
                                    <w:rFonts w:ascii="MS Gothic" w:eastAsia="MS Gothic" w:hAnsi="MS Gothic" w:cstheme="minorHAnsi" w:hint="eastAsia"/>
                                  </w:rPr>
                                  <w:t>☐</w:t>
                                </w:r>
                              </w:sdtContent>
                            </w:sdt>
                          </w:p>
                          <w:p w14:paraId="35125D31" w14:textId="0EDC45C7"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331291">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911C1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612F4B">
                                  <w:rPr>
                                    <w:rFonts w:ascii="MS Gothic" w:eastAsia="MS Gothic" w:hAnsi="MS Gothic" w:cstheme="minorHAnsi" w:hint="eastAsia"/>
                                  </w:rPr>
                                  <w:t>☒</w:t>
                                </w:r>
                              </w:sdtContent>
                            </w:sdt>
                          </w:p>
                          <w:p w14:paraId="0E98AE76" w14:textId="4A6D4DA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584AE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xmlns="">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1F3B8EA0"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612F4B">
                            <w:rPr>
                              <w:rFonts w:ascii="MS Gothic" w:eastAsia="MS Gothic" w:hAnsi="MS Gothic" w:cstheme="minorHAnsi" w:hint="eastAsia"/>
                            </w:rPr>
                            <w:t>☐</w:t>
                          </w:r>
                        </w:sdtContent>
                      </w:sdt>
                    </w:p>
                    <w:p w14:paraId="35125D31" w14:textId="0EDC45C7"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331291">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911C1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612F4B">
                            <w:rPr>
                              <w:rFonts w:ascii="MS Gothic" w:eastAsia="MS Gothic" w:hAnsi="MS Gothic" w:cstheme="minorHAnsi" w:hint="eastAsia"/>
                            </w:rPr>
                            <w:t>☒</w:t>
                          </w:r>
                        </w:sdtContent>
                      </w:sdt>
                    </w:p>
                    <w:p w14:paraId="0E98AE76" w14:textId="4A6D4DA2"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584AEC">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07812D39" w14:textId="60B70F41" w:rsidR="00584AEC" w:rsidRPr="006541CC" w:rsidRDefault="00584AEC" w:rsidP="00584AEC">
            <w:pPr>
              <w:pStyle w:val="Default"/>
              <w:jc w:val="both"/>
              <w:rPr>
                <w:sz w:val="20"/>
                <w:szCs w:val="20"/>
              </w:rPr>
            </w:pPr>
            <w:r>
              <w:rPr>
                <w:rFonts w:asciiTheme="minorHAnsi" w:hAnsiTheme="minorHAnsi" w:cstheme="minorHAnsi"/>
                <w:sz w:val="20"/>
                <w:szCs w:val="20"/>
              </w:rPr>
              <w:t>To inform the Governing Body</w:t>
            </w:r>
            <w:r w:rsidRPr="00160F2E">
              <w:rPr>
                <w:rFonts w:asciiTheme="minorHAnsi" w:hAnsiTheme="minorHAnsi" w:cstheme="minorHAnsi"/>
                <w:sz w:val="20"/>
                <w:szCs w:val="20"/>
              </w:rPr>
              <w:t xml:space="preserve"> of the CCG’s </w:t>
            </w:r>
            <w:r w:rsidR="00612F4B">
              <w:rPr>
                <w:rFonts w:asciiTheme="minorHAnsi" w:hAnsiTheme="minorHAnsi" w:cstheme="minorHAnsi"/>
                <w:sz w:val="20"/>
                <w:szCs w:val="20"/>
              </w:rPr>
              <w:t>Winter Plan</w:t>
            </w:r>
            <w:r>
              <w:rPr>
                <w:rFonts w:asciiTheme="minorHAnsi" w:hAnsiTheme="minorHAnsi" w:cstheme="minorHAnsi"/>
                <w:sz w:val="20"/>
                <w:szCs w:val="20"/>
              </w:rPr>
              <w:t xml:space="preserve">; to update the Governing Body on the work done and planned for as part of </w:t>
            </w:r>
            <w:r w:rsidR="00612F4B">
              <w:rPr>
                <w:rFonts w:asciiTheme="minorHAnsi" w:hAnsiTheme="minorHAnsi" w:cstheme="minorHAnsi"/>
                <w:sz w:val="20"/>
                <w:szCs w:val="20"/>
              </w:rPr>
              <w:t>winter</w:t>
            </w:r>
            <w:r>
              <w:rPr>
                <w:rFonts w:asciiTheme="minorHAnsi" w:hAnsiTheme="minorHAnsi" w:cstheme="minorHAnsi"/>
                <w:sz w:val="20"/>
                <w:szCs w:val="20"/>
              </w:rPr>
              <w:t xml:space="preserve"> planning</w:t>
            </w:r>
            <w:r w:rsidR="00612F4B">
              <w:rPr>
                <w:rFonts w:asciiTheme="minorHAnsi" w:hAnsiTheme="minorHAnsi" w:cstheme="minorHAnsi"/>
                <w:sz w:val="20"/>
                <w:szCs w:val="20"/>
              </w:rPr>
              <w:t xml:space="preserve"> and the approach to monitoring and escalation of winter pressures and escalations.</w:t>
            </w:r>
          </w:p>
          <w:p w14:paraId="31933D74" w14:textId="31B16E80" w:rsidR="003F1101" w:rsidRPr="003F1101" w:rsidRDefault="003F1101" w:rsidP="003F1101">
            <w:pPr>
              <w:pStyle w:val="Default"/>
              <w:jc w:val="both"/>
              <w:rPr>
                <w:b/>
                <w:bCs/>
                <w:sz w:val="22"/>
                <w:szCs w:val="22"/>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EA8A7B3" w14:textId="31725BD9" w:rsidR="00584AEC" w:rsidRPr="00160F2E" w:rsidRDefault="00584AEC" w:rsidP="00584AEC">
            <w:pPr>
              <w:pStyle w:val="Default"/>
              <w:jc w:val="both"/>
              <w:rPr>
                <w:rFonts w:asciiTheme="minorHAnsi" w:hAnsiTheme="minorHAnsi" w:cstheme="minorHAnsi"/>
                <w:sz w:val="20"/>
                <w:szCs w:val="20"/>
              </w:rPr>
            </w:pPr>
            <w:r>
              <w:rPr>
                <w:rFonts w:asciiTheme="minorHAnsi" w:hAnsiTheme="minorHAnsi" w:cstheme="minorHAnsi"/>
                <w:sz w:val="20"/>
              </w:rPr>
              <w:t>The Governing Body</w:t>
            </w:r>
            <w:r w:rsidRPr="00160F2E">
              <w:rPr>
                <w:rFonts w:asciiTheme="minorHAnsi" w:hAnsiTheme="minorHAnsi" w:cstheme="minorHAnsi"/>
                <w:sz w:val="20"/>
              </w:rPr>
              <w:t xml:space="preserve"> is asked to note and accept the contents of this report.</w:t>
            </w:r>
          </w:p>
          <w:p w14:paraId="5736637B" w14:textId="77777777" w:rsidR="00584AEC" w:rsidRPr="00160F2E" w:rsidRDefault="00584AEC" w:rsidP="00584AEC">
            <w:pPr>
              <w:pStyle w:val="Default"/>
              <w:jc w:val="both"/>
              <w:rPr>
                <w:rFonts w:asciiTheme="minorHAnsi" w:hAnsiTheme="minorHAnsi" w:cstheme="minorHAnsi"/>
                <w:sz w:val="20"/>
                <w:szCs w:val="20"/>
              </w:rPr>
            </w:pPr>
          </w:p>
          <w:p w14:paraId="66B92889" w14:textId="1070BB13" w:rsidR="003F1101" w:rsidRPr="003F1101" w:rsidRDefault="003F1101" w:rsidP="0008018D">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7753DC8B" w:rsidR="003F1101" w:rsidRPr="003F1101" w:rsidRDefault="00584AEC" w:rsidP="003F1101">
            <w:pPr>
              <w:pStyle w:val="Default"/>
              <w:jc w:val="both"/>
              <w:rPr>
                <w:bCs/>
                <w:color w:val="auto"/>
                <w:sz w:val="22"/>
                <w:szCs w:val="22"/>
              </w:rPr>
            </w:pPr>
            <w:r>
              <w:rPr>
                <w:bCs/>
                <w:color w:val="auto"/>
                <w:sz w:val="22"/>
                <w:szCs w:val="22"/>
              </w:rPr>
              <w:t xml:space="preserve">None required.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3544049" w:rsidR="003F1101" w:rsidRPr="003F1101" w:rsidRDefault="00584AEC" w:rsidP="003F1101">
            <w:pPr>
              <w:pStyle w:val="Default"/>
              <w:jc w:val="both"/>
              <w:rPr>
                <w:bCs/>
                <w:color w:val="auto"/>
                <w:sz w:val="22"/>
                <w:szCs w:val="22"/>
              </w:rPr>
            </w:pPr>
            <w:r>
              <w:rPr>
                <w:bCs/>
                <w:color w:val="auto"/>
                <w:sz w:val="22"/>
                <w:szCs w:val="22"/>
              </w:rPr>
              <w:t xml:space="preserve">None required. </w:t>
            </w:r>
            <w:r w:rsidR="003F1101" w:rsidRPr="003F1101">
              <w:rPr>
                <w:bCs/>
                <w:color w:val="auto"/>
                <w:sz w:val="22"/>
                <w:szCs w:val="22"/>
              </w:rPr>
              <w:t>(</w:t>
            </w:r>
            <w:r w:rsidR="003F1101"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1"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003F1101" w:rsidRPr="003F1101">
              <w:rPr>
                <w:bCs/>
                <w:color w:val="auto"/>
                <w:sz w:val="22"/>
                <w:szCs w:val="22"/>
              </w:rPr>
              <w:t>)</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2085C7FA" w:rsidR="003F1101" w:rsidRPr="003F1101" w:rsidRDefault="00584AEC" w:rsidP="003F1101">
            <w:pPr>
              <w:pStyle w:val="Default"/>
              <w:jc w:val="both"/>
              <w:rPr>
                <w:b/>
                <w:bCs/>
                <w:sz w:val="22"/>
                <w:szCs w:val="22"/>
              </w:rPr>
            </w:pPr>
            <w:r>
              <w:rPr>
                <w:b/>
                <w:bCs/>
                <w:sz w:val="22"/>
                <w:szCs w:val="22"/>
              </w:rPr>
              <w:t xml:space="preserve">Documents reviewed and approved by Helen Kenyon as </w:t>
            </w:r>
            <w:r w:rsidR="00612F4B">
              <w:rPr>
                <w:b/>
                <w:bCs/>
                <w:sz w:val="22"/>
                <w:szCs w:val="22"/>
              </w:rPr>
              <w:t>Senior Responsible</w:t>
            </w:r>
            <w:r>
              <w:rPr>
                <w:b/>
                <w:bCs/>
                <w:sz w:val="22"/>
                <w:szCs w:val="22"/>
              </w:rPr>
              <w:t xml:space="preserve"> Officer, sent for approval and ratification at </w:t>
            </w:r>
            <w:r w:rsidR="00612F4B">
              <w:rPr>
                <w:b/>
                <w:bCs/>
                <w:sz w:val="22"/>
                <w:szCs w:val="22"/>
              </w:rPr>
              <w:t xml:space="preserve">AEDB and </w:t>
            </w:r>
            <w:r>
              <w:rPr>
                <w:b/>
                <w:bCs/>
                <w:sz w:val="22"/>
                <w:szCs w:val="22"/>
              </w:rPr>
              <w:t xml:space="preserve">Governing Body. </w:t>
            </w:r>
            <w:r w:rsidR="003F1101"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75051658" w:rsidR="001712C0" w:rsidRDefault="00584AEC"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453C7641" w:rsidR="00DE79E3" w:rsidRPr="001712C0" w:rsidRDefault="00584AEC"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60DF57BB" w:rsidR="001712C0" w:rsidRDefault="00584AEC"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66FE60BA" w:rsidR="00DE79E3" w:rsidRPr="001712C0" w:rsidRDefault="00584AEC"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15F118E" w:rsidR="00DB7724" w:rsidRDefault="00DB7724" w:rsidP="007A35A7">
      <w:pPr>
        <w:rPr>
          <w:rFonts w:ascii="Arial" w:hAnsi="Arial" w:cs="Arial"/>
        </w:rPr>
      </w:pPr>
    </w:p>
    <w:p w14:paraId="07313D0C" w14:textId="0362ED36" w:rsidR="004D4171" w:rsidRDefault="004D4171" w:rsidP="007A35A7">
      <w:pPr>
        <w:rPr>
          <w:rFonts w:ascii="Arial" w:hAnsi="Arial" w:cs="Arial"/>
        </w:rPr>
      </w:pPr>
      <w:r>
        <w:rPr>
          <w:rFonts w:ascii="Arial" w:hAnsi="Arial" w:cs="Arial"/>
        </w:rPr>
        <w:t>The AEDB and System Improvement Group have developed a winter plan and System Improvement Plan in partnership with provider partners.</w:t>
      </w:r>
    </w:p>
    <w:p w14:paraId="0532E2AC" w14:textId="0C2EA0DA" w:rsidR="004D4171" w:rsidRDefault="004D4171" w:rsidP="007A35A7">
      <w:pPr>
        <w:rPr>
          <w:rFonts w:ascii="Arial" w:hAnsi="Arial" w:cs="Arial"/>
        </w:rPr>
      </w:pPr>
    </w:p>
    <w:p w14:paraId="73DD7FCB" w14:textId="6F572EDC" w:rsidR="004D4171" w:rsidRDefault="004D4171" w:rsidP="007A35A7">
      <w:pPr>
        <w:rPr>
          <w:rFonts w:ascii="Arial" w:hAnsi="Arial" w:cs="Arial"/>
        </w:rPr>
      </w:pPr>
      <w:r>
        <w:rPr>
          <w:rFonts w:ascii="Arial" w:hAnsi="Arial" w:cs="Arial"/>
        </w:rPr>
        <w:t>The winter plan and System Improvement Plan are attached and a brief outline of the approach to winter planning and management/ escalation of pressures is attached in the outline paper.</w:t>
      </w:r>
    </w:p>
    <w:p w14:paraId="7EAD93BF" w14:textId="77777777" w:rsidR="004D4171" w:rsidRDefault="004D4171" w:rsidP="007A35A7">
      <w:pPr>
        <w:rPr>
          <w:rFonts w:ascii="Arial" w:hAnsi="Arial" w:cs="Arial"/>
        </w:rPr>
      </w:pPr>
    </w:p>
    <w:p w14:paraId="5750A96E" w14:textId="312A339C" w:rsidR="00584AEC" w:rsidRDefault="00584AEC" w:rsidP="007A35A7">
      <w:pPr>
        <w:rPr>
          <w:rFonts w:ascii="Arial" w:hAnsi="Arial" w:cs="Arial"/>
        </w:rPr>
      </w:pPr>
      <w:r>
        <w:rPr>
          <w:rFonts w:ascii="Arial" w:hAnsi="Arial" w:cs="Arial"/>
        </w:rPr>
        <w:t>Please see:</w:t>
      </w:r>
    </w:p>
    <w:p w14:paraId="3B0AAD81" w14:textId="23AF12CB" w:rsidR="00584AEC" w:rsidRDefault="00584AEC" w:rsidP="007A35A7">
      <w:pPr>
        <w:rPr>
          <w:rFonts w:ascii="Arial" w:hAnsi="Arial" w:cs="Arial"/>
        </w:rPr>
      </w:pPr>
    </w:p>
    <w:p w14:paraId="0E70C2ED" w14:textId="72531FEF" w:rsidR="00584AEC" w:rsidRDefault="00584AEC" w:rsidP="007A35A7">
      <w:pPr>
        <w:rPr>
          <w:rFonts w:ascii="Arial" w:hAnsi="Arial" w:cs="Arial"/>
        </w:rPr>
      </w:pPr>
      <w:r>
        <w:rPr>
          <w:rFonts w:ascii="Arial" w:hAnsi="Arial" w:cs="Arial"/>
        </w:rPr>
        <w:t>1. Supporting paper below under this cover sheet – page 3 onwards</w:t>
      </w:r>
    </w:p>
    <w:p w14:paraId="68D66D42" w14:textId="2DA6275E" w:rsidR="00584AEC" w:rsidRDefault="00584AEC" w:rsidP="00612F4B">
      <w:pPr>
        <w:rPr>
          <w:rFonts w:ascii="Arial" w:hAnsi="Arial" w:cs="Arial"/>
        </w:rPr>
      </w:pPr>
      <w:r>
        <w:rPr>
          <w:rFonts w:ascii="Arial" w:hAnsi="Arial" w:cs="Arial"/>
        </w:rPr>
        <w:t xml:space="preserve">2. </w:t>
      </w:r>
      <w:r w:rsidR="0039041D">
        <w:rPr>
          <w:rFonts w:ascii="Arial" w:hAnsi="Arial" w:cs="Arial"/>
        </w:rPr>
        <w:t>Winter Plan 2021/22</w:t>
      </w:r>
    </w:p>
    <w:p w14:paraId="5A4105C8" w14:textId="712C2E7B" w:rsidR="0039041D" w:rsidRDefault="0039041D" w:rsidP="00612F4B">
      <w:pPr>
        <w:rPr>
          <w:rFonts w:ascii="Arial" w:hAnsi="Arial" w:cs="Arial"/>
        </w:rPr>
      </w:pPr>
      <w:r>
        <w:rPr>
          <w:rFonts w:ascii="Arial" w:hAnsi="Arial" w:cs="Arial"/>
        </w:rPr>
        <w:t>3. System Improvement Plan</w:t>
      </w:r>
    </w:p>
    <w:p w14:paraId="5DB963D0" w14:textId="2C371893" w:rsidR="00584AEC" w:rsidRDefault="00584AEC" w:rsidP="007A35A7">
      <w:pPr>
        <w:rPr>
          <w:rFonts w:ascii="Arial" w:hAnsi="Arial" w:cs="Arial"/>
        </w:rPr>
      </w:pPr>
    </w:p>
    <w:p w14:paraId="58B69C76" w14:textId="709D4BA2" w:rsidR="00584AEC" w:rsidRDefault="00584AEC" w:rsidP="007A35A7">
      <w:pPr>
        <w:rPr>
          <w:rFonts w:ascii="Arial" w:hAnsi="Arial" w:cs="Arial"/>
        </w:rPr>
      </w:pPr>
    </w:p>
    <w:p w14:paraId="5D6B6DDA" w14:textId="7D622287" w:rsidR="00584AEC" w:rsidRDefault="00584AEC" w:rsidP="007A35A7">
      <w:pPr>
        <w:rPr>
          <w:rFonts w:ascii="Arial" w:hAnsi="Arial" w:cs="Arial"/>
        </w:rPr>
      </w:pPr>
    </w:p>
    <w:p w14:paraId="38D3892F" w14:textId="26429888" w:rsidR="00584AEC" w:rsidRDefault="00584AEC" w:rsidP="007A35A7">
      <w:pPr>
        <w:rPr>
          <w:rFonts w:ascii="Arial" w:hAnsi="Arial" w:cs="Arial"/>
        </w:rPr>
      </w:pPr>
    </w:p>
    <w:p w14:paraId="63E265AE" w14:textId="7F63C0F7" w:rsidR="00584AEC" w:rsidRDefault="00584AEC" w:rsidP="007A35A7">
      <w:pPr>
        <w:rPr>
          <w:rFonts w:ascii="Arial" w:hAnsi="Arial" w:cs="Arial"/>
        </w:rPr>
      </w:pPr>
    </w:p>
    <w:p w14:paraId="30EEAE21" w14:textId="4F9AFF21" w:rsidR="00584AEC" w:rsidRDefault="00584AEC" w:rsidP="007A35A7">
      <w:pPr>
        <w:rPr>
          <w:rFonts w:ascii="Arial" w:hAnsi="Arial" w:cs="Arial"/>
        </w:rPr>
      </w:pPr>
    </w:p>
    <w:p w14:paraId="083A7859" w14:textId="46279C43" w:rsidR="00584AEC" w:rsidRDefault="00584AEC" w:rsidP="007A35A7">
      <w:pPr>
        <w:rPr>
          <w:rFonts w:ascii="Arial" w:hAnsi="Arial" w:cs="Arial"/>
        </w:rPr>
      </w:pPr>
    </w:p>
    <w:p w14:paraId="78A29D70" w14:textId="117ECF7F" w:rsidR="00584AEC" w:rsidRDefault="00584AEC" w:rsidP="007A35A7">
      <w:pPr>
        <w:rPr>
          <w:rFonts w:ascii="Arial" w:hAnsi="Arial" w:cs="Arial"/>
        </w:rPr>
      </w:pPr>
    </w:p>
    <w:p w14:paraId="48EAEDB7" w14:textId="77AE5041" w:rsidR="00584AEC" w:rsidRDefault="00584AEC" w:rsidP="007A35A7">
      <w:pPr>
        <w:rPr>
          <w:rFonts w:ascii="Arial" w:hAnsi="Arial" w:cs="Arial"/>
        </w:rPr>
      </w:pPr>
    </w:p>
    <w:p w14:paraId="7549D874" w14:textId="2D01CA4F" w:rsidR="00584AEC" w:rsidRDefault="00584AEC" w:rsidP="007A35A7">
      <w:pPr>
        <w:rPr>
          <w:rFonts w:ascii="Arial" w:hAnsi="Arial" w:cs="Arial"/>
        </w:rPr>
      </w:pPr>
    </w:p>
    <w:p w14:paraId="38BB0F64" w14:textId="7B4A4F3C" w:rsidR="00584AEC" w:rsidRDefault="00584AEC" w:rsidP="007A35A7">
      <w:pPr>
        <w:rPr>
          <w:rFonts w:ascii="Arial" w:hAnsi="Arial" w:cs="Arial"/>
        </w:rPr>
      </w:pPr>
    </w:p>
    <w:p w14:paraId="6CCE9DD1" w14:textId="4D893FDB" w:rsidR="00584AEC" w:rsidRDefault="00584AEC" w:rsidP="007A35A7">
      <w:pPr>
        <w:rPr>
          <w:rFonts w:ascii="Arial" w:hAnsi="Arial" w:cs="Arial"/>
        </w:rPr>
      </w:pPr>
    </w:p>
    <w:p w14:paraId="256381D0" w14:textId="7577C673" w:rsidR="00584AEC" w:rsidRDefault="00584AEC" w:rsidP="007A35A7">
      <w:pPr>
        <w:rPr>
          <w:rFonts w:ascii="Arial" w:hAnsi="Arial" w:cs="Arial"/>
        </w:rPr>
      </w:pPr>
    </w:p>
    <w:p w14:paraId="0F052B55" w14:textId="545C119A" w:rsidR="00584AEC" w:rsidRDefault="00584AEC" w:rsidP="007A35A7">
      <w:pPr>
        <w:rPr>
          <w:rFonts w:ascii="Arial" w:hAnsi="Arial" w:cs="Arial"/>
        </w:rPr>
      </w:pPr>
    </w:p>
    <w:p w14:paraId="6B1C23D9" w14:textId="3198330B" w:rsidR="00584AEC" w:rsidRDefault="00584AEC" w:rsidP="007A35A7">
      <w:pPr>
        <w:rPr>
          <w:rFonts w:ascii="Arial" w:hAnsi="Arial" w:cs="Arial"/>
        </w:rPr>
      </w:pPr>
    </w:p>
    <w:p w14:paraId="36EB0689" w14:textId="716691EE" w:rsidR="00584AEC" w:rsidRDefault="00584AEC" w:rsidP="007A35A7">
      <w:pPr>
        <w:rPr>
          <w:rFonts w:ascii="Arial" w:hAnsi="Arial" w:cs="Arial"/>
        </w:rPr>
      </w:pPr>
    </w:p>
    <w:p w14:paraId="06F94157" w14:textId="234C4D0C" w:rsidR="00584AEC" w:rsidRDefault="00584AEC" w:rsidP="007A35A7">
      <w:pPr>
        <w:rPr>
          <w:rFonts w:ascii="Arial" w:hAnsi="Arial" w:cs="Arial"/>
        </w:rPr>
      </w:pPr>
    </w:p>
    <w:p w14:paraId="41347FCE" w14:textId="1617CF64" w:rsidR="00584AEC" w:rsidRDefault="00584AEC" w:rsidP="007A35A7">
      <w:pPr>
        <w:rPr>
          <w:rFonts w:ascii="Arial" w:hAnsi="Arial" w:cs="Arial"/>
        </w:rPr>
      </w:pPr>
    </w:p>
    <w:p w14:paraId="2A7BE2BB" w14:textId="6DB5EAA2" w:rsidR="00584AEC" w:rsidRDefault="00584AEC" w:rsidP="007A35A7">
      <w:pPr>
        <w:rPr>
          <w:rFonts w:ascii="Arial" w:hAnsi="Arial" w:cs="Arial"/>
        </w:rPr>
      </w:pPr>
    </w:p>
    <w:p w14:paraId="76F74CB9" w14:textId="0847496D" w:rsidR="00584AEC" w:rsidRDefault="00584AEC" w:rsidP="007A35A7">
      <w:pPr>
        <w:rPr>
          <w:rFonts w:ascii="Arial" w:hAnsi="Arial" w:cs="Arial"/>
        </w:rPr>
      </w:pPr>
    </w:p>
    <w:p w14:paraId="31D88396" w14:textId="5A3CD2AE" w:rsidR="00584AEC" w:rsidRDefault="00584AEC" w:rsidP="007A35A7">
      <w:pPr>
        <w:rPr>
          <w:rFonts w:ascii="Arial" w:hAnsi="Arial" w:cs="Arial"/>
        </w:rPr>
      </w:pPr>
    </w:p>
    <w:p w14:paraId="6A6B3819" w14:textId="2E53FD96" w:rsidR="00584AEC" w:rsidRDefault="00584AEC" w:rsidP="007A35A7">
      <w:pPr>
        <w:rPr>
          <w:rFonts w:ascii="Arial" w:hAnsi="Arial" w:cs="Arial"/>
        </w:rPr>
      </w:pPr>
    </w:p>
    <w:p w14:paraId="6734298C" w14:textId="572AD9B1" w:rsidR="00584AEC" w:rsidRDefault="00584AEC" w:rsidP="007A35A7">
      <w:pPr>
        <w:rPr>
          <w:rFonts w:ascii="Arial" w:hAnsi="Arial" w:cs="Arial"/>
        </w:rPr>
      </w:pPr>
    </w:p>
    <w:p w14:paraId="21EE427B" w14:textId="4C7920BB" w:rsidR="00584AEC" w:rsidRDefault="00584AEC" w:rsidP="007A35A7">
      <w:pPr>
        <w:rPr>
          <w:rFonts w:ascii="Arial" w:hAnsi="Arial" w:cs="Arial"/>
        </w:rPr>
      </w:pPr>
    </w:p>
    <w:p w14:paraId="5DE97AAD" w14:textId="61142965" w:rsidR="00584AEC" w:rsidRDefault="00584AEC" w:rsidP="007A35A7">
      <w:pPr>
        <w:rPr>
          <w:rFonts w:ascii="Arial" w:hAnsi="Arial" w:cs="Arial"/>
        </w:rPr>
      </w:pPr>
    </w:p>
    <w:p w14:paraId="5D84ECC5" w14:textId="4F7C1CAE" w:rsidR="00584AEC" w:rsidRDefault="00584AEC" w:rsidP="007A35A7">
      <w:pPr>
        <w:rPr>
          <w:rFonts w:ascii="Arial" w:hAnsi="Arial" w:cs="Arial"/>
        </w:rPr>
      </w:pPr>
    </w:p>
    <w:p w14:paraId="67651441" w14:textId="2BC6E1AC" w:rsidR="00584AEC" w:rsidRDefault="00584AEC" w:rsidP="007A35A7">
      <w:pPr>
        <w:rPr>
          <w:rFonts w:ascii="Arial" w:hAnsi="Arial" w:cs="Arial"/>
        </w:rPr>
      </w:pPr>
    </w:p>
    <w:p w14:paraId="039E00C9" w14:textId="5F90C322" w:rsidR="00584AEC" w:rsidRDefault="00584AEC" w:rsidP="007A35A7">
      <w:pPr>
        <w:rPr>
          <w:rFonts w:ascii="Arial" w:hAnsi="Arial" w:cs="Arial"/>
        </w:rPr>
      </w:pPr>
    </w:p>
    <w:p w14:paraId="4F9ADE52" w14:textId="034FCA02" w:rsidR="00584AEC" w:rsidRDefault="00584AEC" w:rsidP="007A35A7">
      <w:pPr>
        <w:rPr>
          <w:rFonts w:ascii="Arial" w:hAnsi="Arial" w:cs="Arial"/>
        </w:rPr>
      </w:pPr>
    </w:p>
    <w:p w14:paraId="34A3CE16" w14:textId="0B25ED4C" w:rsidR="00584AEC" w:rsidRDefault="00584AEC" w:rsidP="007A35A7">
      <w:pPr>
        <w:rPr>
          <w:rFonts w:ascii="Arial" w:hAnsi="Arial" w:cs="Arial"/>
        </w:rPr>
      </w:pPr>
    </w:p>
    <w:p w14:paraId="490D4524" w14:textId="1D224953" w:rsidR="00584AEC" w:rsidRDefault="00584AEC" w:rsidP="007A35A7">
      <w:pPr>
        <w:rPr>
          <w:rFonts w:ascii="Arial" w:hAnsi="Arial" w:cs="Arial"/>
        </w:rPr>
      </w:pPr>
    </w:p>
    <w:p w14:paraId="1E788A51" w14:textId="77777777" w:rsidR="004D4171" w:rsidRDefault="004D4171">
      <w:pPr>
        <w:rPr>
          <w:rFonts w:cstheme="minorHAnsi"/>
          <w:b/>
          <w:sz w:val="28"/>
          <w:szCs w:val="24"/>
          <w:u w:val="single"/>
        </w:rPr>
      </w:pPr>
      <w:r>
        <w:rPr>
          <w:rFonts w:cstheme="minorHAnsi"/>
          <w:b/>
          <w:sz w:val="28"/>
          <w:szCs w:val="24"/>
          <w:u w:val="single"/>
        </w:rPr>
        <w:br w:type="page"/>
      </w:r>
    </w:p>
    <w:p w14:paraId="76BDD158" w14:textId="3C8391AE" w:rsidR="00584AEC" w:rsidRPr="004962F4" w:rsidRDefault="00612F4B" w:rsidP="00584AEC">
      <w:pPr>
        <w:jc w:val="center"/>
        <w:rPr>
          <w:rFonts w:cstheme="minorHAnsi"/>
          <w:b/>
          <w:sz w:val="28"/>
          <w:szCs w:val="24"/>
          <w:u w:val="single"/>
        </w:rPr>
      </w:pPr>
      <w:r>
        <w:rPr>
          <w:rFonts w:cstheme="minorHAnsi"/>
          <w:b/>
          <w:sz w:val="28"/>
          <w:szCs w:val="24"/>
          <w:u w:val="single"/>
        </w:rPr>
        <w:lastRenderedPageBreak/>
        <w:t>Winter Plan</w:t>
      </w:r>
      <w:r w:rsidR="00584AEC" w:rsidRPr="004962F4">
        <w:rPr>
          <w:rFonts w:cstheme="minorHAnsi"/>
          <w:b/>
          <w:sz w:val="28"/>
          <w:szCs w:val="24"/>
          <w:u w:val="single"/>
        </w:rPr>
        <w:t xml:space="preserve"> 20</w:t>
      </w:r>
      <w:r w:rsidR="00584AEC">
        <w:rPr>
          <w:rFonts w:cstheme="minorHAnsi"/>
          <w:b/>
          <w:sz w:val="28"/>
          <w:szCs w:val="24"/>
          <w:u w:val="single"/>
        </w:rPr>
        <w:t>21/22</w:t>
      </w:r>
      <w:r w:rsidR="00584AEC" w:rsidRPr="004962F4">
        <w:rPr>
          <w:rFonts w:cstheme="minorHAnsi"/>
          <w:b/>
          <w:sz w:val="28"/>
          <w:szCs w:val="24"/>
          <w:u w:val="single"/>
        </w:rPr>
        <w:t xml:space="preserve"> – Supporting Paper</w:t>
      </w:r>
    </w:p>
    <w:p w14:paraId="4763C76C" w14:textId="5F13988C" w:rsidR="00584AEC" w:rsidRDefault="00584AEC" w:rsidP="007A35A7">
      <w:pPr>
        <w:rPr>
          <w:rFonts w:ascii="Arial" w:hAnsi="Arial" w:cs="Arial"/>
        </w:rPr>
      </w:pPr>
    </w:p>
    <w:p w14:paraId="0DD01937" w14:textId="178D2A88" w:rsidR="00584AEC" w:rsidRDefault="00584AEC" w:rsidP="007A35A7">
      <w:pPr>
        <w:rPr>
          <w:rFonts w:ascii="Arial" w:hAnsi="Arial" w:cs="Arial"/>
        </w:rPr>
      </w:pPr>
    </w:p>
    <w:p w14:paraId="74E0CDEB" w14:textId="77777777" w:rsidR="00612F4B" w:rsidRPr="009C6F94" w:rsidRDefault="00612F4B" w:rsidP="00612F4B">
      <w:pPr>
        <w:jc w:val="both"/>
      </w:pPr>
      <w:r w:rsidRPr="009C6F94">
        <w:rPr>
          <w:b/>
          <w:bCs/>
        </w:rPr>
        <w:t>System oversight and framework for escalation</w:t>
      </w:r>
    </w:p>
    <w:p w14:paraId="6F4894EC" w14:textId="2B49A9A2" w:rsidR="00612F4B" w:rsidRPr="009C6F94" w:rsidRDefault="00612F4B" w:rsidP="00612F4B">
      <w:pPr>
        <w:jc w:val="both"/>
      </w:pPr>
      <w:r w:rsidRPr="009C6F94">
        <w:t>Winter 202</w:t>
      </w:r>
      <w:r>
        <w:t>1</w:t>
      </w:r>
      <w:r w:rsidRPr="009C6F94">
        <w:t>/2</w:t>
      </w:r>
      <w:r>
        <w:t>2</w:t>
      </w:r>
      <w:r w:rsidRPr="009C6F94">
        <w:t xml:space="preserve"> will see a repeat of the rigorous approach to the operational command and control arrangements designed to maintain operational effectiveness throughout winter and will continue to be led by three SROs that are the nominated leads for the </w:t>
      </w:r>
      <w:r w:rsidR="00067431" w:rsidRPr="009C6F94">
        <w:t>day-to-day</w:t>
      </w:r>
      <w:r w:rsidRPr="009C6F94">
        <w:t xml:space="preserve"> management of winter. </w:t>
      </w:r>
    </w:p>
    <w:p w14:paraId="4E8618F2" w14:textId="77777777" w:rsidR="00612F4B" w:rsidRPr="009C6F94" w:rsidRDefault="00612F4B" w:rsidP="00612F4B">
      <w:pPr>
        <w:jc w:val="both"/>
      </w:pPr>
      <w:r w:rsidRPr="009C6F94">
        <w:t>The A&amp;E Delivery Board SROs for Winter 202</w:t>
      </w:r>
      <w:r>
        <w:t>1</w:t>
      </w:r>
      <w:r w:rsidRPr="009C6F94">
        <w:t>/2</w:t>
      </w:r>
      <w:r>
        <w:t>2</w:t>
      </w:r>
      <w:r w:rsidRPr="009C6F94">
        <w:t xml:space="preserve"> are:</w:t>
      </w:r>
    </w:p>
    <w:p w14:paraId="0977D575" w14:textId="77777777" w:rsidR="00612F4B" w:rsidRDefault="00612F4B" w:rsidP="00612F4B">
      <w:pPr>
        <w:pStyle w:val="ListParagraph"/>
        <w:numPr>
          <w:ilvl w:val="0"/>
          <w:numId w:val="34"/>
        </w:numPr>
        <w:spacing w:after="200" w:line="276" w:lineRule="auto"/>
        <w:jc w:val="both"/>
      </w:pPr>
      <w:r w:rsidRPr="00675169">
        <w:t>Shaun Stacey</w:t>
      </w:r>
      <w:r w:rsidRPr="00675169">
        <w:tab/>
      </w:r>
      <w:r w:rsidRPr="00675169">
        <w:tab/>
        <w:t>Chief Operating Officer, NLaG</w:t>
      </w:r>
    </w:p>
    <w:p w14:paraId="55449F4D" w14:textId="77777777" w:rsidR="00612F4B" w:rsidRPr="00675169" w:rsidRDefault="00612F4B" w:rsidP="00612F4B">
      <w:pPr>
        <w:pStyle w:val="ListParagraph"/>
        <w:numPr>
          <w:ilvl w:val="0"/>
          <w:numId w:val="34"/>
        </w:numPr>
        <w:spacing w:after="200" w:line="276" w:lineRule="auto"/>
        <w:jc w:val="both"/>
      </w:pPr>
      <w:r w:rsidRPr="00675169">
        <w:t>Helen Kenyon</w:t>
      </w:r>
      <w:r w:rsidRPr="00675169">
        <w:tab/>
      </w:r>
      <w:r w:rsidRPr="00675169">
        <w:tab/>
        <w:t>Chief Operating Officer, NELCCG</w:t>
      </w:r>
    </w:p>
    <w:p w14:paraId="44A036D9" w14:textId="77777777" w:rsidR="00612F4B" w:rsidRDefault="00612F4B" w:rsidP="00612F4B">
      <w:pPr>
        <w:pStyle w:val="ListParagraph"/>
        <w:numPr>
          <w:ilvl w:val="0"/>
          <w:numId w:val="34"/>
        </w:numPr>
        <w:spacing w:after="200" w:line="276" w:lineRule="auto"/>
        <w:jc w:val="both"/>
      </w:pPr>
      <w:r w:rsidRPr="00675169">
        <w:t>Alex Seale</w:t>
      </w:r>
      <w:r w:rsidRPr="00675169">
        <w:tab/>
      </w:r>
      <w:r w:rsidRPr="00675169">
        <w:tab/>
        <w:t>Chief Operating Officer, NLCCG</w:t>
      </w:r>
    </w:p>
    <w:p w14:paraId="5164EF8F" w14:textId="01AF4B7F" w:rsidR="00612F4B" w:rsidRDefault="00612F4B" w:rsidP="00612F4B">
      <w:pPr>
        <w:jc w:val="both"/>
      </w:pPr>
      <w:r w:rsidRPr="009C6F94">
        <w:t>The framework used in 20</w:t>
      </w:r>
      <w:r>
        <w:t>20</w:t>
      </w:r>
      <w:r w:rsidRPr="009C6F94">
        <w:t>/2</w:t>
      </w:r>
      <w:r>
        <w:t>1</w:t>
      </w:r>
      <w:r w:rsidRPr="009C6F94">
        <w:t xml:space="preserve"> </w:t>
      </w:r>
      <w:r>
        <w:t xml:space="preserve">was </w:t>
      </w:r>
      <w:r w:rsidRPr="009C6F94">
        <w:t xml:space="preserve">reviewed to ensure fitness for purpose in the context of </w:t>
      </w:r>
      <w:r>
        <w:t>C</w:t>
      </w:r>
      <w:r w:rsidRPr="009C6F94">
        <w:t>ovid</w:t>
      </w:r>
      <w:r>
        <w:t xml:space="preserve">-19 </w:t>
      </w:r>
      <w:r w:rsidRPr="009C6F94">
        <w:t xml:space="preserve">in terms of surge </w:t>
      </w:r>
      <w:r>
        <w:t xml:space="preserve">capacity, </w:t>
      </w:r>
      <w:r w:rsidRPr="009C6F94">
        <w:t xml:space="preserve">new ways </w:t>
      </w:r>
      <w:r>
        <w:t>o</w:t>
      </w:r>
      <w:r w:rsidRPr="009C6F94">
        <w:t xml:space="preserve">f working </w:t>
      </w:r>
      <w:r>
        <w:t xml:space="preserve">and </w:t>
      </w:r>
      <w:r w:rsidRPr="009C6F94">
        <w:t>risk to staffing.</w:t>
      </w:r>
      <w:r>
        <w:t xml:space="preserve"> </w:t>
      </w:r>
      <w:r w:rsidRPr="00675169">
        <w:t xml:space="preserve">The A&amp;E Delivery </w:t>
      </w:r>
      <w:r>
        <w:t>board will</w:t>
      </w:r>
      <w:r w:rsidRPr="00675169">
        <w:t xml:space="preserve"> review </w:t>
      </w:r>
      <w:r>
        <w:t xml:space="preserve">any escalations actions from the System Improvement </w:t>
      </w:r>
      <w:r w:rsidR="004D4171">
        <w:t>Group</w:t>
      </w:r>
      <w:r w:rsidRPr="00675169">
        <w:t xml:space="preserve"> at each A&amp;E Delivery Board meeting, where it is a standing agenda item. </w:t>
      </w:r>
    </w:p>
    <w:p w14:paraId="71659313" w14:textId="60C82188" w:rsidR="0039041D" w:rsidRDefault="0039041D" w:rsidP="00612F4B">
      <w:pPr>
        <w:jc w:val="both"/>
      </w:pPr>
    </w:p>
    <w:p w14:paraId="6DED3BC8" w14:textId="69F5EAF5" w:rsidR="0039041D" w:rsidRPr="0039041D" w:rsidRDefault="0039041D" w:rsidP="00612F4B">
      <w:pPr>
        <w:jc w:val="both"/>
        <w:rPr>
          <w:b/>
          <w:bCs/>
        </w:rPr>
      </w:pPr>
      <w:r w:rsidRPr="0039041D">
        <w:rPr>
          <w:b/>
          <w:bCs/>
        </w:rPr>
        <w:t xml:space="preserve">System Actions              </w:t>
      </w:r>
    </w:p>
    <w:p w14:paraId="1C66F0F2" w14:textId="77777777" w:rsidR="00612F4B" w:rsidRPr="00724977" w:rsidRDefault="00612F4B" w:rsidP="00612F4B">
      <w:pPr>
        <w:jc w:val="both"/>
      </w:pPr>
      <w:r w:rsidRPr="00724977">
        <w:t>The priority areas for the 202</w:t>
      </w:r>
      <w:r>
        <w:t>1</w:t>
      </w:r>
      <w:r w:rsidRPr="00724977">
        <w:t>/2</w:t>
      </w:r>
      <w:r>
        <w:t>2</w:t>
      </w:r>
      <w:r w:rsidRPr="00724977">
        <w:t xml:space="preserve"> winter plan </w:t>
      </w:r>
      <w:r>
        <w:t>are</w:t>
      </w:r>
      <w:r w:rsidRPr="00724977">
        <w:t xml:space="preserve"> comprised of key areas of focus and related workstreams:</w:t>
      </w:r>
    </w:p>
    <w:p w14:paraId="34362B4A" w14:textId="77777777" w:rsidR="00612F4B" w:rsidRDefault="00612F4B" w:rsidP="00612F4B">
      <w:pPr>
        <w:pStyle w:val="ListParagraph"/>
        <w:numPr>
          <w:ilvl w:val="0"/>
          <w:numId w:val="36"/>
        </w:numPr>
        <w:spacing w:after="200" w:line="276" w:lineRule="auto"/>
        <w:jc w:val="both"/>
      </w:pPr>
      <w:r>
        <w:t>A&amp;E Front End Improvement Plans.</w:t>
      </w:r>
    </w:p>
    <w:p w14:paraId="1D277247" w14:textId="77777777" w:rsidR="00612F4B" w:rsidRDefault="00612F4B" w:rsidP="00612F4B">
      <w:pPr>
        <w:pStyle w:val="ListParagraph"/>
        <w:numPr>
          <w:ilvl w:val="0"/>
          <w:numId w:val="36"/>
        </w:numPr>
        <w:spacing w:after="200" w:line="276" w:lineRule="auto"/>
        <w:jc w:val="both"/>
      </w:pPr>
      <w:r>
        <w:t>Redirection Pathways from A&amp;E.</w:t>
      </w:r>
    </w:p>
    <w:p w14:paraId="0D57D0B5" w14:textId="77777777" w:rsidR="00612F4B" w:rsidRDefault="00612F4B" w:rsidP="00612F4B">
      <w:pPr>
        <w:pStyle w:val="ListParagraph"/>
        <w:numPr>
          <w:ilvl w:val="0"/>
          <w:numId w:val="36"/>
        </w:numPr>
        <w:spacing w:after="200" w:line="276" w:lineRule="auto"/>
        <w:jc w:val="both"/>
      </w:pPr>
      <w:r>
        <w:t>Ambulance Handover.</w:t>
      </w:r>
    </w:p>
    <w:p w14:paraId="7CEE6B18" w14:textId="55502A8B" w:rsidR="00612F4B" w:rsidRDefault="00612F4B" w:rsidP="00612F4B">
      <w:pPr>
        <w:pStyle w:val="ListParagraph"/>
        <w:numPr>
          <w:ilvl w:val="0"/>
          <w:numId w:val="36"/>
        </w:numPr>
        <w:spacing w:after="200" w:line="276" w:lineRule="auto"/>
        <w:jc w:val="both"/>
      </w:pPr>
      <w:r>
        <w:t>Community step</w:t>
      </w:r>
      <w:r w:rsidR="00067431">
        <w:t>-</w:t>
      </w:r>
      <w:r>
        <w:t>up/step</w:t>
      </w:r>
      <w:r w:rsidR="00067431">
        <w:t>-</w:t>
      </w:r>
      <w:r>
        <w:t>down capacity.</w:t>
      </w:r>
    </w:p>
    <w:p w14:paraId="618F7286" w14:textId="77777777" w:rsidR="00612F4B" w:rsidRDefault="00612F4B" w:rsidP="00612F4B">
      <w:pPr>
        <w:pStyle w:val="ListParagraph"/>
        <w:numPr>
          <w:ilvl w:val="0"/>
          <w:numId w:val="36"/>
        </w:numPr>
        <w:spacing w:after="200" w:line="276" w:lineRule="auto"/>
        <w:jc w:val="both"/>
      </w:pPr>
      <w:r>
        <w:t>Mental Health provision.</w:t>
      </w:r>
    </w:p>
    <w:p w14:paraId="572973CB" w14:textId="77777777" w:rsidR="00612F4B" w:rsidRDefault="00612F4B" w:rsidP="00612F4B">
      <w:pPr>
        <w:pStyle w:val="ListParagraph"/>
        <w:numPr>
          <w:ilvl w:val="0"/>
          <w:numId w:val="36"/>
        </w:numPr>
        <w:spacing w:after="200" w:line="276" w:lineRule="auto"/>
        <w:jc w:val="both"/>
      </w:pPr>
      <w:r>
        <w:t>Primary Care access.</w:t>
      </w:r>
    </w:p>
    <w:p w14:paraId="6C4C08E9" w14:textId="70411B03" w:rsidR="00612F4B" w:rsidRDefault="00612F4B" w:rsidP="00612F4B">
      <w:pPr>
        <w:pStyle w:val="ListParagraph"/>
        <w:numPr>
          <w:ilvl w:val="0"/>
          <w:numId w:val="36"/>
        </w:numPr>
        <w:spacing w:after="200" w:line="276" w:lineRule="auto"/>
        <w:jc w:val="both"/>
      </w:pPr>
      <w:r>
        <w:t>AEDB/ SIG Enablers and Performance Oversight.</w:t>
      </w:r>
    </w:p>
    <w:p w14:paraId="18FC3019" w14:textId="77777777" w:rsidR="00612F4B" w:rsidRDefault="00612F4B" w:rsidP="00612F4B">
      <w:pPr>
        <w:jc w:val="both"/>
      </w:pPr>
      <w:r w:rsidRPr="000A1C31">
        <w:t xml:space="preserve">System wide capacity </w:t>
      </w:r>
      <w:r>
        <w:t xml:space="preserve">and </w:t>
      </w:r>
      <w:r w:rsidRPr="000A1C31">
        <w:t>ab</w:t>
      </w:r>
      <w:r>
        <w:t>ility</w:t>
      </w:r>
      <w:r w:rsidRPr="000A1C31">
        <w:t xml:space="preserve"> to flex during times of escalation</w:t>
      </w:r>
      <w:r>
        <w:t xml:space="preserve"> is integral to this System Plan. </w:t>
      </w:r>
      <w:r w:rsidRPr="000A1C31">
        <w:t>The ability to increase capacity or move available capacity and resource into other parts of the system is a challenge. Whilst capacity/demand planning can be done in advance for periods of expected pressures, the ability to prioritise the movement of resources across the system at very short notice is more challenging and is more effective with timely information, a collaborative approach and clear</w:t>
      </w:r>
      <w:r>
        <w:t xml:space="preserve"> </w:t>
      </w:r>
      <w:r w:rsidRPr="000A1C31">
        <w:t>escalation protocols. This year this will be supported by:</w:t>
      </w:r>
    </w:p>
    <w:p w14:paraId="1DCDFECF" w14:textId="77777777" w:rsidR="00612F4B" w:rsidRDefault="00612F4B" w:rsidP="00612F4B">
      <w:pPr>
        <w:pStyle w:val="ListParagraph"/>
        <w:numPr>
          <w:ilvl w:val="0"/>
          <w:numId w:val="37"/>
        </w:numPr>
        <w:spacing w:after="200" w:line="276" w:lineRule="auto"/>
        <w:jc w:val="both"/>
      </w:pPr>
      <w:r>
        <w:t>An</w:t>
      </w:r>
      <w:r w:rsidRPr="000A1C31">
        <w:t xml:space="preserve"> OPEL framework that</w:t>
      </w:r>
      <w:r>
        <w:t xml:space="preserve"> </w:t>
      </w:r>
      <w:r w:rsidRPr="000A1C31">
        <w:t>support</w:t>
      </w:r>
      <w:r>
        <w:t>s</w:t>
      </w:r>
      <w:r w:rsidRPr="000A1C31">
        <w:t xml:space="preserve"> pressures in any part of the system</w:t>
      </w:r>
      <w:r>
        <w:t>.</w:t>
      </w:r>
    </w:p>
    <w:p w14:paraId="02B508DF" w14:textId="77777777" w:rsidR="00612F4B" w:rsidRPr="000A1C31" w:rsidRDefault="00612F4B" w:rsidP="00612F4B">
      <w:pPr>
        <w:pStyle w:val="ListParagraph"/>
        <w:numPr>
          <w:ilvl w:val="0"/>
          <w:numId w:val="37"/>
        </w:numPr>
        <w:spacing w:after="200" w:line="276" w:lineRule="auto"/>
        <w:jc w:val="both"/>
      </w:pPr>
      <w:r w:rsidRPr="00675169">
        <w:t xml:space="preserve">The established </w:t>
      </w:r>
      <w:r>
        <w:t xml:space="preserve">daily </w:t>
      </w:r>
      <w:r w:rsidRPr="00675169">
        <w:t xml:space="preserve">regime of </w:t>
      </w:r>
      <w:r>
        <w:t xml:space="preserve">both operational and Executive level </w:t>
      </w:r>
      <w:r w:rsidRPr="00675169">
        <w:t>calls as triggers are reache</w:t>
      </w:r>
      <w:r>
        <w:t xml:space="preserve">d and where there are any early warnings. </w:t>
      </w:r>
    </w:p>
    <w:p w14:paraId="7621F2EE" w14:textId="77777777" w:rsidR="00612F4B" w:rsidRDefault="00612F4B" w:rsidP="00612F4B">
      <w:pPr>
        <w:pStyle w:val="ListParagraph"/>
        <w:numPr>
          <w:ilvl w:val="0"/>
          <w:numId w:val="37"/>
        </w:numPr>
        <w:spacing w:after="200" w:line="276" w:lineRule="auto"/>
      </w:pPr>
      <w:r>
        <w:t>The full r</w:t>
      </w:r>
      <w:r w:rsidRPr="000A1C31">
        <w:t>oll-out of the RAIDR tool to further improve the system wide intelligence and pressures arising</w:t>
      </w:r>
      <w:r>
        <w:t xml:space="preserve"> as well as the weekly dashboard for overall system oversight (this dashboard can be produced more frequently as required by system escalation).</w:t>
      </w:r>
    </w:p>
    <w:p w14:paraId="0F717CD7" w14:textId="77777777" w:rsidR="00612F4B" w:rsidRDefault="00612F4B" w:rsidP="00612F4B">
      <w:pPr>
        <w:pStyle w:val="ListParagraph"/>
        <w:numPr>
          <w:ilvl w:val="0"/>
          <w:numId w:val="37"/>
        </w:numPr>
        <w:spacing w:after="200" w:line="276" w:lineRule="auto"/>
      </w:pPr>
      <w:r>
        <w:t>System Escalation Plan and Covid-19 Outbreak Control Plan</w:t>
      </w:r>
    </w:p>
    <w:p w14:paraId="4190ED03" w14:textId="44083B8C" w:rsidR="00612F4B" w:rsidRPr="0039041D" w:rsidRDefault="0039041D" w:rsidP="0039041D">
      <w:pPr>
        <w:rPr>
          <w:b/>
          <w:bCs/>
        </w:rPr>
      </w:pPr>
      <w:r w:rsidRPr="0039041D">
        <w:rPr>
          <w:b/>
          <w:bCs/>
        </w:rPr>
        <w:t>I</w:t>
      </w:r>
      <w:r w:rsidR="00612F4B" w:rsidRPr="0039041D">
        <w:rPr>
          <w:b/>
          <w:bCs/>
        </w:rPr>
        <w:t xml:space="preserve">dentified Risks </w:t>
      </w:r>
    </w:p>
    <w:tbl>
      <w:tblPr>
        <w:tblStyle w:val="TableGrid"/>
        <w:tblW w:w="9242" w:type="dxa"/>
        <w:tblLook w:val="04A0" w:firstRow="1" w:lastRow="0" w:firstColumn="1" w:lastColumn="0" w:noHBand="0" w:noVBand="1"/>
      </w:tblPr>
      <w:tblGrid>
        <w:gridCol w:w="3309"/>
        <w:gridCol w:w="5933"/>
      </w:tblGrid>
      <w:tr w:rsidR="00612F4B" w:rsidRPr="00533AC4" w14:paraId="1CF5FCCF" w14:textId="77777777" w:rsidTr="00591602">
        <w:trPr>
          <w:trHeight w:val="417"/>
          <w:tblHeader/>
        </w:trPr>
        <w:tc>
          <w:tcPr>
            <w:tcW w:w="3309" w:type="dxa"/>
            <w:vAlign w:val="center"/>
          </w:tcPr>
          <w:p w14:paraId="6FE173A3" w14:textId="77777777" w:rsidR="00612F4B" w:rsidRPr="009C6F94" w:rsidRDefault="00612F4B" w:rsidP="00591602">
            <w:r w:rsidRPr="009C6F94">
              <w:tab/>
              <w:t>Key risks</w:t>
            </w:r>
          </w:p>
        </w:tc>
        <w:tc>
          <w:tcPr>
            <w:tcW w:w="5933" w:type="dxa"/>
            <w:vAlign w:val="center"/>
          </w:tcPr>
          <w:p w14:paraId="371E3578" w14:textId="77777777" w:rsidR="00612F4B" w:rsidRPr="009C6F94" w:rsidRDefault="00612F4B" w:rsidP="00591602">
            <w:r w:rsidRPr="009C6F94">
              <w:t>Mitigation</w:t>
            </w:r>
          </w:p>
        </w:tc>
      </w:tr>
      <w:tr w:rsidR="00612F4B" w:rsidRPr="00533AC4" w14:paraId="6993363E" w14:textId="77777777" w:rsidTr="00591602">
        <w:tc>
          <w:tcPr>
            <w:tcW w:w="3309" w:type="dxa"/>
          </w:tcPr>
          <w:p w14:paraId="5AC3901F" w14:textId="7F955B29" w:rsidR="00612F4B" w:rsidRDefault="00612F4B" w:rsidP="00591602">
            <w:r w:rsidRPr="009C6F94">
              <w:t>C</w:t>
            </w:r>
            <w:r>
              <w:t>OVID</w:t>
            </w:r>
            <w:r w:rsidRPr="009C6F94">
              <w:t xml:space="preserve"> </w:t>
            </w:r>
            <w:r>
              <w:t xml:space="preserve">– Reduction of 129 beds in acute due to COVID requirements (Pods and isolation </w:t>
            </w:r>
            <w:r w:rsidR="00067431">
              <w:t>etc.</w:t>
            </w:r>
            <w:r>
              <w:t xml:space="preserve">), anticipated increased admissions as well as the requirements around recovery and restoration. </w:t>
            </w:r>
            <w:r>
              <w:lastRenderedPageBreak/>
              <w:t xml:space="preserve">Potential impact on management of critical care beds </w:t>
            </w:r>
          </w:p>
          <w:p w14:paraId="1B7CDBD7" w14:textId="77777777" w:rsidR="00612F4B" w:rsidRPr="009C6F94" w:rsidRDefault="00612F4B" w:rsidP="00591602"/>
        </w:tc>
        <w:tc>
          <w:tcPr>
            <w:tcW w:w="5933" w:type="dxa"/>
          </w:tcPr>
          <w:p w14:paraId="200A9422" w14:textId="77777777" w:rsidR="00612F4B" w:rsidRDefault="00612F4B" w:rsidP="00591602">
            <w:r>
              <w:lastRenderedPageBreak/>
              <w:t>Capacity and demand planning and Place level work ongoing with regard to attendance &amp; admission avoidance, D2A processes and community support detailed in the System Improvement Plan</w:t>
            </w:r>
          </w:p>
          <w:p w14:paraId="50E1ABB3" w14:textId="77777777" w:rsidR="00612F4B" w:rsidRDefault="00612F4B" w:rsidP="00591602">
            <w:r>
              <w:t>Rapid COVID testing implementation to support reduction in days in isolation for inpatients.</w:t>
            </w:r>
          </w:p>
          <w:p w14:paraId="7C84D993" w14:textId="77777777" w:rsidR="00612F4B" w:rsidRDefault="00612F4B" w:rsidP="00591602">
            <w:r>
              <w:lastRenderedPageBreak/>
              <w:t xml:space="preserve">Use of private provider in NEL and Goole site for surgery other than that which requires critical care facilities. </w:t>
            </w:r>
          </w:p>
          <w:p w14:paraId="0F9BDDA8" w14:textId="77777777" w:rsidR="00612F4B" w:rsidRPr="009C6F94" w:rsidRDefault="00612F4B" w:rsidP="00591602"/>
        </w:tc>
      </w:tr>
      <w:tr w:rsidR="00612F4B" w:rsidRPr="00533AC4" w14:paraId="0F3B8490" w14:textId="77777777" w:rsidTr="00591602">
        <w:tc>
          <w:tcPr>
            <w:tcW w:w="3309" w:type="dxa"/>
          </w:tcPr>
          <w:p w14:paraId="4F94DBEA" w14:textId="77777777" w:rsidR="00612F4B" w:rsidRPr="009C6F94" w:rsidRDefault="00612F4B" w:rsidP="00591602">
            <w:r>
              <w:lastRenderedPageBreak/>
              <w:t>Length of Stay</w:t>
            </w:r>
          </w:p>
        </w:tc>
        <w:tc>
          <w:tcPr>
            <w:tcW w:w="5933" w:type="dxa"/>
          </w:tcPr>
          <w:p w14:paraId="1CC56F5C" w14:textId="77777777" w:rsidR="00612F4B" w:rsidRDefault="00612F4B" w:rsidP="00591602">
            <w:r>
              <w:t xml:space="preserve">The ECIST supported work on discharge to assess supported early and regular identification of patients for discharge, and D2A pathways in line with the new policy will support timely discharge. </w:t>
            </w:r>
          </w:p>
          <w:p w14:paraId="5D4DDD9C" w14:textId="77777777" w:rsidR="00612F4B" w:rsidRPr="009C6F94" w:rsidRDefault="00612F4B" w:rsidP="00591602">
            <w:r>
              <w:t>Enhanced discharge consultant over weekends, extended discharge lounge opening, support staff enhancement and continuation of SAFER approach in NLaG.</w:t>
            </w:r>
          </w:p>
        </w:tc>
      </w:tr>
      <w:tr w:rsidR="00612F4B" w:rsidRPr="00533AC4" w14:paraId="583A8812" w14:textId="77777777" w:rsidTr="00591602">
        <w:tc>
          <w:tcPr>
            <w:tcW w:w="3309" w:type="dxa"/>
          </w:tcPr>
          <w:p w14:paraId="79594873" w14:textId="77777777" w:rsidR="00612F4B" w:rsidRPr="009C6F94" w:rsidRDefault="00612F4B" w:rsidP="00591602">
            <w:r w:rsidRPr="009C6F94">
              <w:t>Localised outbreaks of Covid-19 – impact on both workforce and demand</w:t>
            </w:r>
          </w:p>
        </w:tc>
        <w:tc>
          <w:tcPr>
            <w:tcW w:w="5933" w:type="dxa"/>
          </w:tcPr>
          <w:p w14:paraId="713D5032" w14:textId="77777777" w:rsidR="00612F4B" w:rsidRPr="009C6F94" w:rsidRDefault="00612F4B" w:rsidP="00591602">
            <w:r w:rsidRPr="009C6F94">
              <w:t>Outbreak plan</w:t>
            </w:r>
            <w:r>
              <w:t xml:space="preserve">s are at place level and are aligned to HCV outbreak management plans. </w:t>
            </w:r>
          </w:p>
        </w:tc>
      </w:tr>
      <w:tr w:rsidR="00612F4B" w:rsidRPr="00533AC4" w14:paraId="21A4855C" w14:textId="77777777" w:rsidTr="00591602">
        <w:tc>
          <w:tcPr>
            <w:tcW w:w="3309" w:type="dxa"/>
          </w:tcPr>
          <w:p w14:paraId="588308C2" w14:textId="77777777" w:rsidR="00612F4B" w:rsidRPr="009C6F94" w:rsidRDefault="00612F4B" w:rsidP="00591602">
            <w:r w:rsidRPr="009C6F94">
              <w:t>Flu</w:t>
            </w:r>
            <w:r>
              <w:t xml:space="preserve">/ Covid-19 vaccination </w:t>
            </w:r>
            <w:r w:rsidRPr="009C6F94">
              <w:t xml:space="preserve">– </w:t>
            </w:r>
            <w:r>
              <w:t xml:space="preserve">Increased ambition for flu vaccination, and risk of Flu complications and admissions during winter. </w:t>
            </w:r>
          </w:p>
        </w:tc>
        <w:tc>
          <w:tcPr>
            <w:tcW w:w="5933" w:type="dxa"/>
          </w:tcPr>
          <w:p w14:paraId="35F3DBBC" w14:textId="77777777" w:rsidR="00612F4B" w:rsidRPr="009C6F94" w:rsidRDefault="00612F4B" w:rsidP="00591602">
            <w:r>
              <w:t xml:space="preserve">Being planned at place level and each place has developed vaccination plans. </w:t>
            </w:r>
          </w:p>
          <w:p w14:paraId="67418C4B" w14:textId="77777777" w:rsidR="00612F4B" w:rsidRPr="009C6F94" w:rsidRDefault="00612F4B" w:rsidP="00591602">
            <w:r w:rsidRPr="009C6F94">
              <w:t xml:space="preserve">Looking at </w:t>
            </w:r>
            <w:r>
              <w:t xml:space="preserve">innovative </w:t>
            </w:r>
            <w:r w:rsidRPr="009C6F94">
              <w:t xml:space="preserve">options for increasing vaccination rates. Engagement with Primary Care </w:t>
            </w:r>
            <w:r>
              <w:t xml:space="preserve">started to </w:t>
            </w:r>
            <w:r w:rsidRPr="009C6F94">
              <w:t>identif</w:t>
            </w:r>
            <w:r>
              <w:t>y</w:t>
            </w:r>
            <w:r w:rsidRPr="009C6F94">
              <w:t xml:space="preserve"> vulnerable groups for immunisation.</w:t>
            </w:r>
          </w:p>
          <w:p w14:paraId="58B000A5" w14:textId="77777777" w:rsidR="00612F4B" w:rsidRPr="009C6F94" w:rsidRDefault="00612F4B" w:rsidP="00591602">
            <w:r w:rsidRPr="009C6F94">
              <w:t>Communication Plan to include public advice on uptake messages.</w:t>
            </w:r>
          </w:p>
          <w:p w14:paraId="7315AD41" w14:textId="77777777" w:rsidR="00612F4B" w:rsidRPr="009C6F94" w:rsidRDefault="00612F4B" w:rsidP="00591602">
            <w:r w:rsidRPr="009C6F94">
              <w:t xml:space="preserve">Public Health to play a leadership role in supporting increased uptake across staff and public. </w:t>
            </w:r>
          </w:p>
        </w:tc>
      </w:tr>
      <w:tr w:rsidR="00612F4B" w:rsidRPr="00533AC4" w14:paraId="0A924A39" w14:textId="77777777" w:rsidTr="00591602">
        <w:trPr>
          <w:trHeight w:val="1238"/>
        </w:trPr>
        <w:tc>
          <w:tcPr>
            <w:tcW w:w="3309" w:type="dxa"/>
          </w:tcPr>
          <w:p w14:paraId="3F9CDFE1" w14:textId="77777777" w:rsidR="00612F4B" w:rsidRPr="009C6F94" w:rsidRDefault="00612F4B" w:rsidP="00591602">
            <w:r w:rsidRPr="009C6F94">
              <w:t>Finance – costs associated with locum, agency nursing, doctors and additional community and social care response</w:t>
            </w:r>
            <w:r>
              <w:t>.</w:t>
            </w:r>
          </w:p>
        </w:tc>
        <w:tc>
          <w:tcPr>
            <w:tcW w:w="5933" w:type="dxa"/>
          </w:tcPr>
          <w:p w14:paraId="0045A331" w14:textId="77777777" w:rsidR="00612F4B" w:rsidRPr="009C6F94" w:rsidRDefault="00612F4B" w:rsidP="00591602">
            <w:r>
              <w:t>Potential for increased staff absence due to sickness or isolation. Use of agency staff whilst necessary to maintain service delivery could have a financial impact on system partners.</w:t>
            </w:r>
          </w:p>
        </w:tc>
      </w:tr>
      <w:tr w:rsidR="00612F4B" w:rsidRPr="00533AC4" w14:paraId="53A492F6" w14:textId="77777777" w:rsidTr="00591602">
        <w:tc>
          <w:tcPr>
            <w:tcW w:w="3309" w:type="dxa"/>
          </w:tcPr>
          <w:p w14:paraId="293621C2" w14:textId="55F969E7" w:rsidR="00612F4B" w:rsidRPr="009C6F94" w:rsidRDefault="00612F4B" w:rsidP="00591602">
            <w:r w:rsidRPr="009C6F94">
              <w:t xml:space="preserve">Severe weather </w:t>
            </w:r>
            <w:r w:rsidR="00067431" w:rsidRPr="009C6F94">
              <w:t>e.g.,</w:t>
            </w:r>
            <w:r w:rsidRPr="009C6F94">
              <w:t xml:space="preserve"> Snow, </w:t>
            </w:r>
            <w:r w:rsidR="00067431" w:rsidRPr="009C6F94">
              <w:t>freezing</w:t>
            </w:r>
            <w:r w:rsidRPr="009C6F94">
              <w:t xml:space="preserve"> temperatures, Floods, Gales etc. will impact on service periodically over the </w:t>
            </w:r>
            <w:r>
              <w:t>winter</w:t>
            </w:r>
          </w:p>
        </w:tc>
        <w:tc>
          <w:tcPr>
            <w:tcW w:w="5933" w:type="dxa"/>
          </w:tcPr>
          <w:p w14:paraId="1CB9E869" w14:textId="77777777" w:rsidR="00612F4B" w:rsidRPr="009C6F94" w:rsidRDefault="00612F4B" w:rsidP="00591602">
            <w:r w:rsidRPr="009C6F94">
              <w:t>Adverse weather guidance.</w:t>
            </w:r>
          </w:p>
          <w:p w14:paraId="2315BFAD" w14:textId="77777777" w:rsidR="00612F4B" w:rsidRPr="009C6F94" w:rsidRDefault="00612F4B" w:rsidP="00591602">
            <w:r w:rsidRPr="009C6F94">
              <w:t>Local planning groups planning for the need for winter vehicles in community.</w:t>
            </w:r>
          </w:p>
          <w:p w14:paraId="14672289" w14:textId="77777777" w:rsidR="00612F4B" w:rsidRPr="009C6F94" w:rsidRDefault="00612F4B" w:rsidP="00591602">
            <w:r w:rsidRPr="009C6F94">
              <w:t>LRF plans and coordination with CCG</w:t>
            </w:r>
          </w:p>
        </w:tc>
      </w:tr>
      <w:tr w:rsidR="00612F4B" w:rsidRPr="00533AC4" w14:paraId="5F515FDC" w14:textId="77777777" w:rsidTr="00591602">
        <w:tc>
          <w:tcPr>
            <w:tcW w:w="3309" w:type="dxa"/>
          </w:tcPr>
          <w:p w14:paraId="6BA6B780" w14:textId="153099A6" w:rsidR="00612F4B" w:rsidRPr="009C6F94" w:rsidRDefault="00067431" w:rsidP="00591602">
            <w:r>
              <w:t>Neighboring</w:t>
            </w:r>
            <w:r w:rsidR="00612F4B">
              <w:t xml:space="preserve"> System Pressure – usual winter pressures in </w:t>
            </w:r>
            <w:r>
              <w:t>neighboring</w:t>
            </w:r>
            <w:r w:rsidR="00612F4B">
              <w:t xml:space="preserve"> systems and potential for COVID outbreaks in those systems. </w:t>
            </w:r>
          </w:p>
        </w:tc>
        <w:tc>
          <w:tcPr>
            <w:tcW w:w="5933" w:type="dxa"/>
          </w:tcPr>
          <w:p w14:paraId="75DAA0A2" w14:textId="38E6DBD7" w:rsidR="00612F4B" w:rsidRPr="009C6F94" w:rsidRDefault="00612F4B" w:rsidP="00591602">
            <w:r>
              <w:t xml:space="preserve">Plans across the system consider impact of outbreaks in </w:t>
            </w:r>
            <w:r w:rsidR="00067431">
              <w:t>neighboring</w:t>
            </w:r>
            <w:r>
              <w:t xml:space="preserve"> systems and mitigation of risks posed by pressure in </w:t>
            </w:r>
            <w:r w:rsidR="00067431">
              <w:t>neighboring</w:t>
            </w:r>
            <w:r>
              <w:t xml:space="preserve"> systems and potential requirement for mutual aid.</w:t>
            </w:r>
          </w:p>
        </w:tc>
      </w:tr>
    </w:tbl>
    <w:p w14:paraId="3F663951" w14:textId="77777777" w:rsidR="00612F4B" w:rsidRDefault="00612F4B" w:rsidP="007A35A7">
      <w:pPr>
        <w:rPr>
          <w:rFonts w:ascii="Arial" w:hAnsi="Arial" w:cs="Arial"/>
          <w:u w:val="single"/>
        </w:rPr>
      </w:pPr>
    </w:p>
    <w:sectPr w:rsidR="00612F4B"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C54C5"/>
    <w:multiLevelType w:val="hybridMultilevel"/>
    <w:tmpl w:val="16BED5F4"/>
    <w:lvl w:ilvl="0" w:tplc="641026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1366B"/>
    <w:multiLevelType w:val="hybridMultilevel"/>
    <w:tmpl w:val="644A0906"/>
    <w:lvl w:ilvl="0" w:tplc="8B5252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15380"/>
    <w:multiLevelType w:val="hybridMultilevel"/>
    <w:tmpl w:val="E7A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836173"/>
    <w:multiLevelType w:val="hybridMultilevel"/>
    <w:tmpl w:val="3B06AEB0"/>
    <w:lvl w:ilvl="0" w:tplc="FC92305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D220025"/>
    <w:multiLevelType w:val="hybridMultilevel"/>
    <w:tmpl w:val="4D5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00374"/>
    <w:multiLevelType w:val="hybridMultilevel"/>
    <w:tmpl w:val="5D72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A4C5989"/>
    <w:multiLevelType w:val="hybridMultilevel"/>
    <w:tmpl w:val="6C2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F37DD0"/>
    <w:multiLevelType w:val="hybridMultilevel"/>
    <w:tmpl w:val="F4F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5220B4"/>
    <w:multiLevelType w:val="hybridMultilevel"/>
    <w:tmpl w:val="8D84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0"/>
  </w:num>
  <w:num w:numId="4">
    <w:abstractNumId w:val="34"/>
  </w:num>
  <w:num w:numId="5">
    <w:abstractNumId w:val="14"/>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0"/>
  </w:num>
  <w:num w:numId="21">
    <w:abstractNumId w:val="26"/>
  </w:num>
  <w:num w:numId="22">
    <w:abstractNumId w:val="12"/>
  </w:num>
  <w:num w:numId="23">
    <w:abstractNumId w:val="36"/>
  </w:num>
  <w:num w:numId="24">
    <w:abstractNumId w:val="17"/>
  </w:num>
  <w:num w:numId="25">
    <w:abstractNumId w:val="22"/>
  </w:num>
  <w:num w:numId="26">
    <w:abstractNumId w:val="16"/>
  </w:num>
  <w:num w:numId="27">
    <w:abstractNumId w:val="32"/>
  </w:num>
  <w:num w:numId="28">
    <w:abstractNumId w:val="35"/>
  </w:num>
  <w:num w:numId="29">
    <w:abstractNumId w:val="24"/>
  </w:num>
  <w:num w:numId="30">
    <w:abstractNumId w:val="20"/>
  </w:num>
  <w:num w:numId="31">
    <w:abstractNumId w:val="29"/>
  </w:num>
  <w:num w:numId="32">
    <w:abstractNumId w:val="15"/>
  </w:num>
  <w:num w:numId="33">
    <w:abstractNumId w:val="11"/>
  </w:num>
  <w:num w:numId="34">
    <w:abstractNumId w:val="33"/>
  </w:num>
  <w:num w:numId="35">
    <w:abstractNumId w:val="31"/>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67431"/>
    <w:rsid w:val="0008018D"/>
    <w:rsid w:val="000A6EBC"/>
    <w:rsid w:val="001712C0"/>
    <w:rsid w:val="0018458C"/>
    <w:rsid w:val="001D0799"/>
    <w:rsid w:val="00205F01"/>
    <w:rsid w:val="002146A3"/>
    <w:rsid w:val="002B7673"/>
    <w:rsid w:val="00301E85"/>
    <w:rsid w:val="00306F2F"/>
    <w:rsid w:val="00331291"/>
    <w:rsid w:val="0039041D"/>
    <w:rsid w:val="00390FEA"/>
    <w:rsid w:val="003F1101"/>
    <w:rsid w:val="0044021E"/>
    <w:rsid w:val="00465B88"/>
    <w:rsid w:val="004710B4"/>
    <w:rsid w:val="00481002"/>
    <w:rsid w:val="00485586"/>
    <w:rsid w:val="0049106E"/>
    <w:rsid w:val="004D4171"/>
    <w:rsid w:val="005051F9"/>
    <w:rsid w:val="00584AEC"/>
    <w:rsid w:val="00612F4B"/>
    <w:rsid w:val="00614C77"/>
    <w:rsid w:val="00622500"/>
    <w:rsid w:val="00645252"/>
    <w:rsid w:val="006D3D74"/>
    <w:rsid w:val="007139D0"/>
    <w:rsid w:val="00754EF4"/>
    <w:rsid w:val="00761230"/>
    <w:rsid w:val="0077046E"/>
    <w:rsid w:val="007A35A7"/>
    <w:rsid w:val="007C6D38"/>
    <w:rsid w:val="008167A7"/>
    <w:rsid w:val="0083569A"/>
    <w:rsid w:val="008C0878"/>
    <w:rsid w:val="00953F75"/>
    <w:rsid w:val="00985504"/>
    <w:rsid w:val="00987905"/>
    <w:rsid w:val="009A4E82"/>
    <w:rsid w:val="009D2B9B"/>
    <w:rsid w:val="00A9204E"/>
    <w:rsid w:val="00B833D2"/>
    <w:rsid w:val="00B86B77"/>
    <w:rsid w:val="00BB300D"/>
    <w:rsid w:val="00BD3CB7"/>
    <w:rsid w:val="00BF7CE9"/>
    <w:rsid w:val="00C51F00"/>
    <w:rsid w:val="00C73FD3"/>
    <w:rsid w:val="00D431DE"/>
    <w:rsid w:val="00D448E3"/>
    <w:rsid w:val="00DB7724"/>
    <w:rsid w:val="00DE79E3"/>
    <w:rsid w:val="00E22203"/>
    <w:rsid w:val="00E511D7"/>
    <w:rsid w:val="00EA53C2"/>
    <w:rsid w:val="00EC0792"/>
    <w:rsid w:val="00F170C9"/>
    <w:rsid w:val="00F47E31"/>
    <w:rsid w:val="00F67042"/>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5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unhideWhenUsed/>
    <w:qFormat/>
    <w:rsid w:val="00B86B7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61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406">
      <w:bodyDiv w:val="1"/>
      <w:marLeft w:val="0"/>
      <w:marRight w:val="0"/>
      <w:marTop w:val="0"/>
      <w:marBottom w:val="0"/>
      <w:divBdr>
        <w:top w:val="none" w:sz="0" w:space="0" w:color="auto"/>
        <w:left w:val="none" w:sz="0" w:space="0" w:color="auto"/>
        <w:bottom w:val="none" w:sz="0" w:space="0" w:color="auto"/>
        <w:right w:val="none" w:sz="0" w:space="0" w:color="auto"/>
      </w:divBdr>
    </w:div>
    <w:div w:id="479422794">
      <w:bodyDiv w:val="1"/>
      <w:marLeft w:val="0"/>
      <w:marRight w:val="0"/>
      <w:marTop w:val="0"/>
      <w:marBottom w:val="0"/>
      <w:divBdr>
        <w:top w:val="none" w:sz="0" w:space="0" w:color="auto"/>
        <w:left w:val="none" w:sz="0" w:space="0" w:color="auto"/>
        <w:bottom w:val="none" w:sz="0" w:space="0" w:color="auto"/>
        <w:right w:val="none" w:sz="0" w:space="0" w:color="auto"/>
      </w:divBdr>
    </w:div>
    <w:div w:id="1590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eastlincolnshireccg.nhs.uk/get-involv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02471CA-A12B-4575-A195-4088628734CA}">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13</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6</cp:revision>
  <dcterms:created xsi:type="dcterms:W3CDTF">2021-10-12T10:03:00Z</dcterms:created>
  <dcterms:modified xsi:type="dcterms:W3CDTF">2021-10-21T21:50:00Z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