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954FA1">
                              <w:rPr>
                                <w:rFonts w:ascii="Calibri" w:hAnsi="Calibri"/>
                                <w:b/>
                                <w:sz w:val="22"/>
                                <w:szCs w:val="22"/>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954FA1">
                        <w:rPr>
                          <w:rFonts w:ascii="Calibri" w:hAnsi="Calibri"/>
                          <w:b/>
                          <w:sz w:val="22"/>
                          <w:szCs w:val="22"/>
                        </w:rPr>
                        <w:t xml:space="preserve"> 10</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A17799">
                              <w:rPr>
                                <w:rFonts w:ascii="Calibri" w:hAnsi="Calibri"/>
                                <w:sz w:val="22"/>
                                <w:szCs w:val="22"/>
                              </w:rPr>
                              <w:t xml:space="preserve"> 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30</w:t>
                            </w:r>
                            <w:r w:rsidR="00CB5E79" w:rsidRPr="00CB5E79">
                              <w:rPr>
                                <w:rFonts w:ascii="Calibri" w:hAnsi="Calibri"/>
                                <w:sz w:val="22"/>
                                <w:szCs w:val="22"/>
                                <w:vertAlign w:val="superscript"/>
                              </w:rPr>
                              <w:t>th</w:t>
                            </w:r>
                            <w:r w:rsidR="00CB5E79">
                              <w:rPr>
                                <w:rFonts w:ascii="Calibri" w:hAnsi="Calibri"/>
                                <w:sz w:val="22"/>
                                <w:szCs w:val="22"/>
                              </w:rPr>
                              <w:t xml:space="preserve"> July</w:t>
                            </w:r>
                            <w:r w:rsidR="00A17799">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t xml:space="preserve">   </w:t>
                            </w:r>
                            <w:r w:rsidR="00241344">
                              <w:rPr>
                                <w:rFonts w:ascii="Calibri" w:hAnsi="Calibri"/>
                                <w:sz w:val="22"/>
                                <w:szCs w:val="22"/>
                              </w:rPr>
                              <w:t>Local Quality Scheme 2018/19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Sophie Hudson</w:t>
                            </w:r>
                            <w:r w:rsidR="00645F53">
                              <w:rPr>
                                <w:rFonts w:ascii="Calibri" w:hAnsi="Calibri"/>
                                <w:sz w:val="22"/>
                                <w:szCs w:val="22"/>
                              </w:rPr>
                              <w:t xml:space="preserve"> – 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A17799">
                        <w:rPr>
                          <w:rFonts w:ascii="Calibri" w:hAnsi="Calibri"/>
                          <w:sz w:val="22"/>
                          <w:szCs w:val="22"/>
                        </w:rPr>
                        <w:t xml:space="preserve"> 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30</w:t>
                      </w:r>
                      <w:r w:rsidR="00CB5E79" w:rsidRPr="00CB5E79">
                        <w:rPr>
                          <w:rFonts w:ascii="Calibri" w:hAnsi="Calibri"/>
                          <w:sz w:val="22"/>
                          <w:szCs w:val="22"/>
                          <w:vertAlign w:val="superscript"/>
                        </w:rPr>
                        <w:t>th</w:t>
                      </w:r>
                      <w:r w:rsidR="00CB5E79">
                        <w:rPr>
                          <w:rFonts w:ascii="Calibri" w:hAnsi="Calibri"/>
                          <w:sz w:val="22"/>
                          <w:szCs w:val="22"/>
                        </w:rPr>
                        <w:t xml:space="preserve"> July</w:t>
                      </w:r>
                      <w:r w:rsidR="00A17799">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t xml:space="preserve">   </w:t>
                      </w:r>
                      <w:r w:rsidR="00241344">
                        <w:rPr>
                          <w:rFonts w:ascii="Calibri" w:hAnsi="Calibri"/>
                          <w:sz w:val="22"/>
                          <w:szCs w:val="22"/>
                        </w:rPr>
                        <w:t>Local Quality Scheme 2018/19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Sophie Hudson</w:t>
                      </w:r>
                      <w:r w:rsidR="00645F53">
                        <w:rPr>
                          <w:rFonts w:ascii="Calibri" w:hAnsi="Calibri"/>
                          <w:sz w:val="22"/>
                          <w:szCs w:val="22"/>
                        </w:rPr>
                        <w:t xml:space="preserve"> – Service Manager</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bookmarkStart w:id="0" w:name="_GoBack"/>
                            <w:bookmarkEnd w:id="0"/>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94740">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94740">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F4350F">
            <w:pPr>
              <w:pStyle w:val="NoSpacing"/>
              <w:rPr>
                <w:rFonts w:cs="Calibri"/>
                <w:b/>
                <w:sz w:val="20"/>
                <w:szCs w:val="20"/>
              </w:rPr>
            </w:pPr>
          </w:p>
        </w:tc>
        <w:tc>
          <w:tcPr>
            <w:tcW w:w="3817" w:type="pct"/>
            <w:gridSpan w:val="2"/>
            <w:shd w:val="clear" w:color="auto" w:fill="auto"/>
          </w:tcPr>
          <w:p w:rsidR="00EB1581" w:rsidRPr="00073E3B" w:rsidRDefault="00073E3B" w:rsidP="00073E3B">
            <w:pPr>
              <w:pStyle w:val="Default"/>
              <w:jc w:val="both"/>
              <w:rPr>
                <w:rFonts w:ascii="Calibri" w:hAnsi="Calibri" w:cs="Calibri"/>
                <w:sz w:val="20"/>
                <w:szCs w:val="20"/>
              </w:rPr>
            </w:pPr>
            <w:r>
              <w:rPr>
                <w:rFonts w:ascii="Calibri" w:hAnsi="Calibri" w:cs="Calibri"/>
                <w:sz w:val="20"/>
                <w:szCs w:val="20"/>
              </w:rPr>
              <w:t xml:space="preserve">The local quality scheme for 2018/19 has now been concluded and this </w:t>
            </w:r>
            <w:r w:rsidR="00EB1581" w:rsidRPr="00073E3B">
              <w:rPr>
                <w:rFonts w:ascii="Calibri" w:hAnsi="Calibri" w:cs="Calibri"/>
                <w:sz w:val="20"/>
                <w:szCs w:val="20"/>
              </w:rPr>
              <w:t xml:space="preserve">report has been prepared to </w:t>
            </w:r>
            <w:r w:rsidR="00645F53" w:rsidRPr="00073E3B">
              <w:rPr>
                <w:rFonts w:ascii="Calibri" w:hAnsi="Calibri" w:cs="Calibri"/>
                <w:sz w:val="20"/>
                <w:szCs w:val="20"/>
              </w:rPr>
              <w:t>update the Committee</w:t>
            </w:r>
            <w:r w:rsidRPr="00073E3B">
              <w:rPr>
                <w:rFonts w:ascii="Calibri" w:hAnsi="Calibri" w:cs="Calibri"/>
                <w:sz w:val="20"/>
                <w:szCs w:val="20"/>
              </w:rPr>
              <w:t xml:space="preserve"> regarding </w:t>
            </w:r>
            <w:r>
              <w:rPr>
                <w:rFonts w:ascii="Calibri" w:hAnsi="Calibri" w:cs="Calibri"/>
                <w:sz w:val="20"/>
                <w:szCs w:val="20"/>
              </w:rPr>
              <w:t xml:space="preserve">the achievement of the Federations </w:t>
            </w:r>
            <w:r w:rsidRPr="00073E3B">
              <w:rPr>
                <w:rFonts w:ascii="Calibri" w:hAnsi="Calibri" w:cs="Calibri"/>
                <w:sz w:val="20"/>
                <w:szCs w:val="20"/>
              </w:rPr>
              <w:t xml:space="preserve">against </w:t>
            </w:r>
            <w:r>
              <w:rPr>
                <w:rFonts w:ascii="Calibri" w:hAnsi="Calibri" w:cs="Calibri"/>
                <w:sz w:val="20"/>
                <w:szCs w:val="20"/>
              </w:rPr>
              <w:t xml:space="preserve">the requirements of the </w:t>
            </w:r>
            <w:r w:rsidR="00EB1581" w:rsidRPr="00073E3B">
              <w:rPr>
                <w:rFonts w:ascii="Calibri" w:hAnsi="Calibri" w:cs="Calibri"/>
                <w:sz w:val="20"/>
                <w:szCs w:val="20"/>
              </w:rPr>
              <w:t xml:space="preserve">2018/19 </w:t>
            </w:r>
            <w:r w:rsidR="00241344" w:rsidRPr="00073E3B">
              <w:rPr>
                <w:rFonts w:ascii="Calibri" w:hAnsi="Calibri" w:cs="Calibri"/>
                <w:sz w:val="20"/>
                <w:szCs w:val="20"/>
              </w:rPr>
              <w:t>scheme</w:t>
            </w:r>
            <w:r w:rsidR="00EB1581" w:rsidRPr="00073E3B">
              <w:rPr>
                <w:rFonts w:ascii="Calibri" w:hAnsi="Calibri" w:cs="Calibri"/>
                <w:sz w:val="20"/>
                <w:szCs w:val="20"/>
              </w:rPr>
              <w:t xml:space="preserve">. </w:t>
            </w:r>
          </w:p>
          <w:p w:rsidR="00645F53" w:rsidRDefault="00645F53" w:rsidP="00EB1581">
            <w:pPr>
              <w:pStyle w:val="TableParagraph"/>
              <w:ind w:right="98"/>
              <w:jc w:val="both"/>
              <w:rPr>
                <w:sz w:val="20"/>
              </w:rPr>
            </w:pPr>
          </w:p>
          <w:p w:rsidR="00CC623F" w:rsidRDefault="00CC623F" w:rsidP="00CC623F">
            <w:pPr>
              <w:pStyle w:val="Default"/>
              <w:jc w:val="both"/>
              <w:rPr>
                <w:rFonts w:ascii="Calibri" w:hAnsi="Calibri" w:cs="Calibri"/>
                <w:sz w:val="20"/>
                <w:szCs w:val="20"/>
              </w:rPr>
            </w:pPr>
            <w:r>
              <w:rPr>
                <w:rFonts w:ascii="Calibri" w:hAnsi="Calibri" w:cs="Calibri"/>
                <w:sz w:val="20"/>
                <w:szCs w:val="20"/>
              </w:rPr>
              <w:t xml:space="preserve">As with the previous year, the scheme focused on joint working between Practices at Federation level, to encourage peer review, shared learning and collaboration to support quality improvement. </w:t>
            </w:r>
          </w:p>
          <w:p w:rsidR="00CC623F" w:rsidRDefault="00CC623F" w:rsidP="00CC623F">
            <w:pPr>
              <w:pStyle w:val="Default"/>
              <w:jc w:val="both"/>
              <w:rPr>
                <w:rFonts w:ascii="Calibri" w:hAnsi="Calibri" w:cs="Calibri"/>
                <w:sz w:val="20"/>
                <w:szCs w:val="20"/>
              </w:rPr>
            </w:pPr>
          </w:p>
          <w:p w:rsidR="00CC623F" w:rsidRDefault="00CC623F" w:rsidP="00CC623F">
            <w:pPr>
              <w:pStyle w:val="Default"/>
              <w:jc w:val="both"/>
              <w:rPr>
                <w:rFonts w:ascii="Calibri" w:hAnsi="Calibri" w:cs="Calibri"/>
                <w:sz w:val="20"/>
                <w:szCs w:val="20"/>
              </w:rPr>
            </w:pPr>
            <w:r>
              <w:rPr>
                <w:rFonts w:ascii="Calibri" w:hAnsi="Calibri" w:cs="Calibri"/>
                <w:sz w:val="20"/>
                <w:szCs w:val="20"/>
              </w:rPr>
              <w:t xml:space="preserve">The scheme was broken </w:t>
            </w:r>
            <w:r w:rsidR="00073E3B">
              <w:rPr>
                <w:rFonts w:ascii="Calibri" w:hAnsi="Calibri" w:cs="Calibri"/>
                <w:sz w:val="20"/>
                <w:szCs w:val="20"/>
              </w:rPr>
              <w:t xml:space="preserve">down </w:t>
            </w:r>
            <w:r>
              <w:rPr>
                <w:rFonts w:ascii="Calibri" w:hAnsi="Calibri" w:cs="Calibri"/>
                <w:sz w:val="20"/>
                <w:szCs w:val="20"/>
              </w:rPr>
              <w:t>into 4 key areas:</w:t>
            </w:r>
          </w:p>
          <w:p w:rsidR="00CC623F" w:rsidRDefault="00CC623F" w:rsidP="00CC623F">
            <w:pPr>
              <w:pStyle w:val="Default"/>
              <w:numPr>
                <w:ilvl w:val="0"/>
                <w:numId w:val="11"/>
              </w:numPr>
              <w:jc w:val="both"/>
              <w:rPr>
                <w:rFonts w:ascii="Calibri" w:hAnsi="Calibri" w:cs="Calibri"/>
                <w:sz w:val="20"/>
                <w:szCs w:val="20"/>
              </w:rPr>
            </w:pPr>
            <w:r>
              <w:rPr>
                <w:rFonts w:ascii="Calibri" w:hAnsi="Calibri" w:cs="Calibri"/>
                <w:sz w:val="20"/>
                <w:szCs w:val="20"/>
              </w:rPr>
              <w:t xml:space="preserve">Infection Prevention and Control </w:t>
            </w:r>
          </w:p>
          <w:p w:rsidR="00CC623F" w:rsidRDefault="00CC623F" w:rsidP="00CC623F">
            <w:pPr>
              <w:pStyle w:val="Default"/>
              <w:numPr>
                <w:ilvl w:val="1"/>
                <w:numId w:val="11"/>
              </w:numPr>
              <w:jc w:val="both"/>
              <w:rPr>
                <w:rFonts w:ascii="Calibri" w:hAnsi="Calibri" w:cs="Calibri"/>
                <w:sz w:val="20"/>
                <w:szCs w:val="20"/>
              </w:rPr>
            </w:pPr>
            <w:r>
              <w:rPr>
                <w:rFonts w:ascii="Calibri" w:hAnsi="Calibri" w:cs="Calibri"/>
                <w:sz w:val="20"/>
                <w:szCs w:val="20"/>
              </w:rPr>
              <w:t>Part a – Reduction in Gram Negative infections</w:t>
            </w:r>
          </w:p>
          <w:p w:rsidR="00CC623F" w:rsidRDefault="00CC623F" w:rsidP="00CC623F">
            <w:pPr>
              <w:pStyle w:val="Default"/>
              <w:numPr>
                <w:ilvl w:val="1"/>
                <w:numId w:val="11"/>
              </w:numPr>
              <w:jc w:val="both"/>
              <w:rPr>
                <w:rFonts w:ascii="Calibri" w:hAnsi="Calibri" w:cs="Calibri"/>
                <w:sz w:val="20"/>
                <w:szCs w:val="20"/>
              </w:rPr>
            </w:pPr>
            <w:r>
              <w:rPr>
                <w:rFonts w:ascii="Calibri" w:hAnsi="Calibri" w:cs="Calibri"/>
                <w:sz w:val="20"/>
                <w:szCs w:val="20"/>
              </w:rPr>
              <w:t>Part b – Sepsis</w:t>
            </w:r>
          </w:p>
          <w:p w:rsidR="00CC623F" w:rsidRDefault="00CC623F" w:rsidP="00CC623F">
            <w:pPr>
              <w:pStyle w:val="Default"/>
              <w:numPr>
                <w:ilvl w:val="0"/>
                <w:numId w:val="11"/>
              </w:numPr>
              <w:jc w:val="both"/>
              <w:rPr>
                <w:rFonts w:ascii="Calibri" w:hAnsi="Calibri" w:cs="Calibri"/>
                <w:sz w:val="20"/>
                <w:szCs w:val="20"/>
              </w:rPr>
            </w:pPr>
            <w:r>
              <w:rPr>
                <w:rFonts w:ascii="Calibri" w:hAnsi="Calibri" w:cs="Calibri"/>
                <w:sz w:val="20"/>
                <w:szCs w:val="20"/>
              </w:rPr>
              <w:t>Mortality Reviews</w:t>
            </w:r>
          </w:p>
          <w:p w:rsidR="00CC623F" w:rsidRDefault="00CC623F" w:rsidP="00CC623F">
            <w:pPr>
              <w:pStyle w:val="Default"/>
              <w:numPr>
                <w:ilvl w:val="0"/>
                <w:numId w:val="11"/>
              </w:numPr>
              <w:jc w:val="both"/>
              <w:rPr>
                <w:rFonts w:ascii="Calibri" w:hAnsi="Calibri" w:cs="Calibri"/>
                <w:sz w:val="20"/>
                <w:szCs w:val="20"/>
              </w:rPr>
            </w:pPr>
            <w:r>
              <w:rPr>
                <w:rFonts w:ascii="Calibri" w:hAnsi="Calibri" w:cs="Calibri"/>
                <w:sz w:val="20"/>
                <w:szCs w:val="20"/>
              </w:rPr>
              <w:t>Referral management</w:t>
            </w:r>
          </w:p>
          <w:p w:rsidR="00CC623F" w:rsidRDefault="00CC623F" w:rsidP="00CC623F">
            <w:pPr>
              <w:pStyle w:val="Default"/>
              <w:numPr>
                <w:ilvl w:val="0"/>
                <w:numId w:val="11"/>
              </w:numPr>
              <w:jc w:val="both"/>
              <w:rPr>
                <w:rFonts w:ascii="Calibri" w:hAnsi="Calibri" w:cs="Calibri"/>
                <w:sz w:val="20"/>
                <w:szCs w:val="20"/>
              </w:rPr>
            </w:pPr>
            <w:r>
              <w:rPr>
                <w:rFonts w:ascii="Calibri" w:hAnsi="Calibri" w:cs="Calibri"/>
                <w:sz w:val="20"/>
                <w:szCs w:val="20"/>
              </w:rPr>
              <w:t xml:space="preserve">Medicines optimisation </w:t>
            </w:r>
          </w:p>
          <w:p w:rsidR="00CC623F" w:rsidRDefault="00CC623F" w:rsidP="00CC623F">
            <w:pPr>
              <w:pStyle w:val="Default"/>
              <w:jc w:val="both"/>
              <w:rPr>
                <w:rFonts w:ascii="Calibri" w:hAnsi="Calibri" w:cs="Calibri"/>
                <w:sz w:val="20"/>
                <w:szCs w:val="20"/>
              </w:rPr>
            </w:pPr>
          </w:p>
          <w:p w:rsidR="00CC623F" w:rsidRDefault="00CC623F" w:rsidP="00CC623F">
            <w:pPr>
              <w:pStyle w:val="Default"/>
              <w:jc w:val="both"/>
              <w:rPr>
                <w:rFonts w:ascii="Calibri" w:hAnsi="Calibri" w:cs="Calibri"/>
                <w:sz w:val="20"/>
                <w:szCs w:val="20"/>
              </w:rPr>
            </w:pPr>
            <w:r>
              <w:rPr>
                <w:rFonts w:ascii="Calibri" w:hAnsi="Calibri" w:cs="Calibri"/>
                <w:sz w:val="20"/>
                <w:szCs w:val="20"/>
              </w:rPr>
              <w:t>Mandatory evidence was specified under the scheme details, and the Federations were also required to share findings for some elements of the scheme with other Federations through presentations at the March</w:t>
            </w:r>
            <w:r w:rsidR="00073E3B">
              <w:rPr>
                <w:rFonts w:ascii="Calibri" w:hAnsi="Calibri" w:cs="Calibri"/>
                <w:sz w:val="20"/>
                <w:szCs w:val="20"/>
              </w:rPr>
              <w:t xml:space="preserve"> 2019</w:t>
            </w:r>
            <w:r>
              <w:rPr>
                <w:rFonts w:ascii="Calibri" w:hAnsi="Calibri" w:cs="Calibri"/>
                <w:sz w:val="20"/>
                <w:szCs w:val="20"/>
              </w:rPr>
              <w:t xml:space="preserve"> Protected Learning Time events.</w:t>
            </w:r>
          </w:p>
          <w:p w:rsidR="00CC623F" w:rsidRDefault="00CC623F" w:rsidP="00CC623F">
            <w:pPr>
              <w:pStyle w:val="Default"/>
              <w:jc w:val="both"/>
              <w:rPr>
                <w:rFonts w:ascii="Calibri" w:hAnsi="Calibri" w:cs="Calibri"/>
                <w:sz w:val="20"/>
                <w:szCs w:val="20"/>
              </w:rPr>
            </w:pPr>
          </w:p>
          <w:p w:rsidR="00CC623F" w:rsidRDefault="00CC623F" w:rsidP="00CC623F">
            <w:pPr>
              <w:pStyle w:val="Default"/>
              <w:jc w:val="both"/>
              <w:rPr>
                <w:rFonts w:ascii="Calibri" w:hAnsi="Calibri" w:cs="Calibri"/>
                <w:sz w:val="20"/>
                <w:szCs w:val="20"/>
              </w:rPr>
            </w:pPr>
            <w:r>
              <w:rPr>
                <w:rFonts w:ascii="Calibri" w:hAnsi="Calibri" w:cs="Calibri"/>
                <w:sz w:val="20"/>
                <w:szCs w:val="20"/>
              </w:rPr>
              <w:t>Progress of the Federations has been assessed at mid-year review meeting</w:t>
            </w:r>
            <w:r w:rsidR="00F4350F">
              <w:rPr>
                <w:rFonts w:ascii="Calibri" w:hAnsi="Calibri" w:cs="Calibri"/>
                <w:sz w:val="20"/>
                <w:szCs w:val="20"/>
              </w:rPr>
              <w:t>s alongside the evidence that has been</w:t>
            </w:r>
            <w:r>
              <w:rPr>
                <w:rFonts w:ascii="Calibri" w:hAnsi="Calibri" w:cs="Calibri"/>
                <w:sz w:val="20"/>
                <w:szCs w:val="20"/>
              </w:rPr>
              <w:t xml:space="preserve"> provided by the Federations.</w:t>
            </w:r>
          </w:p>
          <w:p w:rsidR="002054A0" w:rsidRPr="000D1B0D" w:rsidRDefault="002054A0" w:rsidP="00F4350F">
            <w:pPr>
              <w:pStyle w:val="TableParagraph"/>
              <w:ind w:left="0" w:right="98"/>
              <w:jc w:val="both"/>
              <w:rPr>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EB1581" w:rsidRDefault="00EB1581" w:rsidP="00EB1581">
            <w:pPr>
              <w:pStyle w:val="TableParagraph"/>
              <w:spacing w:line="243" w:lineRule="exact"/>
              <w:rPr>
                <w:sz w:val="20"/>
              </w:rPr>
            </w:pPr>
            <w:r>
              <w:rPr>
                <w:sz w:val="20"/>
              </w:rPr>
              <w:t>The Primary Care Commissioning Committee is asked to:</w:t>
            </w:r>
          </w:p>
          <w:p w:rsidR="00EB1581" w:rsidRDefault="00EB1581" w:rsidP="00EB1581">
            <w:pPr>
              <w:pStyle w:val="TableParagraph"/>
              <w:spacing w:before="2"/>
              <w:ind w:left="0"/>
              <w:rPr>
                <w:rFonts w:ascii="Times New Roman"/>
                <w:sz w:val="21"/>
              </w:rPr>
            </w:pPr>
          </w:p>
          <w:p w:rsidR="00645F53" w:rsidRPr="00645F53" w:rsidRDefault="00EB1581" w:rsidP="00EB1581">
            <w:pPr>
              <w:pStyle w:val="TableParagraph"/>
              <w:numPr>
                <w:ilvl w:val="0"/>
                <w:numId w:val="7"/>
              </w:numPr>
              <w:tabs>
                <w:tab w:val="left" w:pos="827"/>
                <w:tab w:val="left" w:pos="828"/>
              </w:tabs>
              <w:spacing w:before="1" w:line="255" w:lineRule="exact"/>
              <w:jc w:val="both"/>
              <w:rPr>
                <w:sz w:val="20"/>
                <w:szCs w:val="20"/>
              </w:rPr>
            </w:pPr>
            <w:r w:rsidRPr="00645F53">
              <w:rPr>
                <w:sz w:val="20"/>
              </w:rPr>
              <w:t xml:space="preserve">Note the </w:t>
            </w:r>
            <w:r w:rsidR="00645F53" w:rsidRPr="00645F53">
              <w:rPr>
                <w:sz w:val="20"/>
              </w:rPr>
              <w:t xml:space="preserve">summary of the </w:t>
            </w:r>
            <w:r w:rsidR="00241344">
              <w:rPr>
                <w:sz w:val="20"/>
              </w:rPr>
              <w:t>submissions</w:t>
            </w:r>
            <w:r w:rsidR="00645F53">
              <w:rPr>
                <w:sz w:val="20"/>
              </w:rPr>
              <w:t xml:space="preserve"> by the Federations</w:t>
            </w:r>
          </w:p>
          <w:p w:rsidR="009D4EDC" w:rsidRPr="00645F53" w:rsidRDefault="00645F53" w:rsidP="000D1B0D">
            <w:pPr>
              <w:pStyle w:val="TableParagraph"/>
              <w:numPr>
                <w:ilvl w:val="0"/>
                <w:numId w:val="7"/>
              </w:numPr>
              <w:tabs>
                <w:tab w:val="left" w:pos="827"/>
                <w:tab w:val="left" w:pos="828"/>
              </w:tabs>
              <w:spacing w:before="1" w:line="255" w:lineRule="exact"/>
              <w:jc w:val="both"/>
              <w:rPr>
                <w:sz w:val="20"/>
                <w:szCs w:val="20"/>
              </w:rPr>
            </w:pPr>
            <w:r>
              <w:rPr>
                <w:sz w:val="20"/>
              </w:rPr>
              <w:t xml:space="preserve">Agree </w:t>
            </w:r>
            <w:r w:rsidR="00073E3B">
              <w:rPr>
                <w:sz w:val="20"/>
              </w:rPr>
              <w:t xml:space="preserve">the approach </w:t>
            </w:r>
            <w:r w:rsidR="00F4350F">
              <w:rPr>
                <w:sz w:val="20"/>
              </w:rPr>
              <w:t>where</w:t>
            </w:r>
            <w:r w:rsidR="00241344">
              <w:rPr>
                <w:sz w:val="20"/>
              </w:rPr>
              <w:t xml:space="preserve"> </w:t>
            </w:r>
            <w:r>
              <w:rPr>
                <w:sz w:val="20"/>
              </w:rPr>
              <w:t xml:space="preserve">claw back </w:t>
            </w:r>
            <w:r w:rsidR="00737537">
              <w:rPr>
                <w:sz w:val="20"/>
              </w:rPr>
              <w:t xml:space="preserve">of funding </w:t>
            </w:r>
            <w:r>
              <w:rPr>
                <w:sz w:val="20"/>
              </w:rPr>
              <w:t>is required</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645F53" w:rsidP="000D1B0D">
            <w:pPr>
              <w:pStyle w:val="Default"/>
              <w:jc w:val="both"/>
              <w:rPr>
                <w:rFonts w:ascii="Calibri" w:hAnsi="Calibri" w:cs="Calibri"/>
                <w:sz w:val="20"/>
                <w:szCs w:val="20"/>
              </w:rPr>
            </w:pPr>
            <w:r>
              <w:rPr>
                <w:rFonts w:ascii="Calibri" w:hAnsi="Calibri" w:cs="Calibri"/>
                <w:sz w:val="20"/>
                <w:szCs w:val="20"/>
              </w:rPr>
              <w:t>N/A</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645F53" w:rsidP="000D1B0D">
            <w:pPr>
              <w:pStyle w:val="Default"/>
              <w:jc w:val="both"/>
              <w:rPr>
                <w:rFonts w:ascii="Calibri" w:hAnsi="Calibri" w:cs="Calibri"/>
                <w:sz w:val="20"/>
                <w:szCs w:val="20"/>
              </w:rPr>
            </w:pPr>
            <w:r>
              <w:rPr>
                <w:rFonts w:ascii="Calibri" w:hAnsi="Calibri" w:cs="Calibri"/>
                <w:sz w:val="20"/>
                <w:szCs w:val="20"/>
              </w:rPr>
              <w:t>N/A</w:t>
            </w: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lastRenderedPageBreak/>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054A0" w:rsidRPr="000D1B0D" w:rsidRDefault="00645F53" w:rsidP="000D1B0D">
            <w:pPr>
              <w:pStyle w:val="Default"/>
              <w:jc w:val="both"/>
              <w:rPr>
                <w:rFonts w:ascii="Calibri" w:hAnsi="Calibri" w:cs="Calibri"/>
                <w:sz w:val="20"/>
                <w:szCs w:val="20"/>
              </w:rPr>
            </w:pPr>
            <w:r>
              <w:rPr>
                <w:rFonts w:ascii="Calibri" w:hAnsi="Calibri" w:cs="Calibri"/>
                <w:sz w:val="20"/>
                <w:szCs w:val="20"/>
              </w:rPr>
              <w:t>N/A</w:t>
            </w: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645F53"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645F53">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Pr="00CC623F" w:rsidRDefault="00CC623F" w:rsidP="00CC623F">
            <w:pPr>
              <w:pStyle w:val="Default"/>
              <w:jc w:val="both"/>
              <w:rPr>
                <w:rFonts w:ascii="Calibri" w:hAnsi="Calibri" w:cs="Calibri"/>
                <w:sz w:val="20"/>
                <w:szCs w:val="20"/>
              </w:rPr>
            </w:pPr>
            <w:r>
              <w:rPr>
                <w:rFonts w:ascii="Calibri" w:hAnsi="Calibri" w:cs="Calibri"/>
                <w:sz w:val="20"/>
                <w:szCs w:val="20"/>
              </w:rPr>
              <w:t>The funding available for the local quality scheme was agreed at £1.98 per head of population per annum.  This formed part of the primary care budgets for 2018/19.</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D74C39">
                  <w:rPr>
                    <w:rFonts w:ascii="MS Gothic" w:eastAsia="MS Gothic" w:hAnsi="MS Gothic" w:cs="Calibri" w:hint="eastAsia"/>
                    <w:sz w:val="20"/>
                    <w:szCs w:val="20"/>
                  </w:rPr>
                  <w:t>☒</w:t>
                </w:r>
              </w:sdtContent>
            </w:sdt>
          </w:p>
          <w:p w:rsidR="00246EFA" w:rsidRDefault="00F4350F" w:rsidP="00D42959">
            <w:pPr>
              <w:pStyle w:val="Default"/>
              <w:jc w:val="both"/>
              <w:rPr>
                <w:rFonts w:ascii="Calibri" w:hAnsi="Calibri" w:cs="Calibri"/>
                <w:sz w:val="20"/>
                <w:szCs w:val="20"/>
              </w:rPr>
            </w:pPr>
            <w:r>
              <w:rPr>
                <w:rFonts w:ascii="Calibri" w:hAnsi="Calibri" w:cs="Calibri"/>
                <w:sz w:val="20"/>
                <w:szCs w:val="20"/>
              </w:rPr>
              <w:t xml:space="preserve">The outcomes put forwards, </w:t>
            </w:r>
            <w:r w:rsidR="00D42959" w:rsidRPr="00D42959">
              <w:rPr>
                <w:rFonts w:ascii="Calibri" w:hAnsi="Calibri" w:cs="Calibri"/>
                <w:sz w:val="20"/>
                <w:szCs w:val="20"/>
              </w:rPr>
              <w:t>have</w:t>
            </w:r>
            <w:r>
              <w:rPr>
                <w:rFonts w:ascii="Calibri" w:hAnsi="Calibri" w:cs="Calibri"/>
                <w:sz w:val="20"/>
                <w:szCs w:val="20"/>
              </w:rPr>
              <w:t xml:space="preserve"> had</w:t>
            </w:r>
            <w:r w:rsidR="00D42959" w:rsidRPr="00D42959">
              <w:rPr>
                <w:rFonts w:ascii="Calibri" w:hAnsi="Calibri" w:cs="Calibri"/>
                <w:sz w:val="20"/>
                <w:szCs w:val="20"/>
              </w:rPr>
              <w:t xml:space="preserve"> a positive impact in terms of enabling providers to </w:t>
            </w:r>
            <w:r>
              <w:rPr>
                <w:rFonts w:ascii="Calibri" w:hAnsi="Calibri" w:cs="Calibri"/>
                <w:sz w:val="20"/>
                <w:szCs w:val="20"/>
              </w:rPr>
              <w:t>work in a more collaborative approach to meet clinical needs of patients.</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1A2A95"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1A2A9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1A2A95"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954FA1"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1A2A95">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D74C39" w:rsidRDefault="00EB1581" w:rsidP="007B12B5">
            <w:pPr>
              <w:pStyle w:val="Default"/>
              <w:jc w:val="both"/>
              <w:rPr>
                <w:rFonts w:asciiTheme="minorHAnsi" w:hAnsiTheme="minorHAnsi" w:cstheme="minorHAnsi"/>
                <w:sz w:val="20"/>
                <w:szCs w:val="20"/>
              </w:rPr>
            </w:pPr>
            <w:r w:rsidRPr="00D74C39">
              <w:rPr>
                <w:rFonts w:asciiTheme="minorHAnsi" w:hAnsiTheme="minorHAnsi" w:cstheme="minorHAnsi"/>
                <w:sz w:val="20"/>
              </w:rPr>
              <w:t xml:space="preserve">The GPs on the Primary Care Commissioning Committee are part of one of the Federations that </w:t>
            </w:r>
            <w:r w:rsidR="007B12B5">
              <w:rPr>
                <w:rFonts w:asciiTheme="minorHAnsi" w:hAnsiTheme="minorHAnsi" w:cstheme="minorHAnsi"/>
                <w:sz w:val="20"/>
              </w:rPr>
              <w:t>have</w:t>
            </w:r>
            <w:r w:rsidR="00CC623F">
              <w:rPr>
                <w:rFonts w:asciiTheme="minorHAnsi" w:hAnsiTheme="minorHAnsi" w:cstheme="minorHAnsi"/>
                <w:sz w:val="20"/>
              </w:rPr>
              <w:t xml:space="preserve"> benefit</w:t>
            </w:r>
            <w:r w:rsidR="007B12B5">
              <w:rPr>
                <w:rFonts w:asciiTheme="minorHAnsi" w:hAnsiTheme="minorHAnsi" w:cstheme="minorHAnsi"/>
                <w:sz w:val="20"/>
              </w:rPr>
              <w:t>ted</w:t>
            </w:r>
            <w:r w:rsidR="00CC623F">
              <w:rPr>
                <w:rFonts w:asciiTheme="minorHAnsi" w:hAnsiTheme="minorHAnsi" w:cstheme="minorHAnsi"/>
                <w:sz w:val="20"/>
              </w:rPr>
              <w:t xml:space="preserve"> from the LQS</w:t>
            </w:r>
            <w:r w:rsidRPr="00D74C39">
              <w:rPr>
                <w:rFonts w:asciiTheme="minorHAnsi" w:hAnsiTheme="minorHAnsi" w:cstheme="minorHAnsi"/>
                <w:sz w:val="20"/>
              </w:rPr>
              <w:t xml:space="preserve"> funding</w:t>
            </w:r>
            <w:r w:rsidR="007B12B5">
              <w:rPr>
                <w:rFonts w:asciiTheme="minorHAnsi" w:hAnsiTheme="minorHAnsi" w:cstheme="minorHAnsi"/>
                <w:sz w:val="20"/>
              </w:rPr>
              <w:t xml:space="preserve"> and could be affected by clawback decisions</w:t>
            </w:r>
            <w:r w:rsidRPr="00D74C39">
              <w:rPr>
                <w:rFonts w:asciiTheme="minorHAnsi" w:hAnsiTheme="minorHAnsi" w:cstheme="minorHAnsi"/>
                <w:sz w:val="20"/>
              </w:rPr>
              <w:t>.</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7663C8" w:rsidRPr="00793F90" w:rsidRDefault="007663C8" w:rsidP="00793F90">
            <w:pPr>
              <w:autoSpaceDE w:val="0"/>
              <w:autoSpaceDN w:val="0"/>
              <w:rPr>
                <w:rFonts w:ascii="Calibri" w:hAnsi="Calibri" w:cs="Calibri"/>
                <w:b/>
                <w:color w:val="FF0000"/>
                <w:sz w:val="22"/>
                <w:szCs w:val="22"/>
              </w:rPr>
            </w:pPr>
          </w:p>
          <w:p w:rsidR="006330C7" w:rsidRDefault="00954FA1"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1A2A9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954FA1"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1A2A95">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0"/>
                  <w14:checkedState w14:val="2612" w14:font="MS Gothic"/>
                  <w14:uncheckedState w14:val="2610" w14:font="MS Gothic"/>
                </w14:checkbox>
              </w:sdtPr>
              <w:sdtEndPr/>
              <w:sdtContent>
                <w:r w:rsidR="00144ED4">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1A2A95" w:rsidRPr="000D1B0D" w:rsidRDefault="001A2A95" w:rsidP="000D1B0D">
            <w:pPr>
              <w:pStyle w:val="Default"/>
              <w:jc w:val="both"/>
              <w:rPr>
                <w:rFonts w:ascii="Calibri" w:hAnsi="Calibri" w:cs="Calibri"/>
                <w:b/>
                <w:sz w:val="20"/>
                <w:szCs w:val="20"/>
              </w:rPr>
            </w:pP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954FA1"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EB1581" w:rsidRPr="001A2A95" w:rsidRDefault="00EB1581" w:rsidP="00EB1581">
            <w:pPr>
              <w:pStyle w:val="TableParagraph"/>
              <w:spacing w:before="42" w:line="490" w:lineRule="exact"/>
              <w:ind w:right="1294"/>
              <w:rPr>
                <w:rFonts w:asciiTheme="minorHAnsi" w:hAnsiTheme="minorHAnsi" w:cstheme="minorHAnsi"/>
                <w:sz w:val="20"/>
              </w:rPr>
            </w:pPr>
            <w:r w:rsidRPr="001A2A95">
              <w:rPr>
                <w:rFonts w:asciiTheme="minorHAnsi" w:hAnsiTheme="minorHAnsi" w:cstheme="minorHAnsi"/>
                <w:sz w:val="20"/>
              </w:rPr>
              <w:t>Improved access to services</w:t>
            </w:r>
          </w:p>
          <w:p w:rsidR="00006E07" w:rsidRPr="000D1B0D" w:rsidRDefault="00D74C39" w:rsidP="00EB1581">
            <w:pPr>
              <w:pStyle w:val="Default"/>
              <w:jc w:val="both"/>
              <w:rPr>
                <w:rFonts w:ascii="Calibri" w:hAnsi="Calibri" w:cs="Calibri"/>
                <w:sz w:val="20"/>
                <w:szCs w:val="20"/>
              </w:rPr>
            </w:pPr>
            <w:r>
              <w:rPr>
                <w:rFonts w:asciiTheme="minorHAnsi" w:hAnsiTheme="minorHAnsi" w:cstheme="minorHAnsi"/>
                <w:sz w:val="20"/>
              </w:rPr>
              <w:t xml:space="preserve">   </w:t>
            </w:r>
            <w:r w:rsidR="00EB1581" w:rsidRPr="001A2A95">
              <w:rPr>
                <w:rFonts w:asciiTheme="minorHAnsi" w:hAnsiTheme="minorHAnsi" w:cstheme="minorHAnsi"/>
                <w:sz w:val="20"/>
              </w:rPr>
              <w:t>Improved quality</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72520E"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Acrobat.Document.DC" ShapeID="_x0000_i1025" DrawAspect="Icon" ObjectID="_1625576889" r:id="rId11"/>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3A57B8" w:rsidRDefault="003A57B8"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F4350F" w:rsidRDefault="00F4350F" w:rsidP="00D3211A">
      <w:pPr>
        <w:pStyle w:val="Default"/>
        <w:jc w:val="both"/>
        <w:rPr>
          <w:rFonts w:ascii="Calibri" w:hAnsi="Calibri" w:cs="Calibri"/>
          <w:sz w:val="20"/>
          <w:szCs w:val="20"/>
        </w:rPr>
      </w:pPr>
    </w:p>
    <w:p w:rsidR="003A57B8" w:rsidRPr="00E969FA" w:rsidRDefault="00CC623F" w:rsidP="00E969FA">
      <w:pPr>
        <w:pStyle w:val="Default"/>
        <w:jc w:val="center"/>
        <w:rPr>
          <w:rFonts w:ascii="Calibri" w:hAnsi="Calibri" w:cs="Calibri"/>
          <w:b/>
          <w:sz w:val="22"/>
          <w:szCs w:val="20"/>
        </w:rPr>
      </w:pPr>
      <w:r w:rsidRPr="00E969FA">
        <w:rPr>
          <w:rFonts w:ascii="Calibri" w:hAnsi="Calibri" w:cs="Calibri"/>
          <w:b/>
          <w:sz w:val="22"/>
          <w:szCs w:val="20"/>
        </w:rPr>
        <w:t>Local Quality Scheme</w:t>
      </w:r>
      <w:r w:rsidR="004930EB" w:rsidRPr="00E969FA">
        <w:rPr>
          <w:rFonts w:ascii="Calibri" w:hAnsi="Calibri" w:cs="Calibri"/>
          <w:b/>
          <w:sz w:val="22"/>
          <w:szCs w:val="20"/>
        </w:rPr>
        <w:t xml:space="preserve"> </w:t>
      </w:r>
      <w:r w:rsidR="00E969FA">
        <w:rPr>
          <w:rFonts w:ascii="Calibri" w:hAnsi="Calibri" w:cs="Calibri"/>
          <w:b/>
          <w:sz w:val="22"/>
          <w:szCs w:val="20"/>
        </w:rPr>
        <w:t>2018/19 - Assessment</w:t>
      </w:r>
    </w:p>
    <w:p w:rsidR="003A57B8" w:rsidRDefault="003A57B8" w:rsidP="00D3211A">
      <w:pPr>
        <w:pStyle w:val="Default"/>
        <w:jc w:val="both"/>
        <w:rPr>
          <w:rFonts w:ascii="Calibri" w:hAnsi="Calibri" w:cs="Calibri"/>
          <w:b/>
          <w:sz w:val="20"/>
          <w:szCs w:val="20"/>
        </w:rPr>
      </w:pPr>
    </w:p>
    <w:p w:rsidR="00E969FA" w:rsidRPr="00E969FA" w:rsidRDefault="00E969FA" w:rsidP="00D3211A">
      <w:pPr>
        <w:pStyle w:val="Default"/>
        <w:jc w:val="both"/>
        <w:rPr>
          <w:rFonts w:asciiTheme="minorHAnsi" w:hAnsiTheme="minorHAnsi" w:cstheme="minorHAnsi"/>
          <w:b/>
          <w:sz w:val="20"/>
        </w:rPr>
      </w:pPr>
      <w:r w:rsidRPr="00E969FA">
        <w:rPr>
          <w:rFonts w:asciiTheme="minorHAnsi" w:hAnsiTheme="minorHAnsi" w:cstheme="minorHAnsi"/>
          <w:b/>
          <w:sz w:val="20"/>
        </w:rPr>
        <w:t>Background</w:t>
      </w:r>
    </w:p>
    <w:p w:rsidR="00E969FA" w:rsidRDefault="00E969FA" w:rsidP="00D3211A">
      <w:pPr>
        <w:pStyle w:val="Default"/>
        <w:jc w:val="both"/>
        <w:rPr>
          <w:rFonts w:asciiTheme="minorHAnsi" w:hAnsiTheme="minorHAnsi" w:cstheme="minorHAnsi"/>
          <w:sz w:val="20"/>
        </w:rPr>
      </w:pPr>
    </w:p>
    <w:p w:rsidR="001F4720" w:rsidRPr="004930EB" w:rsidRDefault="001F4720" w:rsidP="00D3211A">
      <w:pPr>
        <w:pStyle w:val="Default"/>
        <w:jc w:val="both"/>
        <w:rPr>
          <w:rFonts w:asciiTheme="minorHAnsi" w:hAnsiTheme="minorHAnsi" w:cstheme="minorHAnsi"/>
          <w:sz w:val="20"/>
        </w:rPr>
      </w:pPr>
      <w:r w:rsidRPr="004930EB">
        <w:rPr>
          <w:rFonts w:asciiTheme="minorHAnsi" w:hAnsiTheme="minorHAnsi" w:cstheme="minorHAnsi"/>
          <w:sz w:val="20"/>
        </w:rPr>
        <w:t>The Federations were required to</w:t>
      </w:r>
      <w:r w:rsidR="004930EB" w:rsidRPr="004930EB">
        <w:rPr>
          <w:rFonts w:asciiTheme="minorHAnsi" w:hAnsiTheme="minorHAnsi" w:cstheme="minorHAnsi"/>
          <w:sz w:val="20"/>
        </w:rPr>
        <w:t xml:space="preserve"> submit, as per the scheme details, various submissions under the four areas of the scheme</w:t>
      </w:r>
      <w:r w:rsidRPr="004930EB">
        <w:rPr>
          <w:rFonts w:asciiTheme="minorHAnsi" w:hAnsiTheme="minorHAnsi" w:cstheme="minorHAnsi"/>
          <w:sz w:val="20"/>
        </w:rPr>
        <w:t>:</w:t>
      </w:r>
    </w:p>
    <w:p w:rsidR="004930EB" w:rsidRDefault="004930EB" w:rsidP="004930EB">
      <w:pPr>
        <w:rPr>
          <w:rFonts w:asciiTheme="minorHAnsi" w:eastAsia="MS Mincho" w:hAnsiTheme="minorHAnsi" w:cstheme="minorHAnsi"/>
          <w:color w:val="000000"/>
          <w:sz w:val="20"/>
          <w:szCs w:val="24"/>
          <w:lang w:eastAsia="en-GB"/>
        </w:rPr>
      </w:pPr>
    </w:p>
    <w:p w:rsidR="004930EB" w:rsidRPr="004930EB" w:rsidRDefault="004930EB" w:rsidP="004930EB">
      <w:pPr>
        <w:pStyle w:val="ListParagraph"/>
        <w:numPr>
          <w:ilvl w:val="0"/>
          <w:numId w:val="12"/>
        </w:numPr>
        <w:rPr>
          <w:rFonts w:asciiTheme="minorHAnsi" w:eastAsia="MS Mincho" w:hAnsiTheme="minorHAnsi" w:cstheme="minorHAnsi"/>
          <w:color w:val="000000"/>
          <w:sz w:val="20"/>
          <w:szCs w:val="24"/>
          <w:lang w:eastAsia="en-GB"/>
        </w:rPr>
      </w:pPr>
      <w:r w:rsidRPr="004930EB">
        <w:rPr>
          <w:rFonts w:asciiTheme="minorHAnsi" w:eastAsia="MS Mincho" w:hAnsiTheme="minorHAnsi" w:cstheme="minorHAnsi"/>
          <w:color w:val="000000"/>
          <w:sz w:val="20"/>
          <w:szCs w:val="24"/>
          <w:lang w:eastAsia="en-GB"/>
        </w:rPr>
        <w:t>Quality standards (Infection prevention control)</w:t>
      </w:r>
    </w:p>
    <w:p w:rsidR="004930EB" w:rsidRPr="004930EB" w:rsidRDefault="004930EB" w:rsidP="004930EB">
      <w:pPr>
        <w:pStyle w:val="ListParagraph"/>
        <w:numPr>
          <w:ilvl w:val="0"/>
          <w:numId w:val="12"/>
        </w:numPr>
        <w:rPr>
          <w:rFonts w:asciiTheme="minorHAnsi" w:eastAsia="MS Mincho" w:hAnsiTheme="minorHAnsi" w:cstheme="minorHAnsi"/>
          <w:color w:val="000000"/>
          <w:sz w:val="20"/>
          <w:szCs w:val="24"/>
          <w:lang w:eastAsia="en-GB"/>
        </w:rPr>
      </w:pPr>
      <w:r w:rsidRPr="004930EB">
        <w:rPr>
          <w:rFonts w:asciiTheme="minorHAnsi" w:eastAsia="MS Mincho" w:hAnsiTheme="minorHAnsi" w:cstheme="minorHAnsi"/>
          <w:color w:val="000000"/>
          <w:sz w:val="20"/>
          <w:szCs w:val="24"/>
          <w:lang w:eastAsia="en-GB"/>
        </w:rPr>
        <w:t>Quality – Mortality reviews</w:t>
      </w:r>
    </w:p>
    <w:p w:rsidR="00E516E9" w:rsidRDefault="00E516E9" w:rsidP="00E9643E">
      <w:pPr>
        <w:pStyle w:val="ListParagraph"/>
        <w:numPr>
          <w:ilvl w:val="0"/>
          <w:numId w:val="12"/>
        </w:numPr>
        <w:rPr>
          <w:rFonts w:asciiTheme="minorHAnsi" w:eastAsia="MS Mincho" w:hAnsiTheme="minorHAnsi" w:cstheme="minorHAnsi"/>
          <w:color w:val="000000"/>
          <w:sz w:val="20"/>
          <w:szCs w:val="24"/>
          <w:lang w:eastAsia="en-GB"/>
        </w:rPr>
      </w:pPr>
      <w:r>
        <w:rPr>
          <w:rFonts w:asciiTheme="minorHAnsi" w:eastAsia="MS Mincho" w:hAnsiTheme="minorHAnsi" w:cstheme="minorHAnsi"/>
          <w:color w:val="000000"/>
          <w:sz w:val="20"/>
          <w:szCs w:val="24"/>
          <w:lang w:eastAsia="en-GB"/>
        </w:rPr>
        <w:t>Referral management</w:t>
      </w:r>
    </w:p>
    <w:p w:rsidR="004930EB" w:rsidRPr="00E516E9" w:rsidRDefault="004930EB" w:rsidP="00E9643E">
      <w:pPr>
        <w:pStyle w:val="ListParagraph"/>
        <w:numPr>
          <w:ilvl w:val="0"/>
          <w:numId w:val="12"/>
        </w:numPr>
        <w:rPr>
          <w:rFonts w:asciiTheme="minorHAnsi" w:eastAsia="MS Mincho" w:hAnsiTheme="minorHAnsi" w:cstheme="minorHAnsi"/>
          <w:color w:val="000000"/>
          <w:sz w:val="20"/>
          <w:szCs w:val="24"/>
          <w:lang w:eastAsia="en-GB"/>
        </w:rPr>
      </w:pPr>
      <w:r w:rsidRPr="00E516E9">
        <w:rPr>
          <w:rFonts w:asciiTheme="minorHAnsi" w:eastAsia="MS Mincho" w:hAnsiTheme="minorHAnsi" w:cstheme="minorHAnsi"/>
          <w:color w:val="000000"/>
          <w:sz w:val="20"/>
          <w:szCs w:val="24"/>
          <w:lang w:eastAsia="en-GB"/>
        </w:rPr>
        <w:lastRenderedPageBreak/>
        <w:t xml:space="preserve">Medicines Optimisation </w:t>
      </w:r>
    </w:p>
    <w:p w:rsidR="004930EB" w:rsidRPr="004930EB" w:rsidRDefault="004930EB" w:rsidP="004930EB">
      <w:pPr>
        <w:rPr>
          <w:rFonts w:asciiTheme="minorHAnsi" w:eastAsia="MS Mincho" w:hAnsiTheme="minorHAnsi" w:cstheme="minorHAnsi"/>
          <w:color w:val="000000"/>
          <w:sz w:val="20"/>
          <w:szCs w:val="24"/>
          <w:lang w:eastAsia="en-GB"/>
        </w:rPr>
      </w:pPr>
      <w:r w:rsidRPr="004930EB">
        <w:rPr>
          <w:rFonts w:asciiTheme="minorHAnsi" w:eastAsia="MS Mincho" w:hAnsiTheme="minorHAnsi" w:cstheme="minorHAnsi"/>
          <w:color w:val="000000"/>
          <w:sz w:val="20"/>
          <w:szCs w:val="24"/>
          <w:lang w:eastAsia="en-GB"/>
        </w:rPr>
        <w:t xml:space="preserve">Payment </w:t>
      </w:r>
      <w:r>
        <w:rPr>
          <w:rFonts w:asciiTheme="minorHAnsi" w:eastAsia="MS Mincho" w:hAnsiTheme="minorHAnsi" w:cstheme="minorHAnsi"/>
          <w:color w:val="000000"/>
          <w:sz w:val="20"/>
          <w:szCs w:val="24"/>
          <w:lang w:eastAsia="en-GB"/>
        </w:rPr>
        <w:t xml:space="preserve">was </w:t>
      </w:r>
      <w:r w:rsidR="00073E3B">
        <w:rPr>
          <w:rFonts w:asciiTheme="minorHAnsi" w:eastAsia="MS Mincho" w:hAnsiTheme="minorHAnsi" w:cstheme="minorHAnsi"/>
          <w:color w:val="000000"/>
          <w:sz w:val="20"/>
          <w:szCs w:val="24"/>
          <w:lang w:eastAsia="en-GB"/>
        </w:rPr>
        <w:t xml:space="preserve">provided </w:t>
      </w:r>
      <w:r w:rsidRPr="004930EB">
        <w:rPr>
          <w:rFonts w:asciiTheme="minorHAnsi" w:eastAsia="MS Mincho" w:hAnsiTheme="minorHAnsi" w:cstheme="minorHAnsi"/>
          <w:color w:val="000000"/>
          <w:sz w:val="20"/>
          <w:szCs w:val="24"/>
          <w:lang w:eastAsia="en-GB"/>
        </w:rPr>
        <w:t xml:space="preserve">monthly </w:t>
      </w:r>
      <w:r w:rsidR="00073E3B">
        <w:rPr>
          <w:rFonts w:asciiTheme="minorHAnsi" w:eastAsia="MS Mincho" w:hAnsiTheme="minorHAnsi" w:cstheme="minorHAnsi"/>
          <w:color w:val="000000"/>
          <w:sz w:val="20"/>
          <w:szCs w:val="24"/>
          <w:lang w:eastAsia="en-GB"/>
        </w:rPr>
        <w:t>on a 1/12</w:t>
      </w:r>
      <w:r w:rsidR="00073E3B" w:rsidRPr="00073E3B">
        <w:rPr>
          <w:rFonts w:asciiTheme="minorHAnsi" w:eastAsia="MS Mincho" w:hAnsiTheme="minorHAnsi" w:cstheme="minorHAnsi"/>
          <w:color w:val="000000"/>
          <w:sz w:val="20"/>
          <w:szCs w:val="24"/>
          <w:vertAlign w:val="superscript"/>
          <w:lang w:eastAsia="en-GB"/>
        </w:rPr>
        <w:t>th</w:t>
      </w:r>
      <w:r w:rsidR="00073E3B">
        <w:rPr>
          <w:rFonts w:asciiTheme="minorHAnsi" w:eastAsia="MS Mincho" w:hAnsiTheme="minorHAnsi" w:cstheme="minorHAnsi"/>
          <w:color w:val="000000"/>
          <w:sz w:val="20"/>
          <w:szCs w:val="24"/>
          <w:lang w:eastAsia="en-GB"/>
        </w:rPr>
        <w:t xml:space="preserve"> basis </w:t>
      </w:r>
      <w:r w:rsidRPr="004930EB">
        <w:rPr>
          <w:rFonts w:asciiTheme="minorHAnsi" w:eastAsia="MS Mincho" w:hAnsiTheme="minorHAnsi" w:cstheme="minorHAnsi"/>
          <w:color w:val="000000"/>
          <w:sz w:val="20"/>
          <w:szCs w:val="24"/>
          <w:lang w:eastAsia="en-GB"/>
        </w:rPr>
        <w:t>to support investment in resources to deliver</w:t>
      </w:r>
      <w:r>
        <w:rPr>
          <w:rFonts w:asciiTheme="minorHAnsi" w:eastAsia="MS Mincho" w:hAnsiTheme="minorHAnsi" w:cstheme="minorHAnsi"/>
          <w:color w:val="000000"/>
          <w:sz w:val="20"/>
          <w:szCs w:val="24"/>
          <w:lang w:eastAsia="en-GB"/>
        </w:rPr>
        <w:t xml:space="preserve"> under the scheme.</w:t>
      </w:r>
    </w:p>
    <w:p w:rsidR="004930EB" w:rsidRDefault="004930EB" w:rsidP="004930EB">
      <w:pPr>
        <w:rPr>
          <w:rFonts w:asciiTheme="minorHAnsi" w:eastAsia="MS Mincho" w:hAnsiTheme="minorHAnsi" w:cstheme="minorHAnsi"/>
          <w:color w:val="000000"/>
          <w:sz w:val="20"/>
          <w:szCs w:val="24"/>
          <w:lang w:eastAsia="en-GB"/>
        </w:rPr>
      </w:pPr>
    </w:p>
    <w:p w:rsidR="003A57B8" w:rsidRDefault="004930EB" w:rsidP="004930EB">
      <w:pPr>
        <w:rPr>
          <w:rFonts w:asciiTheme="minorHAnsi" w:eastAsia="MS Mincho" w:hAnsiTheme="minorHAnsi" w:cstheme="minorHAnsi"/>
          <w:color w:val="000000"/>
          <w:sz w:val="20"/>
          <w:szCs w:val="24"/>
          <w:lang w:eastAsia="en-GB"/>
        </w:rPr>
      </w:pPr>
      <w:r>
        <w:rPr>
          <w:rFonts w:asciiTheme="minorHAnsi" w:eastAsia="MS Mincho" w:hAnsiTheme="minorHAnsi" w:cstheme="minorHAnsi"/>
          <w:color w:val="000000"/>
          <w:sz w:val="20"/>
          <w:szCs w:val="24"/>
          <w:lang w:eastAsia="en-GB"/>
        </w:rPr>
        <w:t>The scheme enabled the CCG the a</w:t>
      </w:r>
      <w:r w:rsidRPr="004930EB">
        <w:rPr>
          <w:rFonts w:asciiTheme="minorHAnsi" w:eastAsia="MS Mincho" w:hAnsiTheme="minorHAnsi" w:cstheme="minorHAnsi"/>
          <w:color w:val="000000"/>
          <w:sz w:val="20"/>
          <w:szCs w:val="24"/>
          <w:lang w:eastAsia="en-GB"/>
        </w:rPr>
        <w:t>bility to withdraw / claw back funding if insufficient evidence</w:t>
      </w:r>
      <w:r w:rsidR="00073E3B">
        <w:rPr>
          <w:rFonts w:asciiTheme="minorHAnsi" w:eastAsia="MS Mincho" w:hAnsiTheme="minorHAnsi" w:cstheme="minorHAnsi"/>
          <w:color w:val="000000"/>
          <w:sz w:val="20"/>
          <w:szCs w:val="24"/>
          <w:lang w:eastAsia="en-GB"/>
        </w:rPr>
        <w:t xml:space="preserve"> was provided regarding </w:t>
      </w:r>
      <w:r w:rsidRPr="004930EB">
        <w:rPr>
          <w:rFonts w:asciiTheme="minorHAnsi" w:eastAsia="MS Mincho" w:hAnsiTheme="minorHAnsi" w:cstheme="minorHAnsi"/>
          <w:color w:val="000000"/>
          <w:sz w:val="20"/>
          <w:szCs w:val="24"/>
          <w:lang w:eastAsia="en-GB"/>
        </w:rPr>
        <w:t>improvements</w:t>
      </w:r>
      <w:r>
        <w:rPr>
          <w:rFonts w:asciiTheme="minorHAnsi" w:eastAsia="MS Mincho" w:hAnsiTheme="minorHAnsi" w:cstheme="minorHAnsi"/>
          <w:color w:val="000000"/>
          <w:sz w:val="20"/>
          <w:szCs w:val="24"/>
          <w:lang w:eastAsia="en-GB"/>
        </w:rPr>
        <w:t xml:space="preserve"> at the end of the year.</w:t>
      </w:r>
    </w:p>
    <w:p w:rsidR="004930EB" w:rsidRDefault="004930EB" w:rsidP="004930EB">
      <w:pPr>
        <w:rPr>
          <w:rFonts w:asciiTheme="minorHAnsi" w:eastAsia="MS Mincho" w:hAnsiTheme="minorHAnsi" w:cstheme="minorHAnsi"/>
          <w:color w:val="000000"/>
          <w:sz w:val="20"/>
          <w:szCs w:val="24"/>
          <w:lang w:eastAsia="en-GB"/>
        </w:rPr>
      </w:pPr>
    </w:p>
    <w:p w:rsidR="004930EB" w:rsidRDefault="004930EB" w:rsidP="004930EB">
      <w:pPr>
        <w:rPr>
          <w:rFonts w:asciiTheme="minorHAnsi" w:eastAsia="MS Mincho" w:hAnsiTheme="minorHAnsi" w:cstheme="minorHAnsi"/>
          <w:color w:val="000000"/>
          <w:sz w:val="20"/>
          <w:szCs w:val="24"/>
          <w:lang w:eastAsia="en-GB"/>
        </w:rPr>
      </w:pPr>
      <w:r>
        <w:rPr>
          <w:rFonts w:asciiTheme="minorHAnsi" w:eastAsia="MS Mincho" w:hAnsiTheme="minorHAnsi" w:cstheme="minorHAnsi"/>
          <w:color w:val="000000"/>
          <w:sz w:val="20"/>
          <w:szCs w:val="24"/>
          <w:lang w:eastAsia="en-GB"/>
        </w:rPr>
        <w:t>Overall assessment completed was undertaken through</w:t>
      </w:r>
      <w:r w:rsidR="00F4350F" w:rsidRPr="004930EB">
        <w:rPr>
          <w:rFonts w:asciiTheme="minorHAnsi" w:eastAsia="MS Mincho" w:hAnsiTheme="minorHAnsi" w:cstheme="minorHAnsi"/>
          <w:color w:val="000000"/>
          <w:sz w:val="20"/>
          <w:szCs w:val="24"/>
          <w:lang w:eastAsia="en-GB"/>
        </w:rPr>
        <w:t xml:space="preserve"> triangulation of discussion at </w:t>
      </w:r>
      <w:r w:rsidR="007B12B5">
        <w:rPr>
          <w:rFonts w:asciiTheme="minorHAnsi" w:eastAsia="MS Mincho" w:hAnsiTheme="minorHAnsi" w:cstheme="minorHAnsi"/>
          <w:color w:val="000000"/>
          <w:sz w:val="20"/>
          <w:szCs w:val="24"/>
          <w:lang w:eastAsia="en-GB"/>
        </w:rPr>
        <w:t xml:space="preserve">the mid-year review </w:t>
      </w:r>
      <w:r w:rsidR="00F4350F" w:rsidRPr="004930EB">
        <w:rPr>
          <w:rFonts w:asciiTheme="minorHAnsi" w:eastAsia="MS Mincho" w:hAnsiTheme="minorHAnsi" w:cstheme="minorHAnsi"/>
          <w:color w:val="000000"/>
          <w:sz w:val="20"/>
          <w:szCs w:val="24"/>
          <w:lang w:eastAsia="en-GB"/>
        </w:rPr>
        <w:t>meeting</w:t>
      </w:r>
      <w:r>
        <w:rPr>
          <w:rFonts w:asciiTheme="minorHAnsi" w:eastAsia="MS Mincho" w:hAnsiTheme="minorHAnsi" w:cstheme="minorHAnsi"/>
          <w:color w:val="000000"/>
          <w:sz w:val="20"/>
          <w:szCs w:val="24"/>
          <w:lang w:eastAsia="en-GB"/>
        </w:rPr>
        <w:t>s</w:t>
      </w:r>
      <w:r w:rsidR="00F4350F" w:rsidRPr="004930EB">
        <w:rPr>
          <w:rFonts w:asciiTheme="minorHAnsi" w:eastAsia="MS Mincho" w:hAnsiTheme="minorHAnsi" w:cstheme="minorHAnsi"/>
          <w:color w:val="000000"/>
          <w:sz w:val="20"/>
          <w:szCs w:val="24"/>
          <w:lang w:eastAsia="en-GB"/>
        </w:rPr>
        <w:t xml:space="preserve">, information on outcomes (i.e. target achievement), </w:t>
      </w:r>
      <w:r>
        <w:rPr>
          <w:rFonts w:asciiTheme="minorHAnsi" w:eastAsia="MS Mincho" w:hAnsiTheme="minorHAnsi" w:cstheme="minorHAnsi"/>
          <w:color w:val="000000"/>
          <w:sz w:val="20"/>
          <w:szCs w:val="24"/>
          <w:lang w:eastAsia="en-GB"/>
        </w:rPr>
        <w:t xml:space="preserve">presentations delivered at </w:t>
      </w:r>
      <w:r w:rsidR="007B12B5">
        <w:rPr>
          <w:rFonts w:asciiTheme="minorHAnsi" w:eastAsia="MS Mincho" w:hAnsiTheme="minorHAnsi" w:cstheme="minorHAnsi"/>
          <w:color w:val="000000"/>
          <w:sz w:val="20"/>
          <w:szCs w:val="24"/>
          <w:lang w:eastAsia="en-GB"/>
        </w:rPr>
        <w:t xml:space="preserve">a </w:t>
      </w:r>
      <w:r>
        <w:rPr>
          <w:rFonts w:asciiTheme="minorHAnsi" w:eastAsia="MS Mincho" w:hAnsiTheme="minorHAnsi" w:cstheme="minorHAnsi"/>
          <w:color w:val="000000"/>
          <w:sz w:val="20"/>
          <w:szCs w:val="24"/>
          <w:lang w:eastAsia="en-GB"/>
        </w:rPr>
        <w:t>P</w:t>
      </w:r>
      <w:r w:rsidR="007B12B5">
        <w:rPr>
          <w:rFonts w:asciiTheme="minorHAnsi" w:eastAsia="MS Mincho" w:hAnsiTheme="minorHAnsi" w:cstheme="minorHAnsi"/>
          <w:color w:val="000000"/>
          <w:sz w:val="20"/>
          <w:szCs w:val="24"/>
          <w:lang w:eastAsia="en-GB"/>
        </w:rPr>
        <w:t xml:space="preserve">rotected </w:t>
      </w:r>
      <w:r>
        <w:rPr>
          <w:rFonts w:asciiTheme="minorHAnsi" w:eastAsia="MS Mincho" w:hAnsiTheme="minorHAnsi" w:cstheme="minorHAnsi"/>
          <w:color w:val="000000"/>
          <w:sz w:val="20"/>
          <w:szCs w:val="24"/>
          <w:lang w:eastAsia="en-GB"/>
        </w:rPr>
        <w:t>T</w:t>
      </w:r>
      <w:r w:rsidR="007B12B5">
        <w:rPr>
          <w:rFonts w:asciiTheme="minorHAnsi" w:eastAsia="MS Mincho" w:hAnsiTheme="minorHAnsi" w:cstheme="minorHAnsi"/>
          <w:color w:val="000000"/>
          <w:sz w:val="20"/>
          <w:szCs w:val="24"/>
          <w:lang w:eastAsia="en-GB"/>
        </w:rPr>
        <w:t xml:space="preserve">ime for </w:t>
      </w:r>
      <w:r>
        <w:rPr>
          <w:rFonts w:asciiTheme="minorHAnsi" w:eastAsia="MS Mincho" w:hAnsiTheme="minorHAnsi" w:cstheme="minorHAnsi"/>
          <w:color w:val="000000"/>
          <w:sz w:val="20"/>
          <w:szCs w:val="24"/>
          <w:lang w:eastAsia="en-GB"/>
        </w:rPr>
        <w:t>L</w:t>
      </w:r>
      <w:r w:rsidR="007B12B5">
        <w:rPr>
          <w:rFonts w:asciiTheme="minorHAnsi" w:eastAsia="MS Mincho" w:hAnsiTheme="minorHAnsi" w:cstheme="minorHAnsi"/>
          <w:color w:val="000000"/>
          <w:sz w:val="20"/>
          <w:szCs w:val="24"/>
          <w:lang w:eastAsia="en-GB"/>
        </w:rPr>
        <w:t>earning event (PTL)</w:t>
      </w:r>
      <w:r>
        <w:rPr>
          <w:rFonts w:asciiTheme="minorHAnsi" w:eastAsia="MS Mincho" w:hAnsiTheme="minorHAnsi" w:cstheme="minorHAnsi"/>
          <w:color w:val="000000"/>
          <w:sz w:val="20"/>
          <w:szCs w:val="24"/>
          <w:lang w:eastAsia="en-GB"/>
        </w:rPr>
        <w:t xml:space="preserve"> </w:t>
      </w:r>
      <w:r w:rsidR="00B33947">
        <w:rPr>
          <w:rFonts w:asciiTheme="minorHAnsi" w:eastAsia="MS Mincho" w:hAnsiTheme="minorHAnsi" w:cstheme="minorHAnsi"/>
          <w:color w:val="000000"/>
          <w:sz w:val="20"/>
          <w:szCs w:val="24"/>
          <w:lang w:eastAsia="en-GB"/>
        </w:rPr>
        <w:t>and evidence submitted by deadlines set down</w:t>
      </w:r>
      <w:r w:rsidR="00F4350F" w:rsidRPr="004930EB">
        <w:rPr>
          <w:rFonts w:asciiTheme="minorHAnsi" w:eastAsia="MS Mincho" w:hAnsiTheme="minorHAnsi" w:cstheme="minorHAnsi"/>
          <w:color w:val="000000"/>
          <w:sz w:val="20"/>
          <w:szCs w:val="24"/>
          <w:lang w:eastAsia="en-GB"/>
        </w:rPr>
        <w:t>.</w:t>
      </w:r>
      <w:r w:rsidR="007B12B5">
        <w:rPr>
          <w:rFonts w:asciiTheme="minorHAnsi" w:eastAsia="MS Mincho" w:hAnsiTheme="minorHAnsi" w:cstheme="minorHAnsi"/>
          <w:color w:val="000000"/>
          <w:sz w:val="20"/>
          <w:szCs w:val="24"/>
          <w:lang w:eastAsia="en-GB"/>
        </w:rPr>
        <w:t xml:space="preserve"> The end of year meetings were waived, due to these clashing with PCN preparation and the CCG being able to assess progress through information sources, as well as the PTL presentations.</w:t>
      </w:r>
    </w:p>
    <w:p w:rsidR="00E969FA" w:rsidRPr="004930EB" w:rsidRDefault="00E969FA" w:rsidP="004930EB">
      <w:pPr>
        <w:rPr>
          <w:rFonts w:asciiTheme="minorHAnsi" w:eastAsia="MS Mincho" w:hAnsiTheme="minorHAnsi" w:cstheme="minorHAnsi"/>
          <w:color w:val="000000"/>
          <w:sz w:val="20"/>
          <w:szCs w:val="24"/>
          <w:lang w:eastAsia="en-GB"/>
        </w:rPr>
      </w:pPr>
    </w:p>
    <w:p w:rsidR="003A57B8" w:rsidRPr="001F4720" w:rsidRDefault="003A57B8" w:rsidP="00D3211A">
      <w:pPr>
        <w:pStyle w:val="Default"/>
        <w:jc w:val="both"/>
        <w:rPr>
          <w:rFonts w:asciiTheme="minorHAnsi" w:hAnsiTheme="minorHAnsi" w:cstheme="minorHAnsi"/>
          <w:sz w:val="20"/>
          <w:szCs w:val="20"/>
        </w:rPr>
      </w:pPr>
    </w:p>
    <w:p w:rsidR="001F4720" w:rsidRPr="001F4720" w:rsidRDefault="007B12B5" w:rsidP="00D3211A">
      <w:pPr>
        <w:pStyle w:val="Default"/>
        <w:jc w:val="both"/>
        <w:rPr>
          <w:rFonts w:asciiTheme="minorHAnsi" w:hAnsiTheme="minorHAnsi" w:cstheme="minorHAnsi"/>
          <w:b/>
          <w:sz w:val="20"/>
          <w:szCs w:val="20"/>
        </w:rPr>
      </w:pPr>
      <w:r>
        <w:rPr>
          <w:rFonts w:asciiTheme="minorHAnsi" w:hAnsiTheme="minorHAnsi" w:cstheme="minorHAnsi"/>
          <w:b/>
          <w:sz w:val="20"/>
          <w:szCs w:val="20"/>
        </w:rPr>
        <w:t>Assessment of achievement</w:t>
      </w:r>
    </w:p>
    <w:p w:rsidR="001F4720" w:rsidRPr="001F4720" w:rsidRDefault="001F4720" w:rsidP="00D3211A">
      <w:pPr>
        <w:pStyle w:val="Default"/>
        <w:jc w:val="both"/>
        <w:rPr>
          <w:rFonts w:asciiTheme="minorHAnsi" w:hAnsiTheme="minorHAnsi" w:cstheme="minorHAnsi"/>
          <w:b/>
          <w:sz w:val="20"/>
          <w:szCs w:val="20"/>
        </w:rPr>
      </w:pPr>
    </w:p>
    <w:p w:rsidR="003A57B8" w:rsidRPr="00E27E44" w:rsidRDefault="004930EB" w:rsidP="00D3211A">
      <w:pPr>
        <w:pStyle w:val="Default"/>
        <w:jc w:val="both"/>
        <w:rPr>
          <w:rFonts w:asciiTheme="minorHAnsi" w:hAnsiTheme="minorHAnsi" w:cstheme="minorHAnsi"/>
          <w:b/>
          <w:sz w:val="20"/>
          <w:szCs w:val="20"/>
        </w:rPr>
      </w:pPr>
      <w:r w:rsidRPr="00E27E44">
        <w:rPr>
          <w:rFonts w:asciiTheme="minorHAnsi" w:hAnsiTheme="minorHAnsi" w:cstheme="minorHAnsi"/>
          <w:b/>
          <w:sz w:val="20"/>
          <w:szCs w:val="20"/>
        </w:rPr>
        <w:t>Quality Requirements:</w:t>
      </w:r>
    </w:p>
    <w:tbl>
      <w:tblPr>
        <w:tblStyle w:val="TableGrid"/>
        <w:tblW w:w="0" w:type="auto"/>
        <w:tblLook w:val="04A0" w:firstRow="1" w:lastRow="0" w:firstColumn="1" w:lastColumn="0" w:noHBand="0" w:noVBand="1"/>
      </w:tblPr>
      <w:tblGrid>
        <w:gridCol w:w="2689"/>
        <w:gridCol w:w="2689"/>
        <w:gridCol w:w="2689"/>
        <w:gridCol w:w="2689"/>
      </w:tblGrid>
      <w:tr w:rsidR="00B33947" w:rsidRPr="008473D4" w:rsidTr="00E27E44">
        <w:trPr>
          <w:trHeight w:val="405"/>
        </w:trPr>
        <w:tc>
          <w:tcPr>
            <w:tcW w:w="2689" w:type="dxa"/>
            <w:shd w:val="clear" w:color="auto" w:fill="DBE5F1" w:themeFill="accent1" w:themeFillTint="33"/>
            <w:hideMark/>
          </w:tcPr>
          <w:p w:rsidR="008473D4" w:rsidRPr="008473D4" w:rsidRDefault="008473D4" w:rsidP="008473D4">
            <w:pPr>
              <w:pStyle w:val="Default"/>
              <w:jc w:val="both"/>
              <w:rPr>
                <w:rFonts w:ascii="Calibri" w:hAnsi="Calibri" w:cs="Calibri"/>
                <w:b/>
                <w:bCs/>
                <w:sz w:val="20"/>
              </w:rPr>
            </w:pPr>
            <w:r w:rsidRPr="008473D4">
              <w:rPr>
                <w:rFonts w:ascii="Calibri" w:hAnsi="Calibri" w:cs="Calibri"/>
                <w:b/>
                <w:bCs/>
                <w:sz w:val="20"/>
              </w:rPr>
              <w:t>Quality Area</w:t>
            </w:r>
          </w:p>
        </w:tc>
        <w:tc>
          <w:tcPr>
            <w:tcW w:w="2689" w:type="dxa"/>
            <w:shd w:val="clear" w:color="auto" w:fill="DBE5F1" w:themeFill="accent1" w:themeFillTint="33"/>
            <w:hideMark/>
          </w:tcPr>
          <w:p w:rsidR="008473D4" w:rsidRDefault="008473D4" w:rsidP="008473D4">
            <w:pPr>
              <w:pStyle w:val="Default"/>
              <w:jc w:val="both"/>
              <w:rPr>
                <w:rFonts w:ascii="Calibri" w:hAnsi="Calibri" w:cs="Calibri"/>
                <w:b/>
                <w:bCs/>
                <w:sz w:val="20"/>
              </w:rPr>
            </w:pPr>
            <w:r w:rsidRPr="008473D4">
              <w:rPr>
                <w:rFonts w:ascii="Calibri" w:hAnsi="Calibri" w:cs="Calibri"/>
                <w:b/>
                <w:bCs/>
                <w:sz w:val="20"/>
              </w:rPr>
              <w:t>Federation 1</w:t>
            </w:r>
          </w:p>
          <w:p w:rsidR="001553F0" w:rsidRPr="008473D4" w:rsidRDefault="001553F0" w:rsidP="008473D4">
            <w:pPr>
              <w:pStyle w:val="Default"/>
              <w:jc w:val="both"/>
              <w:rPr>
                <w:rFonts w:ascii="Calibri" w:hAnsi="Calibri" w:cs="Calibri"/>
                <w:b/>
                <w:bCs/>
                <w:sz w:val="20"/>
              </w:rPr>
            </w:pPr>
            <w:r>
              <w:rPr>
                <w:rFonts w:ascii="Calibri" w:hAnsi="Calibri" w:cs="Calibri"/>
                <w:b/>
                <w:bCs/>
                <w:sz w:val="20"/>
              </w:rPr>
              <w:t>Freshney-Pelham</w:t>
            </w:r>
          </w:p>
        </w:tc>
        <w:tc>
          <w:tcPr>
            <w:tcW w:w="2689" w:type="dxa"/>
            <w:shd w:val="clear" w:color="auto" w:fill="DBE5F1" w:themeFill="accent1" w:themeFillTint="33"/>
            <w:hideMark/>
          </w:tcPr>
          <w:p w:rsidR="008473D4" w:rsidRDefault="008473D4" w:rsidP="008473D4">
            <w:pPr>
              <w:pStyle w:val="Default"/>
              <w:jc w:val="both"/>
              <w:rPr>
                <w:rFonts w:ascii="Calibri" w:hAnsi="Calibri" w:cs="Calibri"/>
                <w:b/>
                <w:bCs/>
                <w:sz w:val="20"/>
              </w:rPr>
            </w:pPr>
            <w:r w:rsidRPr="008473D4">
              <w:rPr>
                <w:rFonts w:ascii="Calibri" w:hAnsi="Calibri" w:cs="Calibri"/>
                <w:b/>
                <w:bCs/>
                <w:sz w:val="20"/>
              </w:rPr>
              <w:t>Federation 2</w:t>
            </w:r>
          </w:p>
          <w:p w:rsidR="001553F0" w:rsidRPr="008473D4" w:rsidRDefault="001553F0" w:rsidP="008473D4">
            <w:pPr>
              <w:pStyle w:val="Default"/>
              <w:jc w:val="both"/>
              <w:rPr>
                <w:rFonts w:ascii="Calibri" w:hAnsi="Calibri" w:cs="Calibri"/>
                <w:b/>
                <w:bCs/>
                <w:sz w:val="20"/>
              </w:rPr>
            </w:pPr>
            <w:r>
              <w:rPr>
                <w:rFonts w:ascii="Calibri" w:hAnsi="Calibri" w:cs="Calibri"/>
                <w:b/>
                <w:bCs/>
                <w:sz w:val="20"/>
              </w:rPr>
              <w:t>Panacea</w:t>
            </w:r>
          </w:p>
        </w:tc>
        <w:tc>
          <w:tcPr>
            <w:tcW w:w="2689" w:type="dxa"/>
            <w:shd w:val="clear" w:color="auto" w:fill="DBE5F1" w:themeFill="accent1" w:themeFillTint="33"/>
            <w:hideMark/>
          </w:tcPr>
          <w:p w:rsidR="008473D4" w:rsidRDefault="008473D4" w:rsidP="008473D4">
            <w:pPr>
              <w:pStyle w:val="Default"/>
              <w:jc w:val="both"/>
              <w:rPr>
                <w:rFonts w:ascii="Calibri" w:hAnsi="Calibri" w:cs="Calibri"/>
                <w:b/>
                <w:bCs/>
                <w:sz w:val="20"/>
              </w:rPr>
            </w:pPr>
            <w:r w:rsidRPr="008473D4">
              <w:rPr>
                <w:rFonts w:ascii="Calibri" w:hAnsi="Calibri" w:cs="Calibri"/>
                <w:b/>
                <w:bCs/>
                <w:sz w:val="20"/>
              </w:rPr>
              <w:t>Federation 3</w:t>
            </w:r>
          </w:p>
          <w:p w:rsidR="001553F0" w:rsidRPr="008473D4" w:rsidRDefault="001553F0" w:rsidP="008473D4">
            <w:pPr>
              <w:pStyle w:val="Default"/>
              <w:jc w:val="both"/>
              <w:rPr>
                <w:rFonts w:ascii="Calibri" w:hAnsi="Calibri" w:cs="Calibri"/>
                <w:b/>
                <w:bCs/>
                <w:sz w:val="20"/>
              </w:rPr>
            </w:pPr>
            <w:r>
              <w:rPr>
                <w:rFonts w:ascii="Calibri" w:hAnsi="Calibri" w:cs="Calibri"/>
                <w:b/>
                <w:bCs/>
                <w:sz w:val="20"/>
              </w:rPr>
              <w:t>MHG</w:t>
            </w:r>
          </w:p>
        </w:tc>
      </w:tr>
      <w:tr w:rsidR="008473D4" w:rsidRPr="008473D4" w:rsidTr="00E27E44">
        <w:trPr>
          <w:trHeight w:val="916"/>
        </w:trPr>
        <w:tc>
          <w:tcPr>
            <w:tcW w:w="2689" w:type="dxa"/>
            <w:vMerge w:val="restart"/>
            <w:hideMark/>
          </w:tcPr>
          <w:p w:rsidR="008473D4" w:rsidRPr="008473D4" w:rsidRDefault="008473D4" w:rsidP="008473D4">
            <w:pPr>
              <w:pStyle w:val="Default"/>
              <w:jc w:val="both"/>
              <w:rPr>
                <w:rFonts w:ascii="Calibri" w:hAnsi="Calibri" w:cs="Calibri"/>
                <w:sz w:val="20"/>
              </w:rPr>
            </w:pPr>
            <w:r w:rsidRPr="008473D4">
              <w:rPr>
                <w:rFonts w:ascii="Calibri" w:hAnsi="Calibri" w:cs="Calibri"/>
                <w:sz w:val="20"/>
              </w:rPr>
              <w:t>Quality standards (CQC themes, infection prevention control)</w:t>
            </w:r>
          </w:p>
        </w:tc>
        <w:tc>
          <w:tcPr>
            <w:tcW w:w="2689" w:type="dxa"/>
          </w:tcPr>
          <w:p w:rsidR="008473D4" w:rsidRDefault="001553F0" w:rsidP="001553F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1553F0" w:rsidRDefault="001553F0" w:rsidP="008473D4">
            <w:pPr>
              <w:pStyle w:val="Default"/>
              <w:jc w:val="both"/>
              <w:rPr>
                <w:rFonts w:ascii="Segoe UI Symbol" w:hAnsi="Segoe UI Symbol" w:cs="Segoe UI Symbol"/>
                <w:sz w:val="22"/>
                <w:szCs w:val="22"/>
              </w:rPr>
            </w:pPr>
          </w:p>
          <w:p w:rsidR="001553F0" w:rsidRPr="008473D4" w:rsidRDefault="001553F0" w:rsidP="008473D4">
            <w:pPr>
              <w:pStyle w:val="Default"/>
              <w:jc w:val="both"/>
              <w:rPr>
                <w:rFonts w:ascii="Calibri" w:hAnsi="Calibri" w:cs="Calibri"/>
                <w:sz w:val="20"/>
              </w:rPr>
            </w:pPr>
            <w:r w:rsidRPr="001553F0">
              <w:rPr>
                <w:rFonts w:ascii="Calibri" w:hAnsi="Calibri" w:cs="Calibri"/>
                <w:sz w:val="20"/>
              </w:rPr>
              <w:t>90% achieved</w:t>
            </w:r>
          </w:p>
        </w:tc>
        <w:tc>
          <w:tcPr>
            <w:tcW w:w="2689" w:type="dxa"/>
          </w:tcPr>
          <w:p w:rsidR="008473D4" w:rsidRDefault="001553F0" w:rsidP="001553F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1553F0" w:rsidRDefault="001553F0" w:rsidP="008473D4">
            <w:pPr>
              <w:pStyle w:val="Default"/>
              <w:jc w:val="both"/>
              <w:rPr>
                <w:rFonts w:ascii="Segoe UI Symbol" w:hAnsi="Segoe UI Symbol" w:cs="Segoe UI Symbol"/>
                <w:sz w:val="22"/>
                <w:szCs w:val="22"/>
              </w:rPr>
            </w:pPr>
          </w:p>
          <w:p w:rsidR="001553F0" w:rsidRPr="008473D4" w:rsidRDefault="001553F0" w:rsidP="008473D4">
            <w:pPr>
              <w:pStyle w:val="Default"/>
              <w:jc w:val="both"/>
              <w:rPr>
                <w:rFonts w:ascii="Calibri" w:hAnsi="Calibri" w:cs="Calibri"/>
                <w:sz w:val="20"/>
              </w:rPr>
            </w:pPr>
            <w:r w:rsidRPr="001553F0">
              <w:rPr>
                <w:rFonts w:ascii="Calibri" w:hAnsi="Calibri" w:cs="Calibri"/>
                <w:sz w:val="20"/>
              </w:rPr>
              <w:t>90% achieved</w:t>
            </w:r>
          </w:p>
        </w:tc>
        <w:tc>
          <w:tcPr>
            <w:tcW w:w="2689" w:type="dxa"/>
          </w:tcPr>
          <w:p w:rsidR="008473D4" w:rsidRDefault="001553F0" w:rsidP="001553F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1553F0" w:rsidRDefault="001553F0" w:rsidP="008473D4">
            <w:pPr>
              <w:pStyle w:val="Default"/>
              <w:jc w:val="both"/>
              <w:rPr>
                <w:rFonts w:ascii="Segoe UI Symbol" w:hAnsi="Segoe UI Symbol" w:cs="Segoe UI Symbol"/>
                <w:sz w:val="22"/>
                <w:szCs w:val="22"/>
              </w:rPr>
            </w:pPr>
          </w:p>
          <w:p w:rsidR="001553F0" w:rsidRPr="008473D4" w:rsidRDefault="001553F0" w:rsidP="008473D4">
            <w:pPr>
              <w:pStyle w:val="Default"/>
              <w:jc w:val="both"/>
              <w:rPr>
                <w:rFonts w:ascii="Calibri" w:hAnsi="Calibri" w:cs="Calibri"/>
                <w:sz w:val="20"/>
              </w:rPr>
            </w:pPr>
            <w:r w:rsidRPr="001553F0">
              <w:rPr>
                <w:rFonts w:ascii="Calibri" w:hAnsi="Calibri" w:cs="Calibri"/>
                <w:sz w:val="20"/>
              </w:rPr>
              <w:t>90% achieved</w:t>
            </w:r>
          </w:p>
        </w:tc>
      </w:tr>
      <w:tr w:rsidR="008473D4" w:rsidRPr="008473D4" w:rsidTr="00E27E44">
        <w:trPr>
          <w:trHeight w:val="765"/>
        </w:trPr>
        <w:tc>
          <w:tcPr>
            <w:tcW w:w="2689" w:type="dxa"/>
            <w:vMerge/>
            <w:hideMark/>
          </w:tcPr>
          <w:p w:rsidR="008473D4" w:rsidRPr="008473D4" w:rsidRDefault="008473D4" w:rsidP="008473D4">
            <w:pPr>
              <w:pStyle w:val="Default"/>
              <w:jc w:val="both"/>
              <w:rPr>
                <w:rFonts w:ascii="Calibri" w:hAnsi="Calibri" w:cs="Calibri"/>
                <w:sz w:val="20"/>
              </w:rPr>
            </w:pP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1553F0" w:rsidRDefault="001553F0" w:rsidP="001553F0">
            <w:pPr>
              <w:pStyle w:val="Default"/>
              <w:rPr>
                <w:rFonts w:ascii="Calibri" w:hAnsi="Calibri" w:cs="Calibri"/>
                <w:sz w:val="20"/>
              </w:rPr>
            </w:pPr>
          </w:p>
          <w:p w:rsidR="008473D4" w:rsidRPr="008473D4" w:rsidRDefault="008473D4" w:rsidP="001553F0">
            <w:pPr>
              <w:pStyle w:val="Default"/>
              <w:rPr>
                <w:rFonts w:ascii="Calibri" w:hAnsi="Calibri" w:cs="Calibri"/>
                <w:sz w:val="20"/>
              </w:rPr>
            </w:pPr>
            <w:r w:rsidRPr="008473D4">
              <w:rPr>
                <w:rFonts w:ascii="Calibri" w:hAnsi="Calibri" w:cs="Calibri"/>
                <w:sz w:val="20"/>
              </w:rPr>
              <w:t xml:space="preserve">Audit and investigation into gram negative blood stream infections carried out.  </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1553F0" w:rsidRDefault="001553F0" w:rsidP="001553F0">
            <w:pPr>
              <w:pStyle w:val="Default"/>
              <w:rPr>
                <w:rFonts w:ascii="Calibri" w:hAnsi="Calibri" w:cs="Calibri"/>
                <w:sz w:val="20"/>
              </w:rPr>
            </w:pPr>
          </w:p>
          <w:p w:rsidR="008473D4" w:rsidRPr="008473D4" w:rsidRDefault="008473D4" w:rsidP="001553F0">
            <w:pPr>
              <w:pStyle w:val="Default"/>
              <w:rPr>
                <w:rFonts w:ascii="Calibri" w:hAnsi="Calibri" w:cs="Calibri"/>
                <w:sz w:val="20"/>
              </w:rPr>
            </w:pPr>
            <w:r w:rsidRPr="008473D4">
              <w:rPr>
                <w:rFonts w:ascii="Calibri" w:hAnsi="Calibri" w:cs="Calibri"/>
                <w:sz w:val="20"/>
              </w:rPr>
              <w:t xml:space="preserve">Audit and investigation into gram negative blood stream infections carried out.  </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1553F0" w:rsidRDefault="001553F0" w:rsidP="001553F0">
            <w:pPr>
              <w:pStyle w:val="Default"/>
              <w:rPr>
                <w:rFonts w:ascii="Calibri" w:hAnsi="Calibri" w:cs="Calibri"/>
                <w:sz w:val="20"/>
              </w:rPr>
            </w:pPr>
          </w:p>
          <w:p w:rsidR="008473D4" w:rsidRPr="008473D4" w:rsidRDefault="008473D4" w:rsidP="001553F0">
            <w:pPr>
              <w:pStyle w:val="Default"/>
              <w:rPr>
                <w:rFonts w:ascii="Calibri" w:hAnsi="Calibri" w:cs="Calibri"/>
                <w:sz w:val="20"/>
              </w:rPr>
            </w:pPr>
            <w:r w:rsidRPr="008473D4">
              <w:rPr>
                <w:rFonts w:ascii="Calibri" w:hAnsi="Calibri" w:cs="Calibri"/>
                <w:sz w:val="20"/>
              </w:rPr>
              <w:t xml:space="preserve">Audit and investigation into gram negative blood stream infections carried out.  </w:t>
            </w:r>
          </w:p>
        </w:tc>
      </w:tr>
      <w:tr w:rsidR="008473D4" w:rsidRPr="008473D4" w:rsidTr="00E27E44">
        <w:trPr>
          <w:trHeight w:val="2265"/>
        </w:trPr>
        <w:tc>
          <w:tcPr>
            <w:tcW w:w="2689" w:type="dxa"/>
            <w:vMerge/>
            <w:hideMark/>
          </w:tcPr>
          <w:p w:rsidR="008473D4" w:rsidRPr="008473D4" w:rsidRDefault="008473D4" w:rsidP="008473D4">
            <w:pPr>
              <w:pStyle w:val="Default"/>
              <w:jc w:val="both"/>
              <w:rPr>
                <w:rFonts w:ascii="Calibri" w:hAnsi="Calibri" w:cs="Calibri"/>
                <w:sz w:val="20"/>
              </w:rPr>
            </w:pP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1553F0">
            <w:pPr>
              <w:pStyle w:val="Default"/>
              <w:rPr>
                <w:rFonts w:ascii="Calibri" w:hAnsi="Calibri" w:cs="Calibri"/>
                <w:sz w:val="20"/>
              </w:rPr>
            </w:pPr>
          </w:p>
          <w:p w:rsidR="008473D4" w:rsidRPr="008473D4" w:rsidRDefault="008473D4" w:rsidP="001553F0">
            <w:pPr>
              <w:pStyle w:val="Default"/>
              <w:rPr>
                <w:rFonts w:ascii="Calibri" w:hAnsi="Calibri" w:cs="Calibri"/>
                <w:sz w:val="20"/>
              </w:rPr>
            </w:pPr>
            <w:r w:rsidRPr="008473D4">
              <w:rPr>
                <w:rFonts w:ascii="Calibri" w:hAnsi="Calibri" w:cs="Calibri"/>
                <w:sz w:val="20"/>
              </w:rPr>
              <w:t xml:space="preserve">Sepsis baseline carried out and the following (summary) completed/in place: </w:t>
            </w:r>
            <w:r w:rsidRPr="008473D4">
              <w:rPr>
                <w:rFonts w:ascii="Calibri" w:hAnsi="Calibri" w:cs="Calibri"/>
                <w:sz w:val="20"/>
              </w:rPr>
              <w:br/>
              <w:t>Use of Screening Tool, Recording and Sharing of Information, Discussion at Meetings, Hand Hygiene training, Access to Resources made av</w:t>
            </w:r>
            <w:r w:rsidR="00073E3B">
              <w:rPr>
                <w:rFonts w:ascii="Calibri" w:hAnsi="Calibri" w:cs="Calibri"/>
                <w:sz w:val="20"/>
              </w:rPr>
              <w:t>a</w:t>
            </w:r>
            <w:r w:rsidRPr="008473D4">
              <w:rPr>
                <w:rFonts w:ascii="Calibri" w:hAnsi="Calibri" w:cs="Calibri"/>
                <w:sz w:val="20"/>
              </w:rPr>
              <w:t>ilable to all staff and clinical/admin rooms</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1553F0">
            <w:pPr>
              <w:pStyle w:val="Default"/>
              <w:rPr>
                <w:rFonts w:ascii="Calibri" w:hAnsi="Calibri" w:cs="Calibri"/>
                <w:sz w:val="20"/>
              </w:rPr>
            </w:pPr>
          </w:p>
          <w:p w:rsidR="008473D4" w:rsidRPr="008473D4" w:rsidRDefault="008473D4" w:rsidP="001553F0">
            <w:pPr>
              <w:pStyle w:val="Default"/>
              <w:rPr>
                <w:rFonts w:ascii="Calibri" w:hAnsi="Calibri" w:cs="Calibri"/>
                <w:sz w:val="20"/>
              </w:rPr>
            </w:pPr>
            <w:r w:rsidRPr="008473D4">
              <w:rPr>
                <w:rFonts w:ascii="Calibri" w:hAnsi="Calibri" w:cs="Calibri"/>
                <w:sz w:val="20"/>
              </w:rPr>
              <w:t xml:space="preserve">Sepsis baseline carried out and the following (summary) completed/in place: </w:t>
            </w:r>
            <w:r w:rsidRPr="008473D4">
              <w:rPr>
                <w:rFonts w:ascii="Calibri" w:hAnsi="Calibri" w:cs="Calibri"/>
                <w:sz w:val="20"/>
              </w:rPr>
              <w:br/>
              <w:t>Training for all staff, Pop up enabled in SystmOne when certain codes are entered by clinical staff to alert possible sepsis, UK Sepsis information displayed in each consulting room, Case discussion at weekly clinical meetings</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1553F0">
            <w:pPr>
              <w:pStyle w:val="Default"/>
              <w:rPr>
                <w:rFonts w:ascii="Calibri" w:hAnsi="Calibri" w:cs="Calibri"/>
                <w:sz w:val="20"/>
              </w:rPr>
            </w:pPr>
          </w:p>
          <w:p w:rsidR="00073E3B" w:rsidRDefault="008473D4" w:rsidP="001553F0">
            <w:pPr>
              <w:pStyle w:val="Default"/>
              <w:rPr>
                <w:rFonts w:ascii="Calibri" w:hAnsi="Calibri" w:cs="Calibri"/>
                <w:sz w:val="20"/>
              </w:rPr>
            </w:pPr>
            <w:r w:rsidRPr="008473D4">
              <w:rPr>
                <w:rFonts w:ascii="Calibri" w:hAnsi="Calibri" w:cs="Calibri"/>
                <w:sz w:val="20"/>
              </w:rPr>
              <w:t xml:space="preserve">Sepsis baseline carried out and the following (summary) completed/in place: </w:t>
            </w:r>
          </w:p>
          <w:p w:rsidR="008473D4" w:rsidRPr="008473D4" w:rsidRDefault="008473D4" w:rsidP="001553F0">
            <w:pPr>
              <w:pStyle w:val="Default"/>
              <w:rPr>
                <w:rFonts w:ascii="Calibri" w:hAnsi="Calibri" w:cs="Calibri"/>
                <w:sz w:val="20"/>
              </w:rPr>
            </w:pPr>
            <w:r w:rsidRPr="008473D4">
              <w:rPr>
                <w:rFonts w:ascii="Calibri" w:hAnsi="Calibri" w:cs="Calibri"/>
                <w:sz w:val="20"/>
              </w:rPr>
              <w:t>Staff training, templates updated in S1, manual for staff to access, posters and leaflets for all practices</w:t>
            </w:r>
          </w:p>
        </w:tc>
      </w:tr>
      <w:tr w:rsidR="008473D4" w:rsidRPr="008473D4" w:rsidTr="00E27E44">
        <w:trPr>
          <w:trHeight w:val="1515"/>
        </w:trPr>
        <w:tc>
          <w:tcPr>
            <w:tcW w:w="2689" w:type="dxa"/>
            <w:hideMark/>
          </w:tcPr>
          <w:p w:rsidR="008473D4" w:rsidRPr="008473D4" w:rsidRDefault="00814234" w:rsidP="008473D4">
            <w:pPr>
              <w:pStyle w:val="Default"/>
              <w:jc w:val="both"/>
              <w:rPr>
                <w:rFonts w:ascii="Calibri" w:hAnsi="Calibri" w:cs="Calibri"/>
                <w:sz w:val="20"/>
              </w:rPr>
            </w:pPr>
            <w:r>
              <w:rPr>
                <w:rFonts w:ascii="Calibri" w:hAnsi="Calibri" w:cs="Calibri"/>
                <w:sz w:val="20"/>
              </w:rPr>
              <w:t xml:space="preserve">Quality </w:t>
            </w:r>
            <w:r w:rsidR="008473D4" w:rsidRPr="008473D4">
              <w:rPr>
                <w:rFonts w:ascii="Calibri" w:hAnsi="Calibri" w:cs="Calibri"/>
                <w:sz w:val="20"/>
              </w:rPr>
              <w:t xml:space="preserve"> improved consistency in a clinical area</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C442F2">
            <w:pPr>
              <w:pStyle w:val="Default"/>
              <w:rPr>
                <w:rFonts w:ascii="Calibri" w:hAnsi="Calibri" w:cs="Calibri"/>
                <w:sz w:val="20"/>
              </w:rPr>
            </w:pPr>
          </w:p>
          <w:p w:rsidR="008473D4" w:rsidRPr="008473D4" w:rsidRDefault="008473D4" w:rsidP="00C442F2">
            <w:pPr>
              <w:pStyle w:val="Default"/>
              <w:rPr>
                <w:rFonts w:ascii="Calibri" w:hAnsi="Calibri" w:cs="Calibri"/>
                <w:sz w:val="20"/>
              </w:rPr>
            </w:pPr>
            <w:r w:rsidRPr="008473D4">
              <w:rPr>
                <w:rFonts w:ascii="Calibri" w:hAnsi="Calibri" w:cs="Calibri"/>
                <w:sz w:val="20"/>
              </w:rPr>
              <w:t xml:space="preserve">UTI audits utilising the Nice audit template have been completed </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C442F2">
            <w:pPr>
              <w:pStyle w:val="Default"/>
              <w:rPr>
                <w:rFonts w:ascii="Calibri" w:hAnsi="Calibri" w:cs="Calibri"/>
                <w:sz w:val="20"/>
              </w:rPr>
            </w:pPr>
          </w:p>
          <w:p w:rsidR="008473D4" w:rsidRPr="008473D4" w:rsidRDefault="00C442F2" w:rsidP="00C442F2">
            <w:pPr>
              <w:pStyle w:val="Default"/>
              <w:rPr>
                <w:rFonts w:ascii="Calibri" w:hAnsi="Calibri" w:cs="Calibri"/>
                <w:sz w:val="20"/>
              </w:rPr>
            </w:pPr>
            <w:r>
              <w:rPr>
                <w:rFonts w:ascii="Calibri" w:hAnsi="Calibri" w:cs="Calibri"/>
                <w:sz w:val="20"/>
              </w:rPr>
              <w:t>All practices within the</w:t>
            </w:r>
            <w:r w:rsidR="008473D4" w:rsidRPr="008473D4">
              <w:rPr>
                <w:rFonts w:ascii="Calibri" w:hAnsi="Calibri" w:cs="Calibri"/>
                <w:sz w:val="20"/>
              </w:rPr>
              <w:t xml:space="preserve"> Federation have completed the UTI Audit.  </w:t>
            </w:r>
          </w:p>
        </w:tc>
        <w:tc>
          <w:tcPr>
            <w:tcW w:w="26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8473D4">
            <w:pPr>
              <w:pStyle w:val="Default"/>
              <w:jc w:val="both"/>
              <w:rPr>
                <w:rFonts w:ascii="Calibri" w:hAnsi="Calibri" w:cs="Calibri"/>
                <w:sz w:val="20"/>
              </w:rPr>
            </w:pPr>
          </w:p>
          <w:p w:rsidR="008473D4" w:rsidRPr="008473D4" w:rsidRDefault="008473D4" w:rsidP="008473D4">
            <w:pPr>
              <w:pStyle w:val="Default"/>
              <w:jc w:val="both"/>
              <w:rPr>
                <w:rFonts w:ascii="Calibri" w:hAnsi="Calibri" w:cs="Calibri"/>
                <w:sz w:val="20"/>
              </w:rPr>
            </w:pPr>
            <w:r w:rsidRPr="008473D4">
              <w:rPr>
                <w:rFonts w:ascii="Calibri" w:hAnsi="Calibri" w:cs="Calibri"/>
                <w:sz w:val="20"/>
              </w:rPr>
              <w:t xml:space="preserve">UTI audits utilising the Nice audit template have been completed </w:t>
            </w:r>
          </w:p>
        </w:tc>
      </w:tr>
    </w:tbl>
    <w:p w:rsidR="00B33947" w:rsidRDefault="00B33947" w:rsidP="00D3211A">
      <w:pPr>
        <w:pStyle w:val="Default"/>
        <w:jc w:val="both"/>
        <w:rPr>
          <w:rFonts w:ascii="Calibri" w:hAnsi="Calibri" w:cs="Calibri"/>
          <w:sz w:val="20"/>
          <w:szCs w:val="20"/>
        </w:rPr>
      </w:pPr>
    </w:p>
    <w:p w:rsidR="00B33947" w:rsidRDefault="00B33947" w:rsidP="00D3211A">
      <w:pPr>
        <w:pStyle w:val="Default"/>
        <w:jc w:val="both"/>
        <w:rPr>
          <w:rFonts w:ascii="Calibri" w:hAnsi="Calibri" w:cs="Calibri"/>
          <w:sz w:val="20"/>
          <w:szCs w:val="20"/>
        </w:rPr>
      </w:pPr>
    </w:p>
    <w:p w:rsidR="008473D4" w:rsidRPr="00E27E44" w:rsidRDefault="008473D4" w:rsidP="00D3211A">
      <w:pPr>
        <w:pStyle w:val="Default"/>
        <w:jc w:val="both"/>
        <w:rPr>
          <w:rFonts w:ascii="Calibri" w:hAnsi="Calibri" w:cs="Calibri"/>
          <w:b/>
          <w:sz w:val="20"/>
          <w:szCs w:val="20"/>
        </w:rPr>
      </w:pPr>
      <w:r w:rsidRPr="00E27E44">
        <w:rPr>
          <w:rFonts w:ascii="Calibri" w:hAnsi="Calibri" w:cs="Calibri"/>
          <w:b/>
          <w:sz w:val="20"/>
          <w:szCs w:val="20"/>
        </w:rPr>
        <w:t>Mortality Reviews:</w:t>
      </w:r>
    </w:p>
    <w:tbl>
      <w:tblPr>
        <w:tblStyle w:val="TableGrid"/>
        <w:tblW w:w="10768" w:type="dxa"/>
        <w:tblLook w:val="04A0" w:firstRow="1" w:lastRow="0" w:firstColumn="1" w:lastColumn="0" w:noHBand="0" w:noVBand="1"/>
      </w:tblPr>
      <w:tblGrid>
        <w:gridCol w:w="3589"/>
        <w:gridCol w:w="3589"/>
        <w:gridCol w:w="3590"/>
      </w:tblGrid>
      <w:tr w:rsidR="00C442F2" w:rsidRPr="008473D4" w:rsidTr="00814234">
        <w:trPr>
          <w:trHeight w:val="405"/>
        </w:trPr>
        <w:tc>
          <w:tcPr>
            <w:tcW w:w="3589" w:type="dxa"/>
            <w:shd w:val="clear" w:color="auto" w:fill="DBE5F1" w:themeFill="accent1" w:themeFillTint="33"/>
            <w:hideMark/>
          </w:tcPr>
          <w:p w:rsidR="00C442F2" w:rsidRDefault="00C442F2" w:rsidP="00C442F2">
            <w:pPr>
              <w:pStyle w:val="Default"/>
              <w:jc w:val="both"/>
              <w:rPr>
                <w:rFonts w:ascii="Calibri" w:hAnsi="Calibri" w:cs="Calibri"/>
                <w:b/>
                <w:bCs/>
                <w:sz w:val="20"/>
              </w:rPr>
            </w:pPr>
            <w:r w:rsidRPr="008473D4">
              <w:rPr>
                <w:rFonts w:ascii="Calibri" w:hAnsi="Calibri" w:cs="Calibri"/>
                <w:b/>
                <w:bCs/>
                <w:sz w:val="20"/>
              </w:rPr>
              <w:t>Federation 1</w:t>
            </w:r>
          </w:p>
          <w:p w:rsidR="00C442F2" w:rsidRPr="008473D4" w:rsidRDefault="00C442F2" w:rsidP="00C442F2">
            <w:pPr>
              <w:pStyle w:val="Default"/>
              <w:jc w:val="both"/>
              <w:rPr>
                <w:rFonts w:ascii="Calibri" w:hAnsi="Calibri" w:cs="Calibri"/>
                <w:b/>
                <w:bCs/>
                <w:sz w:val="20"/>
              </w:rPr>
            </w:pPr>
            <w:r>
              <w:rPr>
                <w:rFonts w:ascii="Calibri" w:hAnsi="Calibri" w:cs="Calibri"/>
                <w:b/>
                <w:bCs/>
                <w:sz w:val="20"/>
              </w:rPr>
              <w:t>Freshney-Pelham</w:t>
            </w:r>
          </w:p>
        </w:tc>
        <w:tc>
          <w:tcPr>
            <w:tcW w:w="3589" w:type="dxa"/>
            <w:shd w:val="clear" w:color="auto" w:fill="DBE5F1" w:themeFill="accent1" w:themeFillTint="33"/>
            <w:hideMark/>
          </w:tcPr>
          <w:p w:rsidR="00C442F2" w:rsidRDefault="00C442F2" w:rsidP="00C442F2">
            <w:pPr>
              <w:pStyle w:val="Default"/>
              <w:jc w:val="both"/>
              <w:rPr>
                <w:rFonts w:ascii="Calibri" w:hAnsi="Calibri" w:cs="Calibri"/>
                <w:b/>
                <w:bCs/>
                <w:sz w:val="20"/>
              </w:rPr>
            </w:pPr>
            <w:r w:rsidRPr="008473D4">
              <w:rPr>
                <w:rFonts w:ascii="Calibri" w:hAnsi="Calibri" w:cs="Calibri"/>
                <w:b/>
                <w:bCs/>
                <w:sz w:val="20"/>
              </w:rPr>
              <w:t>Federation 2</w:t>
            </w:r>
          </w:p>
          <w:p w:rsidR="00C442F2" w:rsidRPr="008473D4" w:rsidRDefault="00C442F2" w:rsidP="00C442F2">
            <w:pPr>
              <w:pStyle w:val="Default"/>
              <w:jc w:val="both"/>
              <w:rPr>
                <w:rFonts w:ascii="Calibri" w:hAnsi="Calibri" w:cs="Calibri"/>
                <w:b/>
                <w:bCs/>
                <w:sz w:val="20"/>
              </w:rPr>
            </w:pPr>
            <w:r>
              <w:rPr>
                <w:rFonts w:ascii="Calibri" w:hAnsi="Calibri" w:cs="Calibri"/>
                <w:b/>
                <w:bCs/>
                <w:sz w:val="20"/>
              </w:rPr>
              <w:t>Panacea</w:t>
            </w:r>
          </w:p>
        </w:tc>
        <w:tc>
          <w:tcPr>
            <w:tcW w:w="3590" w:type="dxa"/>
            <w:shd w:val="clear" w:color="auto" w:fill="DBE5F1" w:themeFill="accent1" w:themeFillTint="33"/>
            <w:hideMark/>
          </w:tcPr>
          <w:p w:rsidR="00C442F2" w:rsidRDefault="00C442F2" w:rsidP="00C442F2">
            <w:pPr>
              <w:pStyle w:val="Default"/>
              <w:jc w:val="both"/>
              <w:rPr>
                <w:rFonts w:ascii="Calibri" w:hAnsi="Calibri" w:cs="Calibri"/>
                <w:b/>
                <w:bCs/>
                <w:sz w:val="20"/>
              </w:rPr>
            </w:pPr>
            <w:r w:rsidRPr="008473D4">
              <w:rPr>
                <w:rFonts w:ascii="Calibri" w:hAnsi="Calibri" w:cs="Calibri"/>
                <w:b/>
                <w:bCs/>
                <w:sz w:val="20"/>
              </w:rPr>
              <w:t>Federation 3</w:t>
            </w:r>
          </w:p>
          <w:p w:rsidR="00C442F2" w:rsidRPr="008473D4" w:rsidRDefault="00C442F2" w:rsidP="00C442F2">
            <w:pPr>
              <w:pStyle w:val="Default"/>
              <w:jc w:val="both"/>
              <w:rPr>
                <w:rFonts w:ascii="Calibri" w:hAnsi="Calibri" w:cs="Calibri"/>
                <w:b/>
                <w:bCs/>
                <w:sz w:val="20"/>
              </w:rPr>
            </w:pPr>
            <w:r>
              <w:rPr>
                <w:rFonts w:ascii="Calibri" w:hAnsi="Calibri" w:cs="Calibri"/>
                <w:b/>
                <w:bCs/>
                <w:sz w:val="20"/>
              </w:rPr>
              <w:t>MHG</w:t>
            </w:r>
          </w:p>
        </w:tc>
      </w:tr>
      <w:tr w:rsidR="00A37638" w:rsidRPr="008473D4" w:rsidTr="00814234">
        <w:trPr>
          <w:trHeight w:val="405"/>
        </w:trPr>
        <w:tc>
          <w:tcPr>
            <w:tcW w:w="35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8473D4">
            <w:pPr>
              <w:pStyle w:val="Default"/>
              <w:jc w:val="both"/>
              <w:rPr>
                <w:rFonts w:ascii="Calibri" w:hAnsi="Calibri" w:cs="Calibri"/>
                <w:sz w:val="20"/>
              </w:rPr>
            </w:pPr>
          </w:p>
          <w:p w:rsidR="00A37638" w:rsidRPr="008473D4" w:rsidRDefault="00A37638" w:rsidP="008473D4">
            <w:pPr>
              <w:pStyle w:val="Default"/>
              <w:jc w:val="both"/>
              <w:rPr>
                <w:rFonts w:ascii="Calibri" w:hAnsi="Calibri" w:cs="Calibri"/>
                <w:sz w:val="20"/>
              </w:rPr>
            </w:pPr>
            <w:r>
              <w:rPr>
                <w:rFonts w:ascii="Calibri" w:hAnsi="Calibri" w:cs="Calibri"/>
                <w:sz w:val="20"/>
              </w:rPr>
              <w:t>An evaluation</w:t>
            </w:r>
            <w:r w:rsidRPr="008473D4">
              <w:rPr>
                <w:rFonts w:ascii="Calibri" w:hAnsi="Calibri" w:cs="Calibri"/>
                <w:sz w:val="20"/>
              </w:rPr>
              <w:t xml:space="preserve"> </w:t>
            </w:r>
            <w:r w:rsidR="00C442F2">
              <w:rPr>
                <w:rFonts w:ascii="Calibri" w:hAnsi="Calibri" w:cs="Calibri"/>
                <w:sz w:val="20"/>
              </w:rPr>
              <w:t xml:space="preserve">was </w:t>
            </w:r>
            <w:r w:rsidRPr="008473D4">
              <w:rPr>
                <w:rFonts w:ascii="Calibri" w:hAnsi="Calibri" w:cs="Calibri"/>
                <w:sz w:val="20"/>
              </w:rPr>
              <w:t>completed</w:t>
            </w:r>
          </w:p>
        </w:tc>
        <w:tc>
          <w:tcPr>
            <w:tcW w:w="3589"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8473D4">
            <w:pPr>
              <w:pStyle w:val="Default"/>
              <w:jc w:val="both"/>
              <w:rPr>
                <w:rFonts w:ascii="Calibri" w:hAnsi="Calibri" w:cs="Calibri"/>
                <w:sz w:val="20"/>
              </w:rPr>
            </w:pPr>
          </w:p>
          <w:p w:rsidR="00A37638" w:rsidRPr="008473D4" w:rsidRDefault="00A37638" w:rsidP="008473D4">
            <w:pPr>
              <w:pStyle w:val="Default"/>
              <w:jc w:val="both"/>
              <w:rPr>
                <w:rFonts w:ascii="Calibri" w:hAnsi="Calibri" w:cs="Calibri"/>
                <w:sz w:val="20"/>
              </w:rPr>
            </w:pPr>
            <w:r>
              <w:rPr>
                <w:rFonts w:ascii="Calibri" w:hAnsi="Calibri" w:cs="Calibri"/>
                <w:sz w:val="20"/>
              </w:rPr>
              <w:t xml:space="preserve">An evaluation </w:t>
            </w:r>
            <w:r w:rsidR="00C442F2">
              <w:rPr>
                <w:rFonts w:ascii="Calibri" w:hAnsi="Calibri" w:cs="Calibri"/>
                <w:sz w:val="20"/>
              </w:rPr>
              <w:t xml:space="preserve">was </w:t>
            </w:r>
            <w:r w:rsidRPr="008473D4">
              <w:rPr>
                <w:rFonts w:ascii="Calibri" w:hAnsi="Calibri" w:cs="Calibri"/>
                <w:sz w:val="20"/>
              </w:rPr>
              <w:t>completed</w:t>
            </w:r>
          </w:p>
        </w:tc>
        <w:tc>
          <w:tcPr>
            <w:tcW w:w="3590" w:type="dxa"/>
            <w:hideMark/>
          </w:tcPr>
          <w:p w:rsidR="00C442F2" w:rsidRDefault="00C442F2" w:rsidP="00C442F2">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C442F2" w:rsidRDefault="00C442F2" w:rsidP="008473D4">
            <w:pPr>
              <w:pStyle w:val="Default"/>
              <w:jc w:val="both"/>
              <w:rPr>
                <w:rFonts w:ascii="Calibri" w:hAnsi="Calibri" w:cs="Calibri"/>
                <w:sz w:val="20"/>
              </w:rPr>
            </w:pPr>
          </w:p>
          <w:p w:rsidR="00A37638" w:rsidRPr="008473D4" w:rsidRDefault="00A37638" w:rsidP="008473D4">
            <w:pPr>
              <w:pStyle w:val="Default"/>
              <w:jc w:val="both"/>
              <w:rPr>
                <w:rFonts w:ascii="Calibri" w:hAnsi="Calibri" w:cs="Calibri"/>
                <w:sz w:val="20"/>
              </w:rPr>
            </w:pPr>
            <w:r>
              <w:rPr>
                <w:rFonts w:ascii="Calibri" w:hAnsi="Calibri" w:cs="Calibri"/>
                <w:sz w:val="20"/>
              </w:rPr>
              <w:t xml:space="preserve">An evaluation </w:t>
            </w:r>
            <w:r w:rsidR="00C442F2">
              <w:rPr>
                <w:rFonts w:ascii="Calibri" w:hAnsi="Calibri" w:cs="Calibri"/>
                <w:sz w:val="20"/>
              </w:rPr>
              <w:t xml:space="preserve">was </w:t>
            </w:r>
            <w:r w:rsidRPr="008473D4">
              <w:rPr>
                <w:rFonts w:ascii="Calibri" w:hAnsi="Calibri" w:cs="Calibri"/>
                <w:sz w:val="20"/>
              </w:rPr>
              <w:t>completed</w:t>
            </w:r>
          </w:p>
        </w:tc>
      </w:tr>
      <w:tr w:rsidR="00A37638" w:rsidRPr="008473D4" w:rsidTr="00814234">
        <w:trPr>
          <w:trHeight w:val="2265"/>
        </w:trPr>
        <w:tc>
          <w:tcPr>
            <w:tcW w:w="3589" w:type="dxa"/>
            <w:hideMark/>
          </w:tcPr>
          <w:p w:rsidR="00374205" w:rsidRDefault="00374205" w:rsidP="008473D4">
            <w:pPr>
              <w:pStyle w:val="Default"/>
              <w:jc w:val="both"/>
              <w:rPr>
                <w:rFonts w:ascii="Calibri" w:hAnsi="Calibri" w:cs="Calibri"/>
                <w:sz w:val="20"/>
              </w:rPr>
            </w:pPr>
            <w:r>
              <w:rPr>
                <w:rFonts w:ascii="Calibri" w:hAnsi="Calibri" w:cs="Calibri"/>
                <w:sz w:val="20"/>
              </w:rPr>
              <w:t>Themes</w:t>
            </w:r>
            <w:r w:rsidR="00C442F2">
              <w:rPr>
                <w:rFonts w:ascii="Calibri" w:hAnsi="Calibri" w:cs="Calibri"/>
                <w:sz w:val="20"/>
              </w:rPr>
              <w:t>:</w:t>
            </w:r>
          </w:p>
          <w:p w:rsidR="00A37638" w:rsidRPr="008473D4" w:rsidRDefault="00A37638" w:rsidP="00E27E44">
            <w:pPr>
              <w:pStyle w:val="Default"/>
              <w:rPr>
                <w:rFonts w:ascii="Calibri" w:hAnsi="Calibri" w:cs="Calibri"/>
                <w:sz w:val="20"/>
              </w:rPr>
            </w:pPr>
            <w:r w:rsidRPr="008473D4">
              <w:rPr>
                <w:rFonts w:ascii="Calibri" w:hAnsi="Calibri" w:cs="Calibri"/>
                <w:sz w:val="20"/>
              </w:rPr>
              <w:t>Make better record of desire</w:t>
            </w:r>
            <w:r w:rsidR="007B12B5">
              <w:rPr>
                <w:rFonts w:ascii="Calibri" w:hAnsi="Calibri" w:cs="Calibri"/>
                <w:sz w:val="20"/>
              </w:rPr>
              <w:t>d</w:t>
            </w:r>
            <w:r w:rsidRPr="008473D4">
              <w:rPr>
                <w:rFonts w:ascii="Calibri" w:hAnsi="Calibri" w:cs="Calibri"/>
                <w:sz w:val="20"/>
              </w:rPr>
              <w:t xml:space="preserve"> place of death, Now added age plus underlying conditions as criteria for palliative care register, Trying to obtain DNAR from other providers </w:t>
            </w:r>
          </w:p>
        </w:tc>
        <w:tc>
          <w:tcPr>
            <w:tcW w:w="3589" w:type="dxa"/>
            <w:hideMark/>
          </w:tcPr>
          <w:p w:rsidR="00374205" w:rsidRDefault="00374205" w:rsidP="008473D4">
            <w:pPr>
              <w:pStyle w:val="Default"/>
              <w:jc w:val="both"/>
              <w:rPr>
                <w:rFonts w:ascii="Calibri" w:hAnsi="Calibri" w:cs="Calibri"/>
                <w:sz w:val="20"/>
              </w:rPr>
            </w:pPr>
            <w:r>
              <w:rPr>
                <w:rFonts w:ascii="Calibri" w:hAnsi="Calibri" w:cs="Calibri"/>
                <w:sz w:val="20"/>
              </w:rPr>
              <w:t>Themes</w:t>
            </w:r>
            <w:r w:rsidR="00C442F2">
              <w:rPr>
                <w:rFonts w:ascii="Calibri" w:hAnsi="Calibri" w:cs="Calibri"/>
                <w:sz w:val="20"/>
              </w:rPr>
              <w:t>:</w:t>
            </w:r>
          </w:p>
          <w:p w:rsidR="00A37638" w:rsidRPr="008473D4" w:rsidRDefault="00A37638" w:rsidP="00E27E44">
            <w:pPr>
              <w:pStyle w:val="Default"/>
              <w:rPr>
                <w:rFonts w:ascii="Calibri" w:hAnsi="Calibri" w:cs="Calibri"/>
                <w:sz w:val="20"/>
              </w:rPr>
            </w:pPr>
            <w:r w:rsidRPr="008473D4">
              <w:rPr>
                <w:rFonts w:ascii="Calibri" w:hAnsi="Calibri" w:cs="Calibri"/>
                <w:sz w:val="20"/>
              </w:rPr>
              <w:t>Agreed template for member practice to use, if they wish and to circulate the 2 best documented mortality reviews anonymously across the 13 practices to help with future documentation</w:t>
            </w:r>
          </w:p>
        </w:tc>
        <w:tc>
          <w:tcPr>
            <w:tcW w:w="3590" w:type="dxa"/>
            <w:hideMark/>
          </w:tcPr>
          <w:p w:rsidR="00374205" w:rsidRDefault="00374205" w:rsidP="00374205">
            <w:pPr>
              <w:pStyle w:val="Default"/>
              <w:jc w:val="both"/>
              <w:rPr>
                <w:rFonts w:ascii="Calibri" w:hAnsi="Calibri" w:cs="Calibri"/>
                <w:sz w:val="20"/>
              </w:rPr>
            </w:pPr>
            <w:r>
              <w:rPr>
                <w:rFonts w:ascii="Calibri" w:hAnsi="Calibri" w:cs="Calibri"/>
                <w:sz w:val="20"/>
              </w:rPr>
              <w:t>Themes</w:t>
            </w:r>
            <w:r w:rsidR="00C442F2">
              <w:rPr>
                <w:rFonts w:ascii="Calibri" w:hAnsi="Calibri" w:cs="Calibri"/>
                <w:sz w:val="20"/>
              </w:rPr>
              <w:t>:</w:t>
            </w:r>
          </w:p>
          <w:p w:rsidR="00374205" w:rsidRPr="008473D4" w:rsidRDefault="00A37638" w:rsidP="00E27E44">
            <w:pPr>
              <w:pStyle w:val="Default"/>
              <w:rPr>
                <w:rFonts w:ascii="Calibri" w:hAnsi="Calibri" w:cs="Calibri"/>
                <w:sz w:val="20"/>
              </w:rPr>
            </w:pPr>
            <w:r w:rsidRPr="008473D4">
              <w:rPr>
                <w:rFonts w:ascii="Calibri" w:hAnsi="Calibri" w:cs="Calibri"/>
                <w:sz w:val="20"/>
              </w:rPr>
              <w:t>Agree</w:t>
            </w:r>
            <w:r w:rsidR="00E27E44">
              <w:rPr>
                <w:rFonts w:ascii="Calibri" w:hAnsi="Calibri" w:cs="Calibri"/>
                <w:sz w:val="20"/>
              </w:rPr>
              <w:t>d</w:t>
            </w:r>
            <w:r w:rsidRPr="008473D4">
              <w:rPr>
                <w:rFonts w:ascii="Calibri" w:hAnsi="Calibri" w:cs="Calibri"/>
                <w:sz w:val="20"/>
              </w:rPr>
              <w:t xml:space="preserve"> patients for palliative register and coding, Agree</w:t>
            </w:r>
            <w:r w:rsidR="00E27E44">
              <w:rPr>
                <w:rFonts w:ascii="Calibri" w:hAnsi="Calibri" w:cs="Calibri"/>
                <w:sz w:val="20"/>
              </w:rPr>
              <w:t>d</w:t>
            </w:r>
            <w:r w:rsidRPr="008473D4">
              <w:rPr>
                <w:rFonts w:ascii="Calibri" w:hAnsi="Calibri" w:cs="Calibri"/>
                <w:sz w:val="20"/>
              </w:rPr>
              <w:t xml:space="preserve"> coding for preferred place of death, Anticipatory meds, DNACPR, Summarising process across Federation, Recording of level of dementia</w:t>
            </w:r>
            <w:r w:rsidR="00374205">
              <w:rPr>
                <w:rFonts w:ascii="Calibri" w:hAnsi="Calibri" w:cs="Calibri"/>
                <w:sz w:val="20"/>
              </w:rPr>
              <w:t>.</w:t>
            </w:r>
          </w:p>
          <w:p w:rsidR="00A37638" w:rsidRPr="008473D4" w:rsidRDefault="00A37638" w:rsidP="008473D4">
            <w:pPr>
              <w:pStyle w:val="Default"/>
              <w:jc w:val="both"/>
              <w:rPr>
                <w:rFonts w:ascii="Calibri" w:hAnsi="Calibri" w:cs="Calibri"/>
                <w:sz w:val="20"/>
              </w:rPr>
            </w:pPr>
          </w:p>
        </w:tc>
      </w:tr>
    </w:tbl>
    <w:p w:rsidR="008473D4" w:rsidRDefault="008473D4" w:rsidP="00D3211A">
      <w:pPr>
        <w:pStyle w:val="Default"/>
        <w:jc w:val="both"/>
        <w:rPr>
          <w:rFonts w:ascii="Calibri" w:hAnsi="Calibri" w:cs="Calibri"/>
          <w:sz w:val="20"/>
          <w:szCs w:val="20"/>
        </w:rPr>
      </w:pPr>
    </w:p>
    <w:p w:rsidR="008473D4" w:rsidRDefault="008473D4" w:rsidP="00D3211A">
      <w:pPr>
        <w:pStyle w:val="Default"/>
        <w:jc w:val="both"/>
        <w:rPr>
          <w:rFonts w:ascii="Calibri" w:hAnsi="Calibri" w:cs="Calibri"/>
          <w:sz w:val="20"/>
          <w:szCs w:val="20"/>
        </w:rPr>
      </w:pPr>
    </w:p>
    <w:p w:rsidR="008473D4" w:rsidRPr="00E27E44" w:rsidRDefault="00A37638" w:rsidP="00D3211A">
      <w:pPr>
        <w:pStyle w:val="Default"/>
        <w:jc w:val="both"/>
        <w:rPr>
          <w:rFonts w:ascii="Calibri" w:hAnsi="Calibri" w:cs="Calibri"/>
          <w:b/>
          <w:sz w:val="20"/>
          <w:szCs w:val="20"/>
        </w:rPr>
      </w:pPr>
      <w:r w:rsidRPr="00E27E44">
        <w:rPr>
          <w:rFonts w:ascii="Calibri" w:hAnsi="Calibri" w:cs="Calibri"/>
          <w:b/>
          <w:sz w:val="20"/>
          <w:szCs w:val="20"/>
        </w:rPr>
        <w:t>Referral Management:</w:t>
      </w:r>
    </w:p>
    <w:tbl>
      <w:tblPr>
        <w:tblStyle w:val="TableGrid"/>
        <w:tblW w:w="0" w:type="auto"/>
        <w:tblLook w:val="04A0" w:firstRow="1" w:lastRow="0" w:firstColumn="1" w:lastColumn="0" w:noHBand="0" w:noVBand="1"/>
      </w:tblPr>
      <w:tblGrid>
        <w:gridCol w:w="2689"/>
        <w:gridCol w:w="2689"/>
        <w:gridCol w:w="2689"/>
        <w:gridCol w:w="2689"/>
      </w:tblGrid>
      <w:tr w:rsidR="00D93F10" w:rsidRPr="00A37638" w:rsidTr="00814234">
        <w:trPr>
          <w:trHeight w:val="495"/>
        </w:trPr>
        <w:tc>
          <w:tcPr>
            <w:tcW w:w="2689" w:type="dxa"/>
            <w:shd w:val="clear" w:color="auto" w:fill="DBE5F1" w:themeFill="accent1" w:themeFillTint="33"/>
          </w:tcPr>
          <w:p w:rsidR="00D93F10" w:rsidRPr="008473D4" w:rsidRDefault="00D93F10" w:rsidP="00C442F2">
            <w:pPr>
              <w:pStyle w:val="Default"/>
              <w:jc w:val="both"/>
              <w:rPr>
                <w:rFonts w:ascii="Calibri" w:hAnsi="Calibri" w:cs="Calibri"/>
                <w:b/>
                <w:bCs/>
                <w:sz w:val="20"/>
              </w:rPr>
            </w:pPr>
            <w:r>
              <w:rPr>
                <w:rFonts w:ascii="Calibri" w:hAnsi="Calibri" w:cs="Calibri"/>
                <w:b/>
                <w:bCs/>
                <w:sz w:val="20"/>
              </w:rPr>
              <w:t>Quality Area</w:t>
            </w:r>
          </w:p>
        </w:tc>
        <w:tc>
          <w:tcPr>
            <w:tcW w:w="2689" w:type="dxa"/>
            <w:shd w:val="clear" w:color="auto" w:fill="DBE5F1" w:themeFill="accent1" w:themeFillTint="33"/>
            <w:hideMark/>
          </w:tcPr>
          <w:p w:rsidR="00D93F10" w:rsidRDefault="00D93F10" w:rsidP="00C442F2">
            <w:pPr>
              <w:pStyle w:val="Default"/>
              <w:jc w:val="both"/>
              <w:rPr>
                <w:rFonts w:ascii="Calibri" w:hAnsi="Calibri" w:cs="Calibri"/>
                <w:b/>
                <w:bCs/>
                <w:sz w:val="20"/>
              </w:rPr>
            </w:pPr>
            <w:r w:rsidRPr="008473D4">
              <w:rPr>
                <w:rFonts w:ascii="Calibri" w:hAnsi="Calibri" w:cs="Calibri"/>
                <w:b/>
                <w:bCs/>
                <w:sz w:val="20"/>
              </w:rPr>
              <w:t>Federation 1</w:t>
            </w:r>
          </w:p>
          <w:p w:rsidR="00D93F10" w:rsidRPr="008473D4" w:rsidRDefault="00D93F10" w:rsidP="00C442F2">
            <w:pPr>
              <w:pStyle w:val="Default"/>
              <w:jc w:val="both"/>
              <w:rPr>
                <w:rFonts w:ascii="Calibri" w:hAnsi="Calibri" w:cs="Calibri"/>
                <w:b/>
                <w:bCs/>
                <w:sz w:val="20"/>
              </w:rPr>
            </w:pPr>
            <w:r>
              <w:rPr>
                <w:rFonts w:ascii="Calibri" w:hAnsi="Calibri" w:cs="Calibri"/>
                <w:b/>
                <w:bCs/>
                <w:sz w:val="20"/>
              </w:rPr>
              <w:t>Freshney-Pelham</w:t>
            </w:r>
          </w:p>
        </w:tc>
        <w:tc>
          <w:tcPr>
            <w:tcW w:w="2689" w:type="dxa"/>
            <w:shd w:val="clear" w:color="auto" w:fill="DBE5F1" w:themeFill="accent1" w:themeFillTint="33"/>
            <w:hideMark/>
          </w:tcPr>
          <w:p w:rsidR="00D93F10" w:rsidRDefault="00D93F10" w:rsidP="00C442F2">
            <w:pPr>
              <w:pStyle w:val="Default"/>
              <w:jc w:val="both"/>
              <w:rPr>
                <w:rFonts w:ascii="Calibri" w:hAnsi="Calibri" w:cs="Calibri"/>
                <w:b/>
                <w:bCs/>
                <w:sz w:val="20"/>
              </w:rPr>
            </w:pPr>
            <w:r w:rsidRPr="008473D4">
              <w:rPr>
                <w:rFonts w:ascii="Calibri" w:hAnsi="Calibri" w:cs="Calibri"/>
                <w:b/>
                <w:bCs/>
                <w:sz w:val="20"/>
              </w:rPr>
              <w:t>Federation 2</w:t>
            </w:r>
          </w:p>
          <w:p w:rsidR="00D93F10" w:rsidRPr="008473D4" w:rsidRDefault="00D93F10" w:rsidP="00C442F2">
            <w:pPr>
              <w:pStyle w:val="Default"/>
              <w:jc w:val="both"/>
              <w:rPr>
                <w:rFonts w:ascii="Calibri" w:hAnsi="Calibri" w:cs="Calibri"/>
                <w:b/>
                <w:bCs/>
                <w:sz w:val="20"/>
              </w:rPr>
            </w:pPr>
            <w:r>
              <w:rPr>
                <w:rFonts w:ascii="Calibri" w:hAnsi="Calibri" w:cs="Calibri"/>
                <w:b/>
                <w:bCs/>
                <w:sz w:val="20"/>
              </w:rPr>
              <w:t>Panacea</w:t>
            </w:r>
          </w:p>
        </w:tc>
        <w:tc>
          <w:tcPr>
            <w:tcW w:w="2689" w:type="dxa"/>
            <w:shd w:val="clear" w:color="auto" w:fill="DBE5F1" w:themeFill="accent1" w:themeFillTint="33"/>
            <w:hideMark/>
          </w:tcPr>
          <w:p w:rsidR="00D93F10" w:rsidRDefault="00D93F10" w:rsidP="00C442F2">
            <w:pPr>
              <w:pStyle w:val="Default"/>
              <w:jc w:val="both"/>
              <w:rPr>
                <w:rFonts w:ascii="Calibri" w:hAnsi="Calibri" w:cs="Calibri"/>
                <w:b/>
                <w:bCs/>
                <w:sz w:val="20"/>
              </w:rPr>
            </w:pPr>
            <w:r w:rsidRPr="008473D4">
              <w:rPr>
                <w:rFonts w:ascii="Calibri" w:hAnsi="Calibri" w:cs="Calibri"/>
                <w:b/>
                <w:bCs/>
                <w:sz w:val="20"/>
              </w:rPr>
              <w:t>Federation 3</w:t>
            </w:r>
          </w:p>
          <w:p w:rsidR="00D93F10" w:rsidRPr="008473D4" w:rsidRDefault="00D93F10" w:rsidP="00C442F2">
            <w:pPr>
              <w:pStyle w:val="Default"/>
              <w:jc w:val="both"/>
              <w:rPr>
                <w:rFonts w:ascii="Calibri" w:hAnsi="Calibri" w:cs="Calibri"/>
                <w:b/>
                <w:bCs/>
                <w:sz w:val="20"/>
              </w:rPr>
            </w:pPr>
            <w:r>
              <w:rPr>
                <w:rFonts w:ascii="Calibri" w:hAnsi="Calibri" w:cs="Calibri"/>
                <w:b/>
                <w:bCs/>
                <w:sz w:val="20"/>
              </w:rPr>
              <w:t>MHG</w:t>
            </w:r>
          </w:p>
        </w:tc>
      </w:tr>
      <w:tr w:rsidR="00D93F10" w:rsidRPr="00A37638" w:rsidTr="00814234">
        <w:trPr>
          <w:trHeight w:val="1425"/>
        </w:trPr>
        <w:tc>
          <w:tcPr>
            <w:tcW w:w="2689" w:type="dxa"/>
          </w:tcPr>
          <w:p w:rsidR="00D93F10" w:rsidRDefault="00D93F10" w:rsidP="00D93F10">
            <w:pPr>
              <w:pStyle w:val="Default"/>
              <w:rPr>
                <w:rFonts w:ascii="Calibri" w:hAnsi="Calibri" w:cs="Calibri"/>
                <w:sz w:val="20"/>
              </w:rPr>
            </w:pPr>
            <w:r w:rsidRPr="00A37638">
              <w:rPr>
                <w:rFonts w:ascii="Calibri" w:hAnsi="Calibri" w:cs="Calibri"/>
                <w:sz w:val="20"/>
              </w:rPr>
              <w:t>Demonstrated understanding of areas requiring focus at meetings</w:t>
            </w:r>
            <w:r>
              <w:rPr>
                <w:rFonts w:ascii="Calibri" w:hAnsi="Calibri" w:cs="Calibri"/>
                <w:sz w:val="20"/>
              </w:rPr>
              <w:t>. Re</w:t>
            </w:r>
            <w:r w:rsidRPr="00A37638">
              <w:rPr>
                <w:rFonts w:ascii="Calibri" w:hAnsi="Calibri" w:cs="Calibri"/>
                <w:sz w:val="20"/>
              </w:rPr>
              <w:t>view</w:t>
            </w:r>
            <w:r>
              <w:rPr>
                <w:rFonts w:ascii="Calibri" w:hAnsi="Calibri" w:cs="Calibri"/>
                <w:sz w:val="20"/>
              </w:rPr>
              <w:t>ed</w:t>
            </w:r>
            <w:r w:rsidRPr="00A37638">
              <w:rPr>
                <w:rFonts w:ascii="Calibri" w:hAnsi="Calibri" w:cs="Calibri"/>
                <w:sz w:val="20"/>
              </w:rPr>
              <w:t xml:space="preserve"> across </w:t>
            </w:r>
            <w:r>
              <w:rPr>
                <w:rFonts w:ascii="Calibri" w:hAnsi="Calibri" w:cs="Calibri"/>
                <w:sz w:val="20"/>
              </w:rPr>
              <w:t xml:space="preserve">their </w:t>
            </w:r>
            <w:r w:rsidRPr="00A37638">
              <w:rPr>
                <w:rFonts w:ascii="Calibri" w:hAnsi="Calibri" w:cs="Calibri"/>
                <w:sz w:val="20"/>
              </w:rPr>
              <w:t xml:space="preserve">Federation and </w:t>
            </w:r>
            <w:r>
              <w:rPr>
                <w:rFonts w:ascii="Calibri" w:hAnsi="Calibri" w:cs="Calibri"/>
                <w:sz w:val="20"/>
              </w:rPr>
              <w:t xml:space="preserve">completed </w:t>
            </w:r>
            <w:r w:rsidRPr="00A37638">
              <w:rPr>
                <w:rFonts w:ascii="Calibri" w:hAnsi="Calibri" w:cs="Calibri"/>
                <w:sz w:val="20"/>
              </w:rPr>
              <w:t xml:space="preserve">analysis </w:t>
            </w:r>
            <w:r>
              <w:rPr>
                <w:rFonts w:ascii="Calibri" w:hAnsi="Calibri" w:cs="Calibri"/>
                <w:sz w:val="20"/>
              </w:rPr>
              <w:t>of issues identified.</w:t>
            </w:r>
          </w:p>
        </w:tc>
        <w:tc>
          <w:tcPr>
            <w:tcW w:w="2689" w:type="dxa"/>
          </w:tcPr>
          <w:p w:rsidR="00D93F10" w:rsidRDefault="00D93F10" w:rsidP="00D93F1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D93F10" w:rsidRPr="00A37638" w:rsidRDefault="00D93F10" w:rsidP="00D93F10">
            <w:pPr>
              <w:pStyle w:val="Default"/>
              <w:rPr>
                <w:rFonts w:ascii="Calibri" w:hAnsi="Calibri" w:cs="Calibri"/>
                <w:sz w:val="20"/>
              </w:rPr>
            </w:pPr>
          </w:p>
        </w:tc>
        <w:tc>
          <w:tcPr>
            <w:tcW w:w="2689" w:type="dxa"/>
          </w:tcPr>
          <w:p w:rsidR="00D93F10" w:rsidRDefault="00D93F10" w:rsidP="00D93F1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D93F10" w:rsidRPr="00A37638" w:rsidRDefault="00D93F10" w:rsidP="00D93F10">
            <w:pPr>
              <w:pStyle w:val="Default"/>
              <w:rPr>
                <w:rFonts w:ascii="Calibri" w:hAnsi="Calibri" w:cs="Calibri"/>
                <w:sz w:val="20"/>
              </w:rPr>
            </w:pPr>
          </w:p>
        </w:tc>
        <w:tc>
          <w:tcPr>
            <w:tcW w:w="2689" w:type="dxa"/>
          </w:tcPr>
          <w:p w:rsidR="00D93F10" w:rsidRDefault="00D93F10" w:rsidP="00D93F1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D93F10" w:rsidRPr="00A37638" w:rsidRDefault="00D93F10" w:rsidP="00D93F10">
            <w:pPr>
              <w:pStyle w:val="Default"/>
              <w:rPr>
                <w:rFonts w:ascii="Calibri" w:hAnsi="Calibri" w:cs="Calibri"/>
                <w:sz w:val="20"/>
              </w:rPr>
            </w:pPr>
          </w:p>
        </w:tc>
      </w:tr>
      <w:tr w:rsidR="00D93F10" w:rsidRPr="00A37638" w:rsidTr="00814234">
        <w:trPr>
          <w:trHeight w:val="765"/>
        </w:trPr>
        <w:tc>
          <w:tcPr>
            <w:tcW w:w="2689" w:type="dxa"/>
          </w:tcPr>
          <w:p w:rsidR="00814234" w:rsidRDefault="00814234" w:rsidP="00D93F10">
            <w:pPr>
              <w:pStyle w:val="Default"/>
              <w:rPr>
                <w:rFonts w:ascii="Calibri" w:hAnsi="Calibri" w:cs="Calibri"/>
                <w:sz w:val="20"/>
              </w:rPr>
            </w:pPr>
          </w:p>
          <w:p w:rsidR="00D93F10" w:rsidRDefault="00D93F10" w:rsidP="00D93F10">
            <w:pPr>
              <w:pStyle w:val="Default"/>
              <w:rPr>
                <w:rFonts w:ascii="Calibri" w:hAnsi="Calibri" w:cs="Calibri"/>
                <w:sz w:val="20"/>
              </w:rPr>
            </w:pPr>
            <w:r w:rsidRPr="00A37638">
              <w:rPr>
                <w:rFonts w:ascii="Calibri" w:hAnsi="Calibri" w:cs="Calibri"/>
                <w:sz w:val="20"/>
              </w:rPr>
              <w:t>Presented their findings at the PTL event in March 2019</w:t>
            </w:r>
          </w:p>
          <w:p w:rsidR="00D93F10" w:rsidRPr="00A37638" w:rsidRDefault="00D93F10" w:rsidP="00D93F10">
            <w:pPr>
              <w:pStyle w:val="Default"/>
              <w:rPr>
                <w:rFonts w:ascii="Calibri" w:hAnsi="Calibri" w:cs="Calibri"/>
                <w:sz w:val="20"/>
              </w:rPr>
            </w:pPr>
          </w:p>
        </w:tc>
        <w:tc>
          <w:tcPr>
            <w:tcW w:w="2689" w:type="dxa"/>
            <w:hideMark/>
          </w:tcPr>
          <w:p w:rsidR="00D93F10" w:rsidRDefault="00D93F10" w:rsidP="00D93F1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D93F10" w:rsidRDefault="00D93F10" w:rsidP="00D93F10">
            <w:pPr>
              <w:pStyle w:val="Default"/>
              <w:rPr>
                <w:rFonts w:ascii="Calibri" w:hAnsi="Calibri" w:cs="Calibri"/>
                <w:sz w:val="20"/>
              </w:rPr>
            </w:pPr>
          </w:p>
          <w:p w:rsidR="00D93F10" w:rsidRPr="00A37638" w:rsidRDefault="00D93F10" w:rsidP="007B12B5">
            <w:pPr>
              <w:pStyle w:val="Default"/>
              <w:rPr>
                <w:rFonts w:ascii="Calibri" w:hAnsi="Calibri" w:cs="Calibri"/>
                <w:sz w:val="20"/>
              </w:rPr>
            </w:pPr>
          </w:p>
        </w:tc>
        <w:tc>
          <w:tcPr>
            <w:tcW w:w="2689" w:type="dxa"/>
            <w:hideMark/>
          </w:tcPr>
          <w:p w:rsidR="00D93F10" w:rsidRDefault="00D93F10" w:rsidP="00D93F1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D93F10" w:rsidRDefault="00D93F10" w:rsidP="00D93F10">
            <w:pPr>
              <w:pStyle w:val="Default"/>
              <w:rPr>
                <w:rFonts w:ascii="Calibri" w:hAnsi="Calibri" w:cs="Calibri"/>
                <w:sz w:val="20"/>
              </w:rPr>
            </w:pPr>
          </w:p>
          <w:p w:rsidR="00D93F10" w:rsidRPr="00A37638" w:rsidRDefault="00D93F10" w:rsidP="007B12B5">
            <w:pPr>
              <w:pStyle w:val="Default"/>
              <w:rPr>
                <w:rFonts w:ascii="Calibri" w:hAnsi="Calibri" w:cs="Calibri"/>
                <w:sz w:val="20"/>
              </w:rPr>
            </w:pPr>
          </w:p>
        </w:tc>
        <w:tc>
          <w:tcPr>
            <w:tcW w:w="2689" w:type="dxa"/>
            <w:hideMark/>
          </w:tcPr>
          <w:p w:rsidR="00D93F10" w:rsidRDefault="00D93F10" w:rsidP="00D93F10">
            <w:pPr>
              <w:pStyle w:val="Default"/>
              <w:jc w:val="center"/>
              <w:rPr>
                <w:rFonts w:ascii="Segoe UI Symbol" w:hAnsi="Segoe UI Symbol" w:cs="Segoe UI Symbol"/>
                <w:sz w:val="22"/>
                <w:szCs w:val="22"/>
              </w:rPr>
            </w:pPr>
            <w:r w:rsidRPr="009B7C71">
              <w:rPr>
                <w:rFonts w:ascii="Segoe UI Symbol" w:hAnsi="Segoe UI Symbol" w:cs="Segoe UI Symbol"/>
                <w:sz w:val="22"/>
                <w:szCs w:val="22"/>
              </w:rPr>
              <w:t>✔</w:t>
            </w:r>
          </w:p>
          <w:p w:rsidR="00D93F10" w:rsidRDefault="00D93F10" w:rsidP="00D93F10">
            <w:pPr>
              <w:pStyle w:val="Default"/>
              <w:rPr>
                <w:rFonts w:ascii="Calibri" w:hAnsi="Calibri" w:cs="Calibri"/>
                <w:sz w:val="20"/>
              </w:rPr>
            </w:pPr>
          </w:p>
          <w:p w:rsidR="00D93F10" w:rsidRPr="00A37638" w:rsidRDefault="00D93F10" w:rsidP="007B12B5">
            <w:pPr>
              <w:pStyle w:val="Default"/>
              <w:rPr>
                <w:rFonts w:ascii="Calibri" w:hAnsi="Calibri" w:cs="Calibri"/>
                <w:sz w:val="20"/>
              </w:rPr>
            </w:pPr>
          </w:p>
        </w:tc>
      </w:tr>
    </w:tbl>
    <w:p w:rsidR="00A37638" w:rsidRPr="00B33947" w:rsidRDefault="00A37638" w:rsidP="00D3211A">
      <w:pPr>
        <w:pStyle w:val="Default"/>
        <w:jc w:val="both"/>
        <w:rPr>
          <w:rFonts w:asciiTheme="minorHAnsi" w:hAnsiTheme="minorHAnsi" w:cstheme="minorHAnsi"/>
          <w:sz w:val="20"/>
        </w:rPr>
      </w:pPr>
    </w:p>
    <w:p w:rsidR="00B33947" w:rsidRPr="00E27E44" w:rsidRDefault="00B33947" w:rsidP="00B33947">
      <w:pPr>
        <w:pStyle w:val="Default"/>
        <w:jc w:val="both"/>
        <w:rPr>
          <w:rFonts w:asciiTheme="minorHAnsi" w:hAnsiTheme="minorHAnsi" w:cstheme="minorHAnsi"/>
          <w:b/>
          <w:sz w:val="20"/>
        </w:rPr>
      </w:pPr>
      <w:r w:rsidRPr="00E27E44">
        <w:rPr>
          <w:rFonts w:asciiTheme="minorHAnsi" w:hAnsiTheme="minorHAnsi" w:cstheme="minorHAnsi"/>
          <w:b/>
          <w:sz w:val="20"/>
        </w:rPr>
        <w:t>Safe and effective use of medicines</w:t>
      </w:r>
      <w:r w:rsidR="00F4350F" w:rsidRPr="00E27E44">
        <w:rPr>
          <w:rFonts w:asciiTheme="minorHAnsi" w:hAnsiTheme="minorHAnsi" w:cstheme="minorHAnsi"/>
          <w:b/>
          <w:sz w:val="20"/>
        </w:rPr>
        <w:t>:</w:t>
      </w:r>
      <w:r w:rsidRPr="00E27E44">
        <w:rPr>
          <w:rFonts w:asciiTheme="minorHAnsi" w:hAnsiTheme="minorHAnsi" w:cstheme="minorHAnsi"/>
          <w:b/>
          <w:sz w:val="20"/>
        </w:rPr>
        <w:t xml:space="preserve">  </w:t>
      </w:r>
    </w:p>
    <w:p w:rsidR="00A37638" w:rsidRPr="00B33947" w:rsidRDefault="00A37638" w:rsidP="00A37638">
      <w:pPr>
        <w:pStyle w:val="Default"/>
        <w:jc w:val="both"/>
        <w:rPr>
          <w:rFonts w:asciiTheme="minorHAnsi" w:hAnsiTheme="minorHAnsi" w:cstheme="minorHAnsi"/>
          <w:sz w:val="20"/>
        </w:rPr>
      </w:pPr>
      <w:r w:rsidRPr="00B33947">
        <w:rPr>
          <w:rFonts w:asciiTheme="minorHAnsi" w:hAnsiTheme="minorHAnsi" w:cstheme="minorHAnsi"/>
          <w:sz w:val="20"/>
        </w:rPr>
        <w:t>Improving the safety and consistency of approach to medicines management and optimisation; sharing best practice in relation to adherence to guidelines and formulary and establishing consistent systems. This will also contribute towards achieving most effective use of resources.</w:t>
      </w:r>
    </w:p>
    <w:p w:rsidR="00B33947" w:rsidRPr="00B33947" w:rsidRDefault="00B33947" w:rsidP="00B33947">
      <w:pPr>
        <w:pStyle w:val="Default"/>
        <w:jc w:val="both"/>
        <w:rPr>
          <w:rFonts w:asciiTheme="minorHAnsi" w:hAnsiTheme="minorHAnsi" w:cstheme="minorHAnsi"/>
          <w:sz w:val="20"/>
        </w:rPr>
      </w:pPr>
    </w:p>
    <w:p w:rsidR="00B33947" w:rsidRPr="00B33947" w:rsidRDefault="00B33947" w:rsidP="00B33947">
      <w:pPr>
        <w:pStyle w:val="Default"/>
        <w:jc w:val="both"/>
        <w:rPr>
          <w:rFonts w:asciiTheme="minorHAnsi" w:hAnsiTheme="minorHAnsi" w:cstheme="minorHAnsi"/>
          <w:sz w:val="20"/>
        </w:rPr>
      </w:pPr>
      <w:r w:rsidRPr="00B33947">
        <w:rPr>
          <w:rFonts w:asciiTheme="minorHAnsi" w:hAnsiTheme="minorHAnsi" w:cstheme="minorHAnsi"/>
          <w:sz w:val="20"/>
        </w:rPr>
        <w:t>Achievement measured through variance from prescribing budget, with an expectation of achievement of prescribing target at federation level (with 1.1% above target tolerance)</w:t>
      </w:r>
    </w:p>
    <w:p w:rsidR="00A37638" w:rsidRDefault="00A37638" w:rsidP="00D3211A">
      <w:pPr>
        <w:pStyle w:val="Default"/>
        <w:jc w:val="both"/>
        <w:rPr>
          <w:rFonts w:ascii="Calibri" w:hAnsi="Calibri" w:cs="Calibri"/>
          <w:sz w:val="20"/>
          <w:szCs w:val="20"/>
        </w:rPr>
      </w:pPr>
    </w:p>
    <w:tbl>
      <w:tblPr>
        <w:tblStyle w:val="TableGrid"/>
        <w:tblW w:w="0" w:type="auto"/>
        <w:tblLook w:val="04A0" w:firstRow="1" w:lastRow="0" w:firstColumn="1" w:lastColumn="0" w:noHBand="0" w:noVBand="1"/>
      </w:tblPr>
      <w:tblGrid>
        <w:gridCol w:w="3585"/>
        <w:gridCol w:w="3585"/>
        <w:gridCol w:w="3586"/>
      </w:tblGrid>
      <w:tr w:rsidR="00D93F10" w:rsidRPr="00B33947" w:rsidTr="00E27E44">
        <w:trPr>
          <w:trHeight w:val="495"/>
        </w:trPr>
        <w:tc>
          <w:tcPr>
            <w:tcW w:w="3585" w:type="dxa"/>
            <w:shd w:val="clear" w:color="auto" w:fill="DBE5F1" w:themeFill="accent1" w:themeFillTint="33"/>
            <w:hideMark/>
          </w:tcPr>
          <w:p w:rsidR="00D93F10" w:rsidRDefault="00D93F10" w:rsidP="00D93F10">
            <w:pPr>
              <w:pStyle w:val="Default"/>
              <w:jc w:val="both"/>
              <w:rPr>
                <w:rFonts w:ascii="Calibri" w:hAnsi="Calibri" w:cs="Calibri"/>
                <w:b/>
                <w:bCs/>
                <w:sz w:val="20"/>
              </w:rPr>
            </w:pPr>
            <w:r w:rsidRPr="008473D4">
              <w:rPr>
                <w:rFonts w:ascii="Calibri" w:hAnsi="Calibri" w:cs="Calibri"/>
                <w:b/>
                <w:bCs/>
                <w:sz w:val="20"/>
              </w:rPr>
              <w:t>Federation 1</w:t>
            </w:r>
          </w:p>
          <w:p w:rsidR="00D93F10" w:rsidRPr="008473D4" w:rsidRDefault="00D93F10" w:rsidP="00D93F10">
            <w:pPr>
              <w:pStyle w:val="Default"/>
              <w:jc w:val="both"/>
              <w:rPr>
                <w:rFonts w:ascii="Calibri" w:hAnsi="Calibri" w:cs="Calibri"/>
                <w:b/>
                <w:bCs/>
                <w:sz w:val="20"/>
              </w:rPr>
            </w:pPr>
            <w:r>
              <w:rPr>
                <w:rFonts w:ascii="Calibri" w:hAnsi="Calibri" w:cs="Calibri"/>
                <w:b/>
                <w:bCs/>
                <w:sz w:val="20"/>
              </w:rPr>
              <w:t>Freshney-Pelham</w:t>
            </w:r>
          </w:p>
        </w:tc>
        <w:tc>
          <w:tcPr>
            <w:tcW w:w="3585" w:type="dxa"/>
            <w:shd w:val="clear" w:color="auto" w:fill="DBE5F1" w:themeFill="accent1" w:themeFillTint="33"/>
            <w:hideMark/>
          </w:tcPr>
          <w:p w:rsidR="00D93F10" w:rsidRDefault="00D93F10" w:rsidP="00D93F10">
            <w:pPr>
              <w:pStyle w:val="Default"/>
              <w:jc w:val="both"/>
              <w:rPr>
                <w:rFonts w:ascii="Calibri" w:hAnsi="Calibri" w:cs="Calibri"/>
                <w:b/>
                <w:bCs/>
                <w:sz w:val="20"/>
              </w:rPr>
            </w:pPr>
            <w:r w:rsidRPr="008473D4">
              <w:rPr>
                <w:rFonts w:ascii="Calibri" w:hAnsi="Calibri" w:cs="Calibri"/>
                <w:b/>
                <w:bCs/>
                <w:sz w:val="20"/>
              </w:rPr>
              <w:t>Federation 2</w:t>
            </w:r>
          </w:p>
          <w:p w:rsidR="00D93F10" w:rsidRPr="008473D4" w:rsidRDefault="00D93F10" w:rsidP="00D93F10">
            <w:pPr>
              <w:pStyle w:val="Default"/>
              <w:jc w:val="both"/>
              <w:rPr>
                <w:rFonts w:ascii="Calibri" w:hAnsi="Calibri" w:cs="Calibri"/>
                <w:b/>
                <w:bCs/>
                <w:sz w:val="20"/>
              </w:rPr>
            </w:pPr>
            <w:r>
              <w:rPr>
                <w:rFonts w:ascii="Calibri" w:hAnsi="Calibri" w:cs="Calibri"/>
                <w:b/>
                <w:bCs/>
                <w:sz w:val="20"/>
              </w:rPr>
              <w:t>Panacea</w:t>
            </w:r>
          </w:p>
        </w:tc>
        <w:tc>
          <w:tcPr>
            <w:tcW w:w="3586" w:type="dxa"/>
            <w:shd w:val="clear" w:color="auto" w:fill="DBE5F1" w:themeFill="accent1" w:themeFillTint="33"/>
            <w:hideMark/>
          </w:tcPr>
          <w:p w:rsidR="00D93F10" w:rsidRDefault="00D93F10" w:rsidP="00D93F10">
            <w:pPr>
              <w:pStyle w:val="Default"/>
              <w:jc w:val="both"/>
              <w:rPr>
                <w:rFonts w:ascii="Calibri" w:hAnsi="Calibri" w:cs="Calibri"/>
                <w:b/>
                <w:bCs/>
                <w:sz w:val="20"/>
              </w:rPr>
            </w:pPr>
            <w:r w:rsidRPr="008473D4">
              <w:rPr>
                <w:rFonts w:ascii="Calibri" w:hAnsi="Calibri" w:cs="Calibri"/>
                <w:b/>
                <w:bCs/>
                <w:sz w:val="20"/>
              </w:rPr>
              <w:t>Federation 3</w:t>
            </w:r>
          </w:p>
          <w:p w:rsidR="00D93F10" w:rsidRPr="008473D4" w:rsidRDefault="00D93F10" w:rsidP="00D93F10">
            <w:pPr>
              <w:pStyle w:val="Default"/>
              <w:jc w:val="both"/>
              <w:rPr>
                <w:rFonts w:ascii="Calibri" w:hAnsi="Calibri" w:cs="Calibri"/>
                <w:b/>
                <w:bCs/>
                <w:sz w:val="20"/>
              </w:rPr>
            </w:pPr>
            <w:r>
              <w:rPr>
                <w:rFonts w:ascii="Calibri" w:hAnsi="Calibri" w:cs="Calibri"/>
                <w:b/>
                <w:bCs/>
                <w:sz w:val="20"/>
              </w:rPr>
              <w:t>MHG</w:t>
            </w:r>
          </w:p>
        </w:tc>
      </w:tr>
      <w:tr w:rsidR="00B33947" w:rsidRPr="00B33947" w:rsidTr="00E27E44">
        <w:trPr>
          <w:trHeight w:val="315"/>
        </w:trPr>
        <w:tc>
          <w:tcPr>
            <w:tcW w:w="3585" w:type="dxa"/>
            <w:hideMark/>
          </w:tcPr>
          <w:p w:rsidR="00B33947" w:rsidRPr="00B33947" w:rsidRDefault="00B33947" w:rsidP="00814234">
            <w:pPr>
              <w:pStyle w:val="Default"/>
              <w:rPr>
                <w:rFonts w:ascii="Calibri" w:hAnsi="Calibri" w:cs="Calibri"/>
                <w:sz w:val="20"/>
              </w:rPr>
            </w:pPr>
            <w:r w:rsidRPr="00B33947">
              <w:rPr>
                <w:rFonts w:ascii="Calibri" w:hAnsi="Calibri" w:cs="Calibri"/>
                <w:sz w:val="20"/>
              </w:rPr>
              <w:t>Actual outturn position of  11.97% underspend</w:t>
            </w:r>
          </w:p>
        </w:tc>
        <w:tc>
          <w:tcPr>
            <w:tcW w:w="3585" w:type="dxa"/>
            <w:hideMark/>
          </w:tcPr>
          <w:p w:rsidR="00B33947" w:rsidRDefault="00B33947" w:rsidP="00814234">
            <w:pPr>
              <w:pStyle w:val="Default"/>
              <w:rPr>
                <w:rFonts w:ascii="Calibri" w:hAnsi="Calibri" w:cs="Calibri"/>
                <w:sz w:val="20"/>
              </w:rPr>
            </w:pPr>
            <w:r w:rsidRPr="00B33947">
              <w:rPr>
                <w:rFonts w:ascii="Calibri" w:hAnsi="Calibri" w:cs="Calibri"/>
                <w:sz w:val="20"/>
              </w:rPr>
              <w:t xml:space="preserve">Actual outturn position of 5.23% overspend </w:t>
            </w:r>
          </w:p>
          <w:p w:rsidR="00DB17EA" w:rsidRPr="00B33947" w:rsidRDefault="00DB17EA" w:rsidP="00814234">
            <w:pPr>
              <w:pStyle w:val="Default"/>
              <w:rPr>
                <w:rFonts w:ascii="Calibri" w:hAnsi="Calibri" w:cs="Calibri"/>
                <w:sz w:val="20"/>
              </w:rPr>
            </w:pPr>
          </w:p>
        </w:tc>
        <w:tc>
          <w:tcPr>
            <w:tcW w:w="3586" w:type="dxa"/>
            <w:hideMark/>
          </w:tcPr>
          <w:p w:rsidR="00B33947" w:rsidRDefault="00B33947" w:rsidP="00814234">
            <w:pPr>
              <w:pStyle w:val="Default"/>
              <w:rPr>
                <w:rFonts w:ascii="Calibri" w:hAnsi="Calibri" w:cs="Calibri"/>
                <w:sz w:val="20"/>
              </w:rPr>
            </w:pPr>
            <w:r w:rsidRPr="00B33947">
              <w:rPr>
                <w:rFonts w:ascii="Calibri" w:hAnsi="Calibri" w:cs="Calibri"/>
                <w:sz w:val="20"/>
              </w:rPr>
              <w:t xml:space="preserve">Actual outturn position of 1.84% overspend </w:t>
            </w:r>
          </w:p>
          <w:p w:rsidR="00DB17EA" w:rsidRPr="00B33947" w:rsidRDefault="00DB17EA" w:rsidP="00814234">
            <w:pPr>
              <w:pStyle w:val="Default"/>
              <w:rPr>
                <w:rFonts w:ascii="Calibri" w:hAnsi="Calibri" w:cs="Calibri"/>
                <w:sz w:val="20"/>
              </w:rPr>
            </w:pPr>
          </w:p>
        </w:tc>
      </w:tr>
    </w:tbl>
    <w:p w:rsidR="00B33947" w:rsidRDefault="00B33947" w:rsidP="00D3211A">
      <w:pPr>
        <w:pStyle w:val="Default"/>
        <w:jc w:val="both"/>
        <w:rPr>
          <w:rFonts w:ascii="Calibri" w:hAnsi="Calibri" w:cs="Calibri"/>
          <w:sz w:val="20"/>
          <w:szCs w:val="20"/>
        </w:rPr>
      </w:pPr>
    </w:p>
    <w:p w:rsidR="00E27E44" w:rsidRDefault="00E27E44" w:rsidP="00D3211A">
      <w:pPr>
        <w:pStyle w:val="Default"/>
        <w:jc w:val="both"/>
        <w:rPr>
          <w:rFonts w:ascii="Calibri" w:hAnsi="Calibri" w:cs="Calibri"/>
          <w:b/>
          <w:sz w:val="20"/>
          <w:szCs w:val="20"/>
        </w:rPr>
      </w:pPr>
    </w:p>
    <w:p w:rsidR="00E27E44" w:rsidRDefault="00E27E44" w:rsidP="00D3211A">
      <w:pPr>
        <w:pStyle w:val="Default"/>
        <w:jc w:val="both"/>
        <w:rPr>
          <w:rFonts w:ascii="Calibri" w:hAnsi="Calibri" w:cs="Calibri"/>
          <w:b/>
          <w:sz w:val="20"/>
          <w:szCs w:val="20"/>
        </w:rPr>
      </w:pPr>
    </w:p>
    <w:p w:rsidR="00E969FA" w:rsidRPr="00E969FA" w:rsidRDefault="00E969FA" w:rsidP="00D3211A">
      <w:pPr>
        <w:pStyle w:val="Default"/>
        <w:jc w:val="both"/>
        <w:rPr>
          <w:rFonts w:ascii="Calibri" w:hAnsi="Calibri" w:cs="Calibri"/>
          <w:b/>
          <w:sz w:val="20"/>
          <w:szCs w:val="20"/>
        </w:rPr>
      </w:pPr>
      <w:r>
        <w:rPr>
          <w:rFonts w:ascii="Calibri" w:hAnsi="Calibri" w:cs="Calibri"/>
          <w:b/>
          <w:sz w:val="20"/>
          <w:szCs w:val="20"/>
        </w:rPr>
        <w:t>Summary</w:t>
      </w:r>
    </w:p>
    <w:p w:rsidR="00E969FA" w:rsidRDefault="00E969FA" w:rsidP="00D3211A">
      <w:pPr>
        <w:pStyle w:val="Default"/>
        <w:jc w:val="both"/>
        <w:rPr>
          <w:rFonts w:ascii="Calibri" w:hAnsi="Calibri" w:cs="Calibri"/>
          <w:sz w:val="20"/>
          <w:szCs w:val="20"/>
        </w:rPr>
      </w:pPr>
      <w:r>
        <w:rPr>
          <w:rFonts w:ascii="Calibri" w:hAnsi="Calibri" w:cs="Calibri"/>
          <w:sz w:val="20"/>
          <w:szCs w:val="20"/>
        </w:rPr>
        <w:t xml:space="preserve">In summary, all three Federations achieved all requirements with the exception of two Federations in respect of their prescribing budget achievement. </w:t>
      </w:r>
    </w:p>
    <w:p w:rsidR="00E969FA" w:rsidRDefault="00E969FA" w:rsidP="00D3211A">
      <w:pPr>
        <w:pStyle w:val="Default"/>
        <w:jc w:val="both"/>
        <w:rPr>
          <w:rFonts w:ascii="Calibri" w:hAnsi="Calibri" w:cs="Calibri"/>
          <w:sz w:val="20"/>
          <w:szCs w:val="20"/>
        </w:rPr>
      </w:pPr>
    </w:p>
    <w:p w:rsidR="00E969FA" w:rsidRDefault="00E969FA" w:rsidP="00D3211A">
      <w:pPr>
        <w:pStyle w:val="Default"/>
        <w:jc w:val="both"/>
        <w:rPr>
          <w:rFonts w:ascii="Calibri" w:hAnsi="Calibri" w:cs="Calibri"/>
          <w:sz w:val="20"/>
          <w:szCs w:val="20"/>
        </w:rPr>
      </w:pPr>
      <w:r>
        <w:rPr>
          <w:rFonts w:ascii="Calibri" w:hAnsi="Calibri" w:cs="Calibri"/>
          <w:sz w:val="20"/>
          <w:szCs w:val="20"/>
        </w:rPr>
        <w:t xml:space="preserve">It is proposed that funding is clawed back, for those practices within each Federation that did not achieve the </w:t>
      </w:r>
      <w:r w:rsidR="0072520E">
        <w:rPr>
          <w:rFonts w:ascii="Calibri" w:hAnsi="Calibri" w:cs="Calibri"/>
          <w:sz w:val="20"/>
          <w:szCs w:val="20"/>
        </w:rPr>
        <w:t xml:space="preserve">prescribing </w:t>
      </w:r>
      <w:r>
        <w:rPr>
          <w:rFonts w:ascii="Calibri" w:hAnsi="Calibri" w:cs="Calibri"/>
          <w:sz w:val="20"/>
          <w:szCs w:val="20"/>
        </w:rPr>
        <w:t xml:space="preserve">target. The suggestion is that half of the funding for that element is clawed back, as the Federations did evidence other requirements against that section, i.e. meetings with </w:t>
      </w:r>
      <w:r w:rsidR="00D93F10">
        <w:rPr>
          <w:rFonts w:ascii="Calibri" w:hAnsi="Calibri" w:cs="Calibri"/>
          <w:sz w:val="20"/>
          <w:szCs w:val="20"/>
        </w:rPr>
        <w:t>the Medicines Optimisation team</w:t>
      </w:r>
      <w:r w:rsidR="00D93F10" w:rsidRPr="00D93F10">
        <w:rPr>
          <w:rFonts w:ascii="Calibri" w:hAnsi="Calibri" w:cs="Calibri"/>
          <w:b/>
          <w:sz w:val="20"/>
          <w:szCs w:val="20"/>
        </w:rPr>
        <w:t xml:space="preserve">.  </w:t>
      </w:r>
      <w:r w:rsidR="0072520E">
        <w:rPr>
          <w:rFonts w:ascii="Calibri" w:hAnsi="Calibri" w:cs="Calibri"/>
          <w:sz w:val="20"/>
          <w:szCs w:val="20"/>
        </w:rPr>
        <w:t>As the Federations have now been superseded by the Primary Care Networks, it is proposed that the funding is deducted from the relevant practices’ regular payments, as there is no corresponding scheme at Federation level this year to apply this deduction to.</w:t>
      </w:r>
    </w:p>
    <w:p w:rsidR="00E969FA" w:rsidRDefault="00E969FA" w:rsidP="00D3211A">
      <w:pPr>
        <w:pStyle w:val="Default"/>
        <w:jc w:val="both"/>
        <w:rPr>
          <w:rFonts w:ascii="Calibri" w:hAnsi="Calibri" w:cs="Calibri"/>
          <w:sz w:val="20"/>
          <w:szCs w:val="20"/>
        </w:rPr>
      </w:pPr>
    </w:p>
    <w:p w:rsidR="007B12B5" w:rsidRDefault="007B12B5" w:rsidP="00D3211A">
      <w:pPr>
        <w:pStyle w:val="Default"/>
        <w:jc w:val="both"/>
        <w:rPr>
          <w:rFonts w:ascii="Calibri" w:hAnsi="Calibri" w:cs="Calibri"/>
          <w:sz w:val="20"/>
          <w:szCs w:val="20"/>
        </w:rPr>
      </w:pPr>
    </w:p>
    <w:p w:rsidR="007B12B5" w:rsidRDefault="007B12B5" w:rsidP="00D3211A">
      <w:pPr>
        <w:pStyle w:val="Default"/>
        <w:jc w:val="both"/>
        <w:rPr>
          <w:rFonts w:ascii="Calibri" w:hAnsi="Calibri" w:cs="Calibri"/>
          <w:sz w:val="20"/>
          <w:szCs w:val="20"/>
        </w:rPr>
      </w:pPr>
    </w:p>
    <w:p w:rsidR="003A57B8" w:rsidRPr="00E969FA" w:rsidRDefault="003A57B8" w:rsidP="00D3211A">
      <w:pPr>
        <w:pStyle w:val="Default"/>
        <w:jc w:val="both"/>
        <w:rPr>
          <w:rFonts w:ascii="Calibri" w:hAnsi="Calibri" w:cs="Calibri"/>
          <w:b/>
          <w:sz w:val="20"/>
          <w:szCs w:val="20"/>
        </w:rPr>
      </w:pPr>
      <w:r w:rsidRPr="00E969FA">
        <w:rPr>
          <w:rFonts w:ascii="Calibri" w:hAnsi="Calibri" w:cs="Calibri"/>
          <w:b/>
          <w:sz w:val="20"/>
          <w:szCs w:val="20"/>
        </w:rPr>
        <w:t>Recommendation</w:t>
      </w:r>
    </w:p>
    <w:p w:rsidR="003A57B8" w:rsidRDefault="003A57B8" w:rsidP="00D3211A">
      <w:pPr>
        <w:pStyle w:val="Default"/>
        <w:jc w:val="both"/>
        <w:rPr>
          <w:rFonts w:ascii="Calibri" w:hAnsi="Calibri" w:cs="Calibri"/>
          <w:sz w:val="20"/>
          <w:szCs w:val="20"/>
        </w:rPr>
      </w:pPr>
    </w:p>
    <w:p w:rsidR="003A57B8" w:rsidRDefault="003A57B8" w:rsidP="003A57B8">
      <w:pPr>
        <w:pStyle w:val="TableParagraph"/>
        <w:spacing w:line="243" w:lineRule="exact"/>
        <w:rPr>
          <w:sz w:val="20"/>
        </w:rPr>
      </w:pPr>
      <w:r>
        <w:rPr>
          <w:sz w:val="20"/>
        </w:rPr>
        <w:t>The Primary Care Commissioning Committee is asked to:</w:t>
      </w:r>
    </w:p>
    <w:p w:rsidR="00E969FA" w:rsidRDefault="00E969FA" w:rsidP="00E969FA">
      <w:pPr>
        <w:pStyle w:val="TableParagraph"/>
        <w:numPr>
          <w:ilvl w:val="0"/>
          <w:numId w:val="17"/>
        </w:numPr>
        <w:spacing w:line="243" w:lineRule="exact"/>
        <w:rPr>
          <w:sz w:val="20"/>
        </w:rPr>
      </w:pPr>
      <w:r>
        <w:rPr>
          <w:sz w:val="20"/>
        </w:rPr>
        <w:t>Note the achievement of each Federation against the requirements of the Local Quality Scheme 2018/19</w:t>
      </w:r>
    </w:p>
    <w:p w:rsidR="00E969FA" w:rsidRDefault="00E969FA" w:rsidP="00E969FA">
      <w:pPr>
        <w:pStyle w:val="TableParagraph"/>
        <w:numPr>
          <w:ilvl w:val="0"/>
          <w:numId w:val="17"/>
        </w:numPr>
        <w:spacing w:line="243" w:lineRule="exact"/>
        <w:rPr>
          <w:sz w:val="20"/>
        </w:rPr>
      </w:pPr>
      <w:r>
        <w:rPr>
          <w:sz w:val="20"/>
        </w:rPr>
        <w:t>Agree to the approach to clawback funding as follows:</w:t>
      </w:r>
    </w:p>
    <w:p w:rsidR="00E969FA" w:rsidRPr="00814234" w:rsidRDefault="00B33947" w:rsidP="00E969FA">
      <w:pPr>
        <w:pStyle w:val="TableParagraph"/>
        <w:numPr>
          <w:ilvl w:val="1"/>
          <w:numId w:val="17"/>
        </w:numPr>
        <w:spacing w:line="243" w:lineRule="exact"/>
        <w:rPr>
          <w:sz w:val="20"/>
        </w:rPr>
      </w:pPr>
      <w:r w:rsidRPr="00814234">
        <w:rPr>
          <w:sz w:val="20"/>
        </w:rPr>
        <w:t>Federation 2</w:t>
      </w:r>
      <w:r w:rsidR="00651BB2" w:rsidRPr="00814234">
        <w:rPr>
          <w:sz w:val="20"/>
        </w:rPr>
        <w:t xml:space="preserve"> Panacea</w:t>
      </w:r>
      <w:r w:rsidRPr="00814234">
        <w:rPr>
          <w:sz w:val="20"/>
        </w:rPr>
        <w:t xml:space="preserve"> </w:t>
      </w:r>
      <w:r w:rsidR="00E969FA" w:rsidRPr="00814234">
        <w:rPr>
          <w:sz w:val="20"/>
        </w:rPr>
        <w:t xml:space="preserve">- </w:t>
      </w:r>
      <w:r w:rsidR="00073E3B" w:rsidRPr="00814234">
        <w:rPr>
          <w:sz w:val="20"/>
        </w:rPr>
        <w:t>Half of the allocated funding (</w:t>
      </w:r>
      <w:r w:rsidR="00F4350F" w:rsidRPr="00814234">
        <w:rPr>
          <w:sz w:val="20"/>
        </w:rPr>
        <w:t>35 pence per head</w:t>
      </w:r>
      <w:r w:rsidR="00073E3B" w:rsidRPr="00814234">
        <w:rPr>
          <w:sz w:val="20"/>
        </w:rPr>
        <w:t>)</w:t>
      </w:r>
      <w:r w:rsidR="00F4350F" w:rsidRPr="00814234">
        <w:rPr>
          <w:sz w:val="20"/>
        </w:rPr>
        <w:t xml:space="preserve"> </w:t>
      </w:r>
      <w:r w:rsidR="00073E3B" w:rsidRPr="00814234">
        <w:rPr>
          <w:sz w:val="20"/>
        </w:rPr>
        <w:t xml:space="preserve">for the </w:t>
      </w:r>
      <w:r w:rsidR="00F4350F" w:rsidRPr="00814234">
        <w:rPr>
          <w:bCs/>
          <w:sz w:val="20"/>
        </w:rPr>
        <w:t xml:space="preserve">prescribing </w:t>
      </w:r>
      <w:r w:rsidR="007B12B5" w:rsidRPr="00814234">
        <w:rPr>
          <w:bCs/>
          <w:sz w:val="20"/>
        </w:rPr>
        <w:t>element for</w:t>
      </w:r>
      <w:r w:rsidR="00073E3B" w:rsidRPr="00814234">
        <w:rPr>
          <w:bCs/>
          <w:sz w:val="20"/>
        </w:rPr>
        <w:t xml:space="preserve"> those practices that didn’t achieve the target (i.e. those that did achie</w:t>
      </w:r>
      <w:r w:rsidR="00E969FA" w:rsidRPr="00814234">
        <w:rPr>
          <w:bCs/>
          <w:sz w:val="20"/>
        </w:rPr>
        <w:t>ve the target are not affected)</w:t>
      </w:r>
      <w:r w:rsidR="00814234">
        <w:rPr>
          <w:bCs/>
          <w:sz w:val="20"/>
        </w:rPr>
        <w:t>.</w:t>
      </w:r>
      <w:r w:rsidR="00E969FA" w:rsidRPr="00814234">
        <w:rPr>
          <w:bCs/>
          <w:sz w:val="20"/>
        </w:rPr>
        <w:t xml:space="preserve"> </w:t>
      </w:r>
      <w:r w:rsidR="00814234" w:rsidRPr="00814234">
        <w:rPr>
          <w:bCs/>
          <w:sz w:val="20"/>
        </w:rPr>
        <w:t xml:space="preserve">10 practices </w:t>
      </w:r>
      <w:r w:rsidR="007B12B5">
        <w:rPr>
          <w:bCs/>
          <w:sz w:val="20"/>
        </w:rPr>
        <w:t>affected, equating</w:t>
      </w:r>
      <w:r w:rsidR="00814234" w:rsidRPr="00814234">
        <w:rPr>
          <w:bCs/>
          <w:sz w:val="20"/>
        </w:rPr>
        <w:t xml:space="preserve"> to £8,825.32</w:t>
      </w:r>
      <w:r w:rsidR="007B12B5">
        <w:rPr>
          <w:bCs/>
          <w:sz w:val="20"/>
        </w:rPr>
        <w:t xml:space="preserve"> in total</w:t>
      </w:r>
    </w:p>
    <w:p w:rsidR="00DB17EA" w:rsidRPr="00814234" w:rsidRDefault="00814234" w:rsidP="00E17855">
      <w:pPr>
        <w:pStyle w:val="TableParagraph"/>
        <w:numPr>
          <w:ilvl w:val="1"/>
          <w:numId w:val="17"/>
        </w:numPr>
        <w:spacing w:line="243" w:lineRule="exact"/>
        <w:rPr>
          <w:bCs/>
          <w:sz w:val="20"/>
        </w:rPr>
      </w:pPr>
      <w:r w:rsidRPr="00814234">
        <w:rPr>
          <w:sz w:val="20"/>
        </w:rPr>
        <w:t>Federation 3 MHG</w:t>
      </w:r>
      <w:r w:rsidR="00E969FA" w:rsidRPr="00814234">
        <w:rPr>
          <w:sz w:val="20"/>
        </w:rPr>
        <w:t xml:space="preserve"> </w:t>
      </w:r>
      <w:r w:rsidR="00073E3B" w:rsidRPr="00814234">
        <w:rPr>
          <w:sz w:val="20"/>
        </w:rPr>
        <w:t xml:space="preserve">- </w:t>
      </w:r>
      <w:r w:rsidR="00E969FA" w:rsidRPr="00814234">
        <w:rPr>
          <w:sz w:val="20"/>
        </w:rPr>
        <w:t xml:space="preserve">Half of the allocated funding (35 pence per head) for the </w:t>
      </w:r>
      <w:r w:rsidR="00E969FA" w:rsidRPr="00814234">
        <w:rPr>
          <w:bCs/>
          <w:sz w:val="20"/>
        </w:rPr>
        <w:lastRenderedPageBreak/>
        <w:t>prescribing element for those practices that didn’t achieve the target (i.e. those that did achie</w:t>
      </w:r>
      <w:r w:rsidRPr="00814234">
        <w:rPr>
          <w:bCs/>
          <w:sz w:val="20"/>
        </w:rPr>
        <w:t xml:space="preserve">ve the target are not affected).  4 practices </w:t>
      </w:r>
      <w:r w:rsidR="007B12B5">
        <w:rPr>
          <w:bCs/>
          <w:sz w:val="20"/>
        </w:rPr>
        <w:t>affected equating</w:t>
      </w:r>
      <w:r w:rsidRPr="00814234">
        <w:rPr>
          <w:bCs/>
          <w:sz w:val="20"/>
        </w:rPr>
        <w:t xml:space="preserve"> to £5,262.86</w:t>
      </w:r>
    </w:p>
    <w:p w:rsidR="00E969FA" w:rsidRPr="00E969FA" w:rsidRDefault="00E969FA" w:rsidP="00E969FA">
      <w:pPr>
        <w:pStyle w:val="TableParagraph"/>
        <w:spacing w:line="243" w:lineRule="exact"/>
        <w:ind w:left="720"/>
        <w:rPr>
          <w:sz w:val="20"/>
        </w:rPr>
      </w:pPr>
    </w:p>
    <w:p w:rsidR="003A57B8" w:rsidRPr="00645F53" w:rsidRDefault="003A57B8" w:rsidP="00B33947">
      <w:pPr>
        <w:pStyle w:val="TableParagraph"/>
        <w:tabs>
          <w:tab w:val="left" w:pos="827"/>
          <w:tab w:val="left" w:pos="828"/>
        </w:tabs>
        <w:spacing w:before="1" w:line="255" w:lineRule="exact"/>
        <w:jc w:val="both"/>
        <w:rPr>
          <w:sz w:val="20"/>
          <w:szCs w:val="20"/>
        </w:rPr>
      </w:pPr>
    </w:p>
    <w:p w:rsidR="003A57B8" w:rsidRDefault="003A57B8" w:rsidP="00D3211A">
      <w:pPr>
        <w:pStyle w:val="Default"/>
        <w:jc w:val="both"/>
        <w:rPr>
          <w:rFonts w:ascii="Calibri" w:hAnsi="Calibri" w:cs="Calibri"/>
          <w:sz w:val="20"/>
          <w:szCs w:val="20"/>
        </w:rPr>
      </w:pPr>
    </w:p>
    <w:sectPr w:rsidR="003A57B8"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FC" w:rsidRDefault="00A110FC" w:rsidP="00E1284E">
      <w:r>
        <w:separator/>
      </w:r>
    </w:p>
  </w:endnote>
  <w:endnote w:type="continuationSeparator" w:id="0">
    <w:p w:rsidR="00A110FC" w:rsidRDefault="00A110FC"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954FA1">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FC" w:rsidRDefault="00A110FC" w:rsidP="00E1284E">
      <w:r>
        <w:separator/>
      </w:r>
    </w:p>
  </w:footnote>
  <w:footnote w:type="continuationSeparator" w:id="0">
    <w:p w:rsidR="00A110FC" w:rsidRDefault="00A110FC"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10F51"/>
    <w:multiLevelType w:val="hybridMultilevel"/>
    <w:tmpl w:val="B8D0AF6A"/>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76DA8"/>
    <w:multiLevelType w:val="hybridMultilevel"/>
    <w:tmpl w:val="0E02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B1940"/>
    <w:multiLevelType w:val="hybridMultilevel"/>
    <w:tmpl w:val="B5CCCF1A"/>
    <w:lvl w:ilvl="0" w:tplc="BF78169C">
      <w:numFmt w:val="bullet"/>
      <w:lvlText w:val=""/>
      <w:lvlJc w:val="left"/>
      <w:pPr>
        <w:ind w:left="828" w:hanging="361"/>
      </w:pPr>
      <w:rPr>
        <w:rFonts w:ascii="Symbol" w:eastAsia="Symbol" w:hAnsi="Symbol" w:cs="Symbol" w:hint="default"/>
        <w:w w:val="99"/>
        <w:sz w:val="20"/>
        <w:szCs w:val="20"/>
        <w:lang w:val="en-GB" w:eastAsia="en-GB" w:bidi="en-GB"/>
      </w:rPr>
    </w:lvl>
    <w:lvl w:ilvl="1" w:tplc="C6F2B744">
      <w:numFmt w:val="bullet"/>
      <w:lvlText w:val="•"/>
      <w:lvlJc w:val="left"/>
      <w:pPr>
        <w:ind w:left="1575" w:hanging="361"/>
      </w:pPr>
      <w:rPr>
        <w:rFonts w:hint="default"/>
        <w:lang w:val="en-GB" w:eastAsia="en-GB" w:bidi="en-GB"/>
      </w:rPr>
    </w:lvl>
    <w:lvl w:ilvl="2" w:tplc="1A6E5B1C">
      <w:numFmt w:val="bullet"/>
      <w:lvlText w:val="•"/>
      <w:lvlJc w:val="left"/>
      <w:pPr>
        <w:ind w:left="2331" w:hanging="361"/>
      </w:pPr>
      <w:rPr>
        <w:rFonts w:hint="default"/>
        <w:lang w:val="en-GB" w:eastAsia="en-GB" w:bidi="en-GB"/>
      </w:rPr>
    </w:lvl>
    <w:lvl w:ilvl="3" w:tplc="92ECFDF0">
      <w:numFmt w:val="bullet"/>
      <w:lvlText w:val="•"/>
      <w:lvlJc w:val="left"/>
      <w:pPr>
        <w:ind w:left="3086" w:hanging="361"/>
      </w:pPr>
      <w:rPr>
        <w:rFonts w:hint="default"/>
        <w:lang w:val="en-GB" w:eastAsia="en-GB" w:bidi="en-GB"/>
      </w:rPr>
    </w:lvl>
    <w:lvl w:ilvl="4" w:tplc="A85099DE">
      <w:numFmt w:val="bullet"/>
      <w:lvlText w:val="•"/>
      <w:lvlJc w:val="left"/>
      <w:pPr>
        <w:ind w:left="3842" w:hanging="361"/>
      </w:pPr>
      <w:rPr>
        <w:rFonts w:hint="default"/>
        <w:lang w:val="en-GB" w:eastAsia="en-GB" w:bidi="en-GB"/>
      </w:rPr>
    </w:lvl>
    <w:lvl w:ilvl="5" w:tplc="7B7A6124">
      <w:numFmt w:val="bullet"/>
      <w:lvlText w:val="•"/>
      <w:lvlJc w:val="left"/>
      <w:pPr>
        <w:ind w:left="4598" w:hanging="361"/>
      </w:pPr>
      <w:rPr>
        <w:rFonts w:hint="default"/>
        <w:lang w:val="en-GB" w:eastAsia="en-GB" w:bidi="en-GB"/>
      </w:rPr>
    </w:lvl>
    <w:lvl w:ilvl="6" w:tplc="3DD22322">
      <w:numFmt w:val="bullet"/>
      <w:lvlText w:val="•"/>
      <w:lvlJc w:val="left"/>
      <w:pPr>
        <w:ind w:left="5353" w:hanging="361"/>
      </w:pPr>
      <w:rPr>
        <w:rFonts w:hint="default"/>
        <w:lang w:val="en-GB" w:eastAsia="en-GB" w:bidi="en-GB"/>
      </w:rPr>
    </w:lvl>
    <w:lvl w:ilvl="7" w:tplc="58AE783E">
      <w:numFmt w:val="bullet"/>
      <w:lvlText w:val="•"/>
      <w:lvlJc w:val="left"/>
      <w:pPr>
        <w:ind w:left="6109" w:hanging="361"/>
      </w:pPr>
      <w:rPr>
        <w:rFonts w:hint="default"/>
        <w:lang w:val="en-GB" w:eastAsia="en-GB" w:bidi="en-GB"/>
      </w:rPr>
    </w:lvl>
    <w:lvl w:ilvl="8" w:tplc="3CFE3E3A">
      <w:numFmt w:val="bullet"/>
      <w:lvlText w:val="•"/>
      <w:lvlJc w:val="left"/>
      <w:pPr>
        <w:ind w:left="6864" w:hanging="361"/>
      </w:pPr>
      <w:rPr>
        <w:rFonts w:hint="default"/>
        <w:lang w:val="en-GB" w:eastAsia="en-GB" w:bidi="en-GB"/>
      </w:rPr>
    </w:lvl>
  </w:abstractNum>
  <w:abstractNum w:abstractNumId="5" w15:restartNumberingAfterBreak="0">
    <w:nsid w:val="21417F1D"/>
    <w:multiLevelType w:val="hybridMultilevel"/>
    <w:tmpl w:val="4A704052"/>
    <w:lvl w:ilvl="0" w:tplc="42809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25AE5"/>
    <w:multiLevelType w:val="hybridMultilevel"/>
    <w:tmpl w:val="7E040466"/>
    <w:lvl w:ilvl="0" w:tplc="0DACE336">
      <w:start w:val="1"/>
      <w:numFmt w:val="bullet"/>
      <w:lvlText w:val="•"/>
      <w:lvlJc w:val="left"/>
      <w:pPr>
        <w:tabs>
          <w:tab w:val="num" w:pos="720"/>
        </w:tabs>
        <w:ind w:left="720" w:hanging="360"/>
      </w:pPr>
      <w:rPr>
        <w:rFonts w:ascii="Arial" w:hAnsi="Arial" w:hint="default"/>
      </w:rPr>
    </w:lvl>
    <w:lvl w:ilvl="1" w:tplc="1F80D576">
      <w:start w:val="174"/>
      <w:numFmt w:val="bullet"/>
      <w:lvlText w:val="–"/>
      <w:lvlJc w:val="left"/>
      <w:pPr>
        <w:tabs>
          <w:tab w:val="num" w:pos="1440"/>
        </w:tabs>
        <w:ind w:left="1440" w:hanging="360"/>
      </w:pPr>
      <w:rPr>
        <w:rFonts w:ascii="Arial" w:hAnsi="Arial" w:hint="default"/>
      </w:rPr>
    </w:lvl>
    <w:lvl w:ilvl="2" w:tplc="9EAEFDEA">
      <w:start w:val="1"/>
      <w:numFmt w:val="bullet"/>
      <w:lvlText w:val="•"/>
      <w:lvlJc w:val="left"/>
      <w:pPr>
        <w:tabs>
          <w:tab w:val="num" w:pos="2160"/>
        </w:tabs>
        <w:ind w:left="2160" w:hanging="360"/>
      </w:pPr>
      <w:rPr>
        <w:rFonts w:ascii="Arial" w:hAnsi="Arial" w:hint="default"/>
      </w:rPr>
    </w:lvl>
    <w:lvl w:ilvl="3" w:tplc="B9A44DB4" w:tentative="1">
      <w:start w:val="1"/>
      <w:numFmt w:val="bullet"/>
      <w:lvlText w:val="•"/>
      <w:lvlJc w:val="left"/>
      <w:pPr>
        <w:tabs>
          <w:tab w:val="num" w:pos="2880"/>
        </w:tabs>
        <w:ind w:left="2880" w:hanging="360"/>
      </w:pPr>
      <w:rPr>
        <w:rFonts w:ascii="Arial" w:hAnsi="Arial" w:hint="default"/>
      </w:rPr>
    </w:lvl>
    <w:lvl w:ilvl="4" w:tplc="64FCB218" w:tentative="1">
      <w:start w:val="1"/>
      <w:numFmt w:val="bullet"/>
      <w:lvlText w:val="•"/>
      <w:lvlJc w:val="left"/>
      <w:pPr>
        <w:tabs>
          <w:tab w:val="num" w:pos="3600"/>
        </w:tabs>
        <w:ind w:left="3600" w:hanging="360"/>
      </w:pPr>
      <w:rPr>
        <w:rFonts w:ascii="Arial" w:hAnsi="Arial" w:hint="default"/>
      </w:rPr>
    </w:lvl>
    <w:lvl w:ilvl="5" w:tplc="CCF08A66" w:tentative="1">
      <w:start w:val="1"/>
      <w:numFmt w:val="bullet"/>
      <w:lvlText w:val="•"/>
      <w:lvlJc w:val="left"/>
      <w:pPr>
        <w:tabs>
          <w:tab w:val="num" w:pos="4320"/>
        </w:tabs>
        <w:ind w:left="4320" w:hanging="360"/>
      </w:pPr>
      <w:rPr>
        <w:rFonts w:ascii="Arial" w:hAnsi="Arial" w:hint="default"/>
      </w:rPr>
    </w:lvl>
    <w:lvl w:ilvl="6" w:tplc="FFA26FEE" w:tentative="1">
      <w:start w:val="1"/>
      <w:numFmt w:val="bullet"/>
      <w:lvlText w:val="•"/>
      <w:lvlJc w:val="left"/>
      <w:pPr>
        <w:tabs>
          <w:tab w:val="num" w:pos="5040"/>
        </w:tabs>
        <w:ind w:left="5040" w:hanging="360"/>
      </w:pPr>
      <w:rPr>
        <w:rFonts w:ascii="Arial" w:hAnsi="Arial" w:hint="default"/>
      </w:rPr>
    </w:lvl>
    <w:lvl w:ilvl="7" w:tplc="7E8ADD0C" w:tentative="1">
      <w:start w:val="1"/>
      <w:numFmt w:val="bullet"/>
      <w:lvlText w:val="•"/>
      <w:lvlJc w:val="left"/>
      <w:pPr>
        <w:tabs>
          <w:tab w:val="num" w:pos="5760"/>
        </w:tabs>
        <w:ind w:left="5760" w:hanging="360"/>
      </w:pPr>
      <w:rPr>
        <w:rFonts w:ascii="Arial" w:hAnsi="Arial" w:hint="default"/>
      </w:rPr>
    </w:lvl>
    <w:lvl w:ilvl="8" w:tplc="B276F2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DB5426"/>
    <w:multiLevelType w:val="hybridMultilevel"/>
    <w:tmpl w:val="DD6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54505"/>
    <w:multiLevelType w:val="hybridMultilevel"/>
    <w:tmpl w:val="0CDEF534"/>
    <w:lvl w:ilvl="0" w:tplc="8CBC8FDE">
      <w:start w:val="1"/>
      <w:numFmt w:val="bullet"/>
      <w:lvlText w:val="•"/>
      <w:lvlJc w:val="left"/>
      <w:pPr>
        <w:tabs>
          <w:tab w:val="num" w:pos="720"/>
        </w:tabs>
        <w:ind w:left="720" w:hanging="360"/>
      </w:pPr>
      <w:rPr>
        <w:rFonts w:ascii="Arial" w:hAnsi="Arial" w:hint="default"/>
      </w:rPr>
    </w:lvl>
    <w:lvl w:ilvl="1" w:tplc="B70013C0" w:tentative="1">
      <w:start w:val="1"/>
      <w:numFmt w:val="bullet"/>
      <w:lvlText w:val="•"/>
      <w:lvlJc w:val="left"/>
      <w:pPr>
        <w:tabs>
          <w:tab w:val="num" w:pos="1440"/>
        </w:tabs>
        <w:ind w:left="1440" w:hanging="360"/>
      </w:pPr>
      <w:rPr>
        <w:rFonts w:ascii="Arial" w:hAnsi="Arial" w:hint="default"/>
      </w:rPr>
    </w:lvl>
    <w:lvl w:ilvl="2" w:tplc="E97E0F00" w:tentative="1">
      <w:start w:val="1"/>
      <w:numFmt w:val="bullet"/>
      <w:lvlText w:val="•"/>
      <w:lvlJc w:val="left"/>
      <w:pPr>
        <w:tabs>
          <w:tab w:val="num" w:pos="2160"/>
        </w:tabs>
        <w:ind w:left="2160" w:hanging="360"/>
      </w:pPr>
      <w:rPr>
        <w:rFonts w:ascii="Arial" w:hAnsi="Arial" w:hint="default"/>
      </w:rPr>
    </w:lvl>
    <w:lvl w:ilvl="3" w:tplc="F936412A" w:tentative="1">
      <w:start w:val="1"/>
      <w:numFmt w:val="bullet"/>
      <w:lvlText w:val="•"/>
      <w:lvlJc w:val="left"/>
      <w:pPr>
        <w:tabs>
          <w:tab w:val="num" w:pos="2880"/>
        </w:tabs>
        <w:ind w:left="2880" w:hanging="360"/>
      </w:pPr>
      <w:rPr>
        <w:rFonts w:ascii="Arial" w:hAnsi="Arial" w:hint="default"/>
      </w:rPr>
    </w:lvl>
    <w:lvl w:ilvl="4" w:tplc="3E00D288" w:tentative="1">
      <w:start w:val="1"/>
      <w:numFmt w:val="bullet"/>
      <w:lvlText w:val="•"/>
      <w:lvlJc w:val="left"/>
      <w:pPr>
        <w:tabs>
          <w:tab w:val="num" w:pos="3600"/>
        </w:tabs>
        <w:ind w:left="3600" w:hanging="360"/>
      </w:pPr>
      <w:rPr>
        <w:rFonts w:ascii="Arial" w:hAnsi="Arial" w:hint="default"/>
      </w:rPr>
    </w:lvl>
    <w:lvl w:ilvl="5" w:tplc="4752A06C" w:tentative="1">
      <w:start w:val="1"/>
      <w:numFmt w:val="bullet"/>
      <w:lvlText w:val="•"/>
      <w:lvlJc w:val="left"/>
      <w:pPr>
        <w:tabs>
          <w:tab w:val="num" w:pos="4320"/>
        </w:tabs>
        <w:ind w:left="4320" w:hanging="360"/>
      </w:pPr>
      <w:rPr>
        <w:rFonts w:ascii="Arial" w:hAnsi="Arial" w:hint="default"/>
      </w:rPr>
    </w:lvl>
    <w:lvl w:ilvl="6" w:tplc="C03C3E04" w:tentative="1">
      <w:start w:val="1"/>
      <w:numFmt w:val="bullet"/>
      <w:lvlText w:val="•"/>
      <w:lvlJc w:val="left"/>
      <w:pPr>
        <w:tabs>
          <w:tab w:val="num" w:pos="5040"/>
        </w:tabs>
        <w:ind w:left="5040" w:hanging="360"/>
      </w:pPr>
      <w:rPr>
        <w:rFonts w:ascii="Arial" w:hAnsi="Arial" w:hint="default"/>
      </w:rPr>
    </w:lvl>
    <w:lvl w:ilvl="7" w:tplc="88B60FE8" w:tentative="1">
      <w:start w:val="1"/>
      <w:numFmt w:val="bullet"/>
      <w:lvlText w:val="•"/>
      <w:lvlJc w:val="left"/>
      <w:pPr>
        <w:tabs>
          <w:tab w:val="num" w:pos="5760"/>
        </w:tabs>
        <w:ind w:left="5760" w:hanging="360"/>
      </w:pPr>
      <w:rPr>
        <w:rFonts w:ascii="Arial" w:hAnsi="Arial" w:hint="default"/>
      </w:rPr>
    </w:lvl>
    <w:lvl w:ilvl="8" w:tplc="988CC8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DC4567"/>
    <w:multiLevelType w:val="hybridMultilevel"/>
    <w:tmpl w:val="64F8F158"/>
    <w:lvl w:ilvl="0" w:tplc="6038D3FA">
      <w:start w:val="1"/>
      <w:numFmt w:val="bullet"/>
      <w:lvlText w:val="•"/>
      <w:lvlJc w:val="left"/>
      <w:pPr>
        <w:tabs>
          <w:tab w:val="num" w:pos="720"/>
        </w:tabs>
        <w:ind w:left="720" w:hanging="360"/>
      </w:pPr>
      <w:rPr>
        <w:rFonts w:ascii="Arial" w:hAnsi="Arial" w:hint="default"/>
      </w:rPr>
    </w:lvl>
    <w:lvl w:ilvl="1" w:tplc="B164FA76">
      <w:start w:val="259"/>
      <w:numFmt w:val="bullet"/>
      <w:lvlText w:val="–"/>
      <w:lvlJc w:val="left"/>
      <w:pPr>
        <w:tabs>
          <w:tab w:val="num" w:pos="1440"/>
        </w:tabs>
        <w:ind w:left="1440" w:hanging="360"/>
      </w:pPr>
      <w:rPr>
        <w:rFonts w:ascii="Arial" w:hAnsi="Arial" w:hint="default"/>
      </w:rPr>
    </w:lvl>
    <w:lvl w:ilvl="2" w:tplc="367C910A" w:tentative="1">
      <w:start w:val="1"/>
      <w:numFmt w:val="bullet"/>
      <w:lvlText w:val="•"/>
      <w:lvlJc w:val="left"/>
      <w:pPr>
        <w:tabs>
          <w:tab w:val="num" w:pos="2160"/>
        </w:tabs>
        <w:ind w:left="2160" w:hanging="360"/>
      </w:pPr>
      <w:rPr>
        <w:rFonts w:ascii="Arial" w:hAnsi="Arial" w:hint="default"/>
      </w:rPr>
    </w:lvl>
    <w:lvl w:ilvl="3" w:tplc="CDBC6378" w:tentative="1">
      <w:start w:val="1"/>
      <w:numFmt w:val="bullet"/>
      <w:lvlText w:val="•"/>
      <w:lvlJc w:val="left"/>
      <w:pPr>
        <w:tabs>
          <w:tab w:val="num" w:pos="2880"/>
        </w:tabs>
        <w:ind w:left="2880" w:hanging="360"/>
      </w:pPr>
      <w:rPr>
        <w:rFonts w:ascii="Arial" w:hAnsi="Arial" w:hint="default"/>
      </w:rPr>
    </w:lvl>
    <w:lvl w:ilvl="4" w:tplc="4AD64B2A" w:tentative="1">
      <w:start w:val="1"/>
      <w:numFmt w:val="bullet"/>
      <w:lvlText w:val="•"/>
      <w:lvlJc w:val="left"/>
      <w:pPr>
        <w:tabs>
          <w:tab w:val="num" w:pos="3600"/>
        </w:tabs>
        <w:ind w:left="3600" w:hanging="360"/>
      </w:pPr>
      <w:rPr>
        <w:rFonts w:ascii="Arial" w:hAnsi="Arial" w:hint="default"/>
      </w:rPr>
    </w:lvl>
    <w:lvl w:ilvl="5" w:tplc="17B8393E" w:tentative="1">
      <w:start w:val="1"/>
      <w:numFmt w:val="bullet"/>
      <w:lvlText w:val="•"/>
      <w:lvlJc w:val="left"/>
      <w:pPr>
        <w:tabs>
          <w:tab w:val="num" w:pos="4320"/>
        </w:tabs>
        <w:ind w:left="4320" w:hanging="360"/>
      </w:pPr>
      <w:rPr>
        <w:rFonts w:ascii="Arial" w:hAnsi="Arial" w:hint="default"/>
      </w:rPr>
    </w:lvl>
    <w:lvl w:ilvl="6" w:tplc="69B84474" w:tentative="1">
      <w:start w:val="1"/>
      <w:numFmt w:val="bullet"/>
      <w:lvlText w:val="•"/>
      <w:lvlJc w:val="left"/>
      <w:pPr>
        <w:tabs>
          <w:tab w:val="num" w:pos="5040"/>
        </w:tabs>
        <w:ind w:left="5040" w:hanging="360"/>
      </w:pPr>
      <w:rPr>
        <w:rFonts w:ascii="Arial" w:hAnsi="Arial" w:hint="default"/>
      </w:rPr>
    </w:lvl>
    <w:lvl w:ilvl="7" w:tplc="A102607A" w:tentative="1">
      <w:start w:val="1"/>
      <w:numFmt w:val="bullet"/>
      <w:lvlText w:val="•"/>
      <w:lvlJc w:val="left"/>
      <w:pPr>
        <w:tabs>
          <w:tab w:val="num" w:pos="5760"/>
        </w:tabs>
        <w:ind w:left="5760" w:hanging="360"/>
      </w:pPr>
      <w:rPr>
        <w:rFonts w:ascii="Arial" w:hAnsi="Arial" w:hint="default"/>
      </w:rPr>
    </w:lvl>
    <w:lvl w:ilvl="8" w:tplc="85E4E6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B85D8F"/>
    <w:multiLevelType w:val="hybridMultilevel"/>
    <w:tmpl w:val="F1E8F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350774"/>
    <w:multiLevelType w:val="hybridMultilevel"/>
    <w:tmpl w:val="DA30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45CBA"/>
    <w:multiLevelType w:val="hybridMultilevel"/>
    <w:tmpl w:val="451CD3FA"/>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8"/>
  </w:num>
  <w:num w:numId="2">
    <w:abstractNumId w:val="2"/>
  </w:num>
  <w:num w:numId="3">
    <w:abstractNumId w:val="9"/>
  </w:num>
  <w:num w:numId="4">
    <w:abstractNumId w:val="8"/>
  </w:num>
  <w:num w:numId="5">
    <w:abstractNumId w:val="0"/>
  </w:num>
  <w:num w:numId="6">
    <w:abstractNumId w:val="10"/>
  </w:num>
  <w:num w:numId="7">
    <w:abstractNumId w:val="4"/>
  </w:num>
  <w:num w:numId="8">
    <w:abstractNumId w:val="12"/>
  </w:num>
  <w:num w:numId="9">
    <w:abstractNumId w:val="14"/>
  </w:num>
  <w:num w:numId="10">
    <w:abstractNumId w:val="5"/>
  </w:num>
  <w:num w:numId="11">
    <w:abstractNumId w:val="1"/>
  </w:num>
  <w:num w:numId="12">
    <w:abstractNumId w:val="3"/>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2F76"/>
    <w:rsid w:val="00005BBC"/>
    <w:rsid w:val="00006E07"/>
    <w:rsid w:val="00034CF6"/>
    <w:rsid w:val="000350E4"/>
    <w:rsid w:val="00046B77"/>
    <w:rsid w:val="00073E3B"/>
    <w:rsid w:val="0009052F"/>
    <w:rsid w:val="00096E41"/>
    <w:rsid w:val="000A554D"/>
    <w:rsid w:val="000A7EB7"/>
    <w:rsid w:val="000C4D3C"/>
    <w:rsid w:val="000C70E4"/>
    <w:rsid w:val="000D1426"/>
    <w:rsid w:val="000D1B0D"/>
    <w:rsid w:val="000D24D9"/>
    <w:rsid w:val="00107535"/>
    <w:rsid w:val="001139C9"/>
    <w:rsid w:val="0013341F"/>
    <w:rsid w:val="00136B75"/>
    <w:rsid w:val="00144ED4"/>
    <w:rsid w:val="001553F0"/>
    <w:rsid w:val="001556E0"/>
    <w:rsid w:val="00160986"/>
    <w:rsid w:val="0016479A"/>
    <w:rsid w:val="00196A05"/>
    <w:rsid w:val="001A2A95"/>
    <w:rsid w:val="001D2409"/>
    <w:rsid w:val="001F4720"/>
    <w:rsid w:val="002044CF"/>
    <w:rsid w:val="002054A0"/>
    <w:rsid w:val="00220DF9"/>
    <w:rsid w:val="00241344"/>
    <w:rsid w:val="00246A4E"/>
    <w:rsid w:val="00246EFA"/>
    <w:rsid w:val="0028419C"/>
    <w:rsid w:val="002C32CC"/>
    <w:rsid w:val="002F38A7"/>
    <w:rsid w:val="00306A1B"/>
    <w:rsid w:val="0036733E"/>
    <w:rsid w:val="00374205"/>
    <w:rsid w:val="00394740"/>
    <w:rsid w:val="003A57B8"/>
    <w:rsid w:val="003B7B5D"/>
    <w:rsid w:val="003D7845"/>
    <w:rsid w:val="003E6B0C"/>
    <w:rsid w:val="004458C3"/>
    <w:rsid w:val="00453E4B"/>
    <w:rsid w:val="00462732"/>
    <w:rsid w:val="00473CC5"/>
    <w:rsid w:val="004767D8"/>
    <w:rsid w:val="004930EB"/>
    <w:rsid w:val="004B444D"/>
    <w:rsid w:val="004E32B5"/>
    <w:rsid w:val="004F3D2F"/>
    <w:rsid w:val="004F5317"/>
    <w:rsid w:val="004F6116"/>
    <w:rsid w:val="005310F1"/>
    <w:rsid w:val="0054308A"/>
    <w:rsid w:val="005A0D0A"/>
    <w:rsid w:val="005A4EC5"/>
    <w:rsid w:val="005A53D1"/>
    <w:rsid w:val="005B0C13"/>
    <w:rsid w:val="006006E6"/>
    <w:rsid w:val="006330C7"/>
    <w:rsid w:val="00645F53"/>
    <w:rsid w:val="00651BB2"/>
    <w:rsid w:val="00663808"/>
    <w:rsid w:val="00697B0F"/>
    <w:rsid w:val="006A23CE"/>
    <w:rsid w:val="006C1307"/>
    <w:rsid w:val="006E7C45"/>
    <w:rsid w:val="006F3A4E"/>
    <w:rsid w:val="00703268"/>
    <w:rsid w:val="0071072D"/>
    <w:rsid w:val="00711DA9"/>
    <w:rsid w:val="0072520E"/>
    <w:rsid w:val="00734128"/>
    <w:rsid w:val="00737537"/>
    <w:rsid w:val="007405E7"/>
    <w:rsid w:val="00755446"/>
    <w:rsid w:val="007663C8"/>
    <w:rsid w:val="00785233"/>
    <w:rsid w:val="00793F90"/>
    <w:rsid w:val="007B12B5"/>
    <w:rsid w:val="007C526F"/>
    <w:rsid w:val="007D1C13"/>
    <w:rsid w:val="007E1C2F"/>
    <w:rsid w:val="007E2A23"/>
    <w:rsid w:val="008044FD"/>
    <w:rsid w:val="00814234"/>
    <w:rsid w:val="0081494F"/>
    <w:rsid w:val="008336DE"/>
    <w:rsid w:val="00842CBF"/>
    <w:rsid w:val="00846301"/>
    <w:rsid w:val="008473D4"/>
    <w:rsid w:val="00876931"/>
    <w:rsid w:val="00893409"/>
    <w:rsid w:val="008A1D10"/>
    <w:rsid w:val="008C5A15"/>
    <w:rsid w:val="008D2FFA"/>
    <w:rsid w:val="008D725F"/>
    <w:rsid w:val="00901CC0"/>
    <w:rsid w:val="00911F40"/>
    <w:rsid w:val="009147C5"/>
    <w:rsid w:val="009169E9"/>
    <w:rsid w:val="009245B1"/>
    <w:rsid w:val="0092546C"/>
    <w:rsid w:val="00954FA1"/>
    <w:rsid w:val="0098436E"/>
    <w:rsid w:val="00991A1C"/>
    <w:rsid w:val="00995A9E"/>
    <w:rsid w:val="009B44D9"/>
    <w:rsid w:val="009D39DE"/>
    <w:rsid w:val="009D4EDC"/>
    <w:rsid w:val="009E45D2"/>
    <w:rsid w:val="00A0148B"/>
    <w:rsid w:val="00A110FC"/>
    <w:rsid w:val="00A17799"/>
    <w:rsid w:val="00A218A3"/>
    <w:rsid w:val="00A34173"/>
    <w:rsid w:val="00A37638"/>
    <w:rsid w:val="00A66D55"/>
    <w:rsid w:val="00A67A77"/>
    <w:rsid w:val="00A9358C"/>
    <w:rsid w:val="00A977E0"/>
    <w:rsid w:val="00AB1B69"/>
    <w:rsid w:val="00AB4FF6"/>
    <w:rsid w:val="00AB645B"/>
    <w:rsid w:val="00AF4A4F"/>
    <w:rsid w:val="00B24425"/>
    <w:rsid w:val="00B33947"/>
    <w:rsid w:val="00B62F45"/>
    <w:rsid w:val="00B658DC"/>
    <w:rsid w:val="00B76E57"/>
    <w:rsid w:val="00B904DF"/>
    <w:rsid w:val="00B96B78"/>
    <w:rsid w:val="00B971B9"/>
    <w:rsid w:val="00BB0439"/>
    <w:rsid w:val="00BB40A8"/>
    <w:rsid w:val="00BE2870"/>
    <w:rsid w:val="00BE53CE"/>
    <w:rsid w:val="00BE727A"/>
    <w:rsid w:val="00BE7CCE"/>
    <w:rsid w:val="00C41576"/>
    <w:rsid w:val="00C442F2"/>
    <w:rsid w:val="00C450D4"/>
    <w:rsid w:val="00C52984"/>
    <w:rsid w:val="00C64AF0"/>
    <w:rsid w:val="00C81EF3"/>
    <w:rsid w:val="00CA348E"/>
    <w:rsid w:val="00CA4E8E"/>
    <w:rsid w:val="00CB1860"/>
    <w:rsid w:val="00CB5E79"/>
    <w:rsid w:val="00CC2C55"/>
    <w:rsid w:val="00CC623F"/>
    <w:rsid w:val="00CF20A6"/>
    <w:rsid w:val="00CF347F"/>
    <w:rsid w:val="00CF395E"/>
    <w:rsid w:val="00D00012"/>
    <w:rsid w:val="00D3211A"/>
    <w:rsid w:val="00D42959"/>
    <w:rsid w:val="00D74C39"/>
    <w:rsid w:val="00D7667F"/>
    <w:rsid w:val="00D93F10"/>
    <w:rsid w:val="00DA6931"/>
    <w:rsid w:val="00DA7A50"/>
    <w:rsid w:val="00DB17EA"/>
    <w:rsid w:val="00DB37E5"/>
    <w:rsid w:val="00DC76F1"/>
    <w:rsid w:val="00DE0BED"/>
    <w:rsid w:val="00DE185E"/>
    <w:rsid w:val="00DF7670"/>
    <w:rsid w:val="00E1284E"/>
    <w:rsid w:val="00E22227"/>
    <w:rsid w:val="00E26D6F"/>
    <w:rsid w:val="00E27E44"/>
    <w:rsid w:val="00E402F3"/>
    <w:rsid w:val="00E516E9"/>
    <w:rsid w:val="00E52FDA"/>
    <w:rsid w:val="00E61AF0"/>
    <w:rsid w:val="00E72942"/>
    <w:rsid w:val="00E72F52"/>
    <w:rsid w:val="00E73B61"/>
    <w:rsid w:val="00E763D6"/>
    <w:rsid w:val="00E76606"/>
    <w:rsid w:val="00E86651"/>
    <w:rsid w:val="00E912FC"/>
    <w:rsid w:val="00E969FA"/>
    <w:rsid w:val="00E97542"/>
    <w:rsid w:val="00EA4E01"/>
    <w:rsid w:val="00EB1581"/>
    <w:rsid w:val="00EB634A"/>
    <w:rsid w:val="00F300A1"/>
    <w:rsid w:val="00F4350F"/>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576A77"/>
  <w15:docId w15:val="{ADC71D04-93B0-4A86-B45A-4F38899F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paragraph" w:customStyle="1" w:styleId="TableParagraph">
    <w:name w:val="Table Paragraph"/>
    <w:basedOn w:val="Normal"/>
    <w:uiPriority w:val="1"/>
    <w:qFormat/>
    <w:rsid w:val="00EB1581"/>
    <w:pPr>
      <w:widowControl w:val="0"/>
      <w:autoSpaceDE w:val="0"/>
      <w:autoSpaceDN w:val="0"/>
      <w:ind w:left="107"/>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84562051">
      <w:bodyDiv w:val="1"/>
      <w:marLeft w:val="0"/>
      <w:marRight w:val="0"/>
      <w:marTop w:val="0"/>
      <w:marBottom w:val="0"/>
      <w:divBdr>
        <w:top w:val="none" w:sz="0" w:space="0" w:color="auto"/>
        <w:left w:val="none" w:sz="0" w:space="0" w:color="auto"/>
        <w:bottom w:val="none" w:sz="0" w:space="0" w:color="auto"/>
        <w:right w:val="none" w:sz="0" w:space="0" w:color="auto"/>
      </w:divBdr>
    </w:div>
    <w:div w:id="227376566">
      <w:bodyDiv w:val="1"/>
      <w:marLeft w:val="0"/>
      <w:marRight w:val="0"/>
      <w:marTop w:val="0"/>
      <w:marBottom w:val="0"/>
      <w:divBdr>
        <w:top w:val="none" w:sz="0" w:space="0" w:color="auto"/>
        <w:left w:val="none" w:sz="0" w:space="0" w:color="auto"/>
        <w:bottom w:val="none" w:sz="0" w:space="0" w:color="auto"/>
        <w:right w:val="none" w:sz="0" w:space="0" w:color="auto"/>
      </w:divBdr>
    </w:div>
    <w:div w:id="557278392">
      <w:bodyDiv w:val="1"/>
      <w:marLeft w:val="0"/>
      <w:marRight w:val="0"/>
      <w:marTop w:val="0"/>
      <w:marBottom w:val="0"/>
      <w:divBdr>
        <w:top w:val="none" w:sz="0" w:space="0" w:color="auto"/>
        <w:left w:val="none" w:sz="0" w:space="0" w:color="auto"/>
        <w:bottom w:val="none" w:sz="0" w:space="0" w:color="auto"/>
        <w:right w:val="none" w:sz="0" w:space="0" w:color="auto"/>
      </w:divBdr>
      <w:divsChild>
        <w:div w:id="1630239479">
          <w:marLeft w:val="547"/>
          <w:marRight w:val="0"/>
          <w:marTop w:val="154"/>
          <w:marBottom w:val="0"/>
          <w:divBdr>
            <w:top w:val="none" w:sz="0" w:space="0" w:color="auto"/>
            <w:left w:val="none" w:sz="0" w:space="0" w:color="auto"/>
            <w:bottom w:val="none" w:sz="0" w:space="0" w:color="auto"/>
            <w:right w:val="none" w:sz="0" w:space="0" w:color="auto"/>
          </w:divBdr>
        </w:div>
        <w:div w:id="62414389">
          <w:marLeft w:val="1166"/>
          <w:marRight w:val="0"/>
          <w:marTop w:val="134"/>
          <w:marBottom w:val="0"/>
          <w:divBdr>
            <w:top w:val="none" w:sz="0" w:space="0" w:color="auto"/>
            <w:left w:val="none" w:sz="0" w:space="0" w:color="auto"/>
            <w:bottom w:val="none" w:sz="0" w:space="0" w:color="auto"/>
            <w:right w:val="none" w:sz="0" w:space="0" w:color="auto"/>
          </w:divBdr>
        </w:div>
        <w:div w:id="1512798661">
          <w:marLeft w:val="1166"/>
          <w:marRight w:val="0"/>
          <w:marTop w:val="134"/>
          <w:marBottom w:val="0"/>
          <w:divBdr>
            <w:top w:val="none" w:sz="0" w:space="0" w:color="auto"/>
            <w:left w:val="none" w:sz="0" w:space="0" w:color="auto"/>
            <w:bottom w:val="none" w:sz="0" w:space="0" w:color="auto"/>
            <w:right w:val="none" w:sz="0" w:space="0" w:color="auto"/>
          </w:divBdr>
        </w:div>
      </w:divsChild>
    </w:div>
    <w:div w:id="563220907">
      <w:bodyDiv w:val="1"/>
      <w:marLeft w:val="0"/>
      <w:marRight w:val="0"/>
      <w:marTop w:val="0"/>
      <w:marBottom w:val="0"/>
      <w:divBdr>
        <w:top w:val="none" w:sz="0" w:space="0" w:color="auto"/>
        <w:left w:val="none" w:sz="0" w:space="0" w:color="auto"/>
        <w:bottom w:val="none" w:sz="0" w:space="0" w:color="auto"/>
        <w:right w:val="none" w:sz="0" w:space="0" w:color="auto"/>
      </w:divBdr>
    </w:div>
    <w:div w:id="785126020">
      <w:bodyDiv w:val="1"/>
      <w:marLeft w:val="0"/>
      <w:marRight w:val="0"/>
      <w:marTop w:val="0"/>
      <w:marBottom w:val="0"/>
      <w:divBdr>
        <w:top w:val="none" w:sz="0" w:space="0" w:color="auto"/>
        <w:left w:val="none" w:sz="0" w:space="0" w:color="auto"/>
        <w:bottom w:val="none" w:sz="0" w:space="0" w:color="auto"/>
        <w:right w:val="none" w:sz="0" w:space="0" w:color="auto"/>
      </w:divBdr>
    </w:div>
    <w:div w:id="843669866">
      <w:bodyDiv w:val="1"/>
      <w:marLeft w:val="0"/>
      <w:marRight w:val="0"/>
      <w:marTop w:val="0"/>
      <w:marBottom w:val="0"/>
      <w:divBdr>
        <w:top w:val="none" w:sz="0" w:space="0" w:color="auto"/>
        <w:left w:val="none" w:sz="0" w:space="0" w:color="auto"/>
        <w:bottom w:val="none" w:sz="0" w:space="0" w:color="auto"/>
        <w:right w:val="none" w:sz="0" w:space="0" w:color="auto"/>
      </w:divBdr>
    </w:div>
    <w:div w:id="948587319">
      <w:bodyDiv w:val="1"/>
      <w:marLeft w:val="0"/>
      <w:marRight w:val="0"/>
      <w:marTop w:val="0"/>
      <w:marBottom w:val="0"/>
      <w:divBdr>
        <w:top w:val="none" w:sz="0" w:space="0" w:color="auto"/>
        <w:left w:val="none" w:sz="0" w:space="0" w:color="auto"/>
        <w:bottom w:val="none" w:sz="0" w:space="0" w:color="auto"/>
        <w:right w:val="none" w:sz="0" w:space="0" w:color="auto"/>
      </w:divBdr>
      <w:divsChild>
        <w:div w:id="795100483">
          <w:marLeft w:val="547"/>
          <w:marRight w:val="0"/>
          <w:marTop w:val="115"/>
          <w:marBottom w:val="0"/>
          <w:divBdr>
            <w:top w:val="none" w:sz="0" w:space="0" w:color="auto"/>
            <w:left w:val="none" w:sz="0" w:space="0" w:color="auto"/>
            <w:bottom w:val="none" w:sz="0" w:space="0" w:color="auto"/>
            <w:right w:val="none" w:sz="0" w:space="0" w:color="auto"/>
          </w:divBdr>
        </w:div>
        <w:div w:id="599145812">
          <w:marLeft w:val="547"/>
          <w:marRight w:val="0"/>
          <w:marTop w:val="115"/>
          <w:marBottom w:val="0"/>
          <w:divBdr>
            <w:top w:val="none" w:sz="0" w:space="0" w:color="auto"/>
            <w:left w:val="none" w:sz="0" w:space="0" w:color="auto"/>
            <w:bottom w:val="none" w:sz="0" w:space="0" w:color="auto"/>
            <w:right w:val="none" w:sz="0" w:space="0" w:color="auto"/>
          </w:divBdr>
        </w:div>
        <w:div w:id="1702583063">
          <w:marLeft w:val="1166"/>
          <w:marRight w:val="0"/>
          <w:marTop w:val="115"/>
          <w:marBottom w:val="0"/>
          <w:divBdr>
            <w:top w:val="none" w:sz="0" w:space="0" w:color="auto"/>
            <w:left w:val="none" w:sz="0" w:space="0" w:color="auto"/>
            <w:bottom w:val="none" w:sz="0" w:space="0" w:color="auto"/>
            <w:right w:val="none" w:sz="0" w:space="0" w:color="auto"/>
          </w:divBdr>
        </w:div>
        <w:div w:id="6756344">
          <w:marLeft w:val="547"/>
          <w:marRight w:val="0"/>
          <w:marTop w:val="115"/>
          <w:marBottom w:val="0"/>
          <w:divBdr>
            <w:top w:val="none" w:sz="0" w:space="0" w:color="auto"/>
            <w:left w:val="none" w:sz="0" w:space="0" w:color="auto"/>
            <w:bottom w:val="none" w:sz="0" w:space="0" w:color="auto"/>
            <w:right w:val="none" w:sz="0" w:space="0" w:color="auto"/>
          </w:divBdr>
        </w:div>
        <w:div w:id="598562683">
          <w:marLeft w:val="547"/>
          <w:marRight w:val="0"/>
          <w:marTop w:val="115"/>
          <w:marBottom w:val="0"/>
          <w:divBdr>
            <w:top w:val="none" w:sz="0" w:space="0" w:color="auto"/>
            <w:left w:val="none" w:sz="0" w:space="0" w:color="auto"/>
            <w:bottom w:val="none" w:sz="0" w:space="0" w:color="auto"/>
            <w:right w:val="none" w:sz="0" w:space="0" w:color="auto"/>
          </w:divBdr>
        </w:div>
      </w:divsChild>
    </w:div>
    <w:div w:id="978995993">
      <w:bodyDiv w:val="1"/>
      <w:marLeft w:val="0"/>
      <w:marRight w:val="0"/>
      <w:marTop w:val="0"/>
      <w:marBottom w:val="0"/>
      <w:divBdr>
        <w:top w:val="none" w:sz="0" w:space="0" w:color="auto"/>
        <w:left w:val="none" w:sz="0" w:space="0" w:color="auto"/>
        <w:bottom w:val="none" w:sz="0" w:space="0" w:color="auto"/>
        <w:right w:val="none" w:sz="0" w:space="0" w:color="auto"/>
      </w:divBdr>
    </w:div>
    <w:div w:id="1054617689">
      <w:bodyDiv w:val="1"/>
      <w:marLeft w:val="0"/>
      <w:marRight w:val="0"/>
      <w:marTop w:val="0"/>
      <w:marBottom w:val="0"/>
      <w:divBdr>
        <w:top w:val="none" w:sz="0" w:space="0" w:color="auto"/>
        <w:left w:val="none" w:sz="0" w:space="0" w:color="auto"/>
        <w:bottom w:val="none" w:sz="0" w:space="0" w:color="auto"/>
        <w:right w:val="none" w:sz="0" w:space="0" w:color="auto"/>
      </w:divBdr>
      <w:divsChild>
        <w:div w:id="1563298007">
          <w:marLeft w:val="547"/>
          <w:marRight w:val="0"/>
          <w:marTop w:val="144"/>
          <w:marBottom w:val="0"/>
          <w:divBdr>
            <w:top w:val="none" w:sz="0" w:space="0" w:color="auto"/>
            <w:left w:val="none" w:sz="0" w:space="0" w:color="auto"/>
            <w:bottom w:val="none" w:sz="0" w:space="0" w:color="auto"/>
            <w:right w:val="none" w:sz="0" w:space="0" w:color="auto"/>
          </w:divBdr>
        </w:div>
        <w:div w:id="809983370">
          <w:marLeft w:val="1166"/>
          <w:marRight w:val="0"/>
          <w:marTop w:val="125"/>
          <w:marBottom w:val="0"/>
          <w:divBdr>
            <w:top w:val="none" w:sz="0" w:space="0" w:color="auto"/>
            <w:left w:val="none" w:sz="0" w:space="0" w:color="auto"/>
            <w:bottom w:val="none" w:sz="0" w:space="0" w:color="auto"/>
            <w:right w:val="none" w:sz="0" w:space="0" w:color="auto"/>
          </w:divBdr>
        </w:div>
        <w:div w:id="1560553532">
          <w:marLeft w:val="1166"/>
          <w:marRight w:val="0"/>
          <w:marTop w:val="125"/>
          <w:marBottom w:val="0"/>
          <w:divBdr>
            <w:top w:val="none" w:sz="0" w:space="0" w:color="auto"/>
            <w:left w:val="none" w:sz="0" w:space="0" w:color="auto"/>
            <w:bottom w:val="none" w:sz="0" w:space="0" w:color="auto"/>
            <w:right w:val="none" w:sz="0" w:space="0" w:color="auto"/>
          </w:divBdr>
        </w:div>
        <w:div w:id="1134181805">
          <w:marLeft w:val="1166"/>
          <w:marRight w:val="0"/>
          <w:marTop w:val="125"/>
          <w:marBottom w:val="0"/>
          <w:divBdr>
            <w:top w:val="none" w:sz="0" w:space="0" w:color="auto"/>
            <w:left w:val="none" w:sz="0" w:space="0" w:color="auto"/>
            <w:bottom w:val="none" w:sz="0" w:space="0" w:color="auto"/>
            <w:right w:val="none" w:sz="0" w:space="0" w:color="auto"/>
          </w:divBdr>
        </w:div>
        <w:div w:id="294023726">
          <w:marLeft w:val="1166"/>
          <w:marRight w:val="0"/>
          <w:marTop w:val="125"/>
          <w:marBottom w:val="0"/>
          <w:divBdr>
            <w:top w:val="none" w:sz="0" w:space="0" w:color="auto"/>
            <w:left w:val="none" w:sz="0" w:space="0" w:color="auto"/>
            <w:bottom w:val="none" w:sz="0" w:space="0" w:color="auto"/>
            <w:right w:val="none" w:sz="0" w:space="0" w:color="auto"/>
          </w:divBdr>
        </w:div>
        <w:div w:id="1457262042">
          <w:marLeft w:val="547"/>
          <w:marRight w:val="0"/>
          <w:marTop w:val="144"/>
          <w:marBottom w:val="0"/>
          <w:divBdr>
            <w:top w:val="none" w:sz="0" w:space="0" w:color="auto"/>
            <w:left w:val="none" w:sz="0" w:space="0" w:color="auto"/>
            <w:bottom w:val="none" w:sz="0" w:space="0" w:color="auto"/>
            <w:right w:val="none" w:sz="0" w:space="0" w:color="auto"/>
          </w:divBdr>
        </w:div>
        <w:div w:id="278922062">
          <w:marLeft w:val="547"/>
          <w:marRight w:val="0"/>
          <w:marTop w:val="144"/>
          <w:marBottom w:val="0"/>
          <w:divBdr>
            <w:top w:val="none" w:sz="0" w:space="0" w:color="auto"/>
            <w:left w:val="none" w:sz="0" w:space="0" w:color="auto"/>
            <w:bottom w:val="none" w:sz="0" w:space="0" w:color="auto"/>
            <w:right w:val="none" w:sz="0" w:space="0" w:color="auto"/>
          </w:divBdr>
        </w:div>
      </w:divsChild>
    </w:div>
    <w:div w:id="1131555582">
      <w:bodyDiv w:val="1"/>
      <w:marLeft w:val="0"/>
      <w:marRight w:val="0"/>
      <w:marTop w:val="0"/>
      <w:marBottom w:val="0"/>
      <w:divBdr>
        <w:top w:val="none" w:sz="0" w:space="0" w:color="auto"/>
        <w:left w:val="none" w:sz="0" w:space="0" w:color="auto"/>
        <w:bottom w:val="none" w:sz="0" w:space="0" w:color="auto"/>
        <w:right w:val="none" w:sz="0" w:space="0" w:color="auto"/>
      </w:divBdr>
    </w:div>
    <w:div w:id="1200510170">
      <w:bodyDiv w:val="1"/>
      <w:marLeft w:val="0"/>
      <w:marRight w:val="0"/>
      <w:marTop w:val="0"/>
      <w:marBottom w:val="0"/>
      <w:divBdr>
        <w:top w:val="none" w:sz="0" w:space="0" w:color="auto"/>
        <w:left w:val="none" w:sz="0" w:space="0" w:color="auto"/>
        <w:bottom w:val="none" w:sz="0" w:space="0" w:color="auto"/>
        <w:right w:val="none" w:sz="0" w:space="0" w:color="auto"/>
      </w:divBdr>
    </w:div>
    <w:div w:id="1223448561">
      <w:bodyDiv w:val="1"/>
      <w:marLeft w:val="0"/>
      <w:marRight w:val="0"/>
      <w:marTop w:val="0"/>
      <w:marBottom w:val="0"/>
      <w:divBdr>
        <w:top w:val="none" w:sz="0" w:space="0" w:color="auto"/>
        <w:left w:val="none" w:sz="0" w:space="0" w:color="auto"/>
        <w:bottom w:val="none" w:sz="0" w:space="0" w:color="auto"/>
        <w:right w:val="none" w:sz="0" w:space="0" w:color="auto"/>
      </w:divBdr>
    </w:div>
    <w:div w:id="1557661193">
      <w:bodyDiv w:val="1"/>
      <w:marLeft w:val="0"/>
      <w:marRight w:val="0"/>
      <w:marTop w:val="0"/>
      <w:marBottom w:val="0"/>
      <w:divBdr>
        <w:top w:val="none" w:sz="0" w:space="0" w:color="auto"/>
        <w:left w:val="none" w:sz="0" w:space="0" w:color="auto"/>
        <w:bottom w:val="none" w:sz="0" w:space="0" w:color="auto"/>
        <w:right w:val="none" w:sz="0" w:space="0" w:color="auto"/>
      </w:divBdr>
    </w:div>
    <w:div w:id="1727070756">
      <w:bodyDiv w:val="1"/>
      <w:marLeft w:val="0"/>
      <w:marRight w:val="0"/>
      <w:marTop w:val="0"/>
      <w:marBottom w:val="0"/>
      <w:divBdr>
        <w:top w:val="none" w:sz="0" w:space="0" w:color="auto"/>
        <w:left w:val="none" w:sz="0" w:space="0" w:color="auto"/>
        <w:bottom w:val="none" w:sz="0" w:space="0" w:color="auto"/>
        <w:right w:val="none" w:sz="0" w:space="0" w:color="auto"/>
      </w:divBdr>
    </w:div>
    <w:div w:id="1743989429">
      <w:bodyDiv w:val="1"/>
      <w:marLeft w:val="0"/>
      <w:marRight w:val="0"/>
      <w:marTop w:val="0"/>
      <w:marBottom w:val="0"/>
      <w:divBdr>
        <w:top w:val="none" w:sz="0" w:space="0" w:color="auto"/>
        <w:left w:val="none" w:sz="0" w:space="0" w:color="auto"/>
        <w:bottom w:val="none" w:sz="0" w:space="0" w:color="auto"/>
        <w:right w:val="none" w:sz="0" w:space="0" w:color="auto"/>
      </w:divBdr>
    </w:div>
    <w:div w:id="1967081284">
      <w:bodyDiv w:val="1"/>
      <w:marLeft w:val="0"/>
      <w:marRight w:val="0"/>
      <w:marTop w:val="0"/>
      <w:marBottom w:val="0"/>
      <w:divBdr>
        <w:top w:val="none" w:sz="0" w:space="0" w:color="auto"/>
        <w:left w:val="none" w:sz="0" w:space="0" w:color="auto"/>
        <w:bottom w:val="none" w:sz="0" w:space="0" w:color="auto"/>
        <w:right w:val="none" w:sz="0" w:space="0" w:color="auto"/>
      </w:divBdr>
      <w:divsChild>
        <w:div w:id="1207989514">
          <w:marLeft w:val="547"/>
          <w:marRight w:val="0"/>
          <w:marTop w:val="144"/>
          <w:marBottom w:val="0"/>
          <w:divBdr>
            <w:top w:val="none" w:sz="0" w:space="0" w:color="auto"/>
            <w:left w:val="none" w:sz="0" w:space="0" w:color="auto"/>
            <w:bottom w:val="none" w:sz="0" w:space="0" w:color="auto"/>
            <w:right w:val="none" w:sz="0" w:space="0" w:color="auto"/>
          </w:divBdr>
        </w:div>
        <w:div w:id="1767386597">
          <w:marLeft w:val="1166"/>
          <w:marRight w:val="0"/>
          <w:marTop w:val="125"/>
          <w:marBottom w:val="0"/>
          <w:divBdr>
            <w:top w:val="none" w:sz="0" w:space="0" w:color="auto"/>
            <w:left w:val="none" w:sz="0" w:space="0" w:color="auto"/>
            <w:bottom w:val="none" w:sz="0" w:space="0" w:color="auto"/>
            <w:right w:val="none" w:sz="0" w:space="0" w:color="auto"/>
          </w:divBdr>
        </w:div>
        <w:div w:id="580407878">
          <w:marLeft w:val="1166"/>
          <w:marRight w:val="0"/>
          <w:marTop w:val="125"/>
          <w:marBottom w:val="0"/>
          <w:divBdr>
            <w:top w:val="none" w:sz="0" w:space="0" w:color="auto"/>
            <w:left w:val="none" w:sz="0" w:space="0" w:color="auto"/>
            <w:bottom w:val="none" w:sz="0" w:space="0" w:color="auto"/>
            <w:right w:val="none" w:sz="0" w:space="0" w:color="auto"/>
          </w:divBdr>
        </w:div>
        <w:div w:id="642075940">
          <w:marLeft w:val="1166"/>
          <w:marRight w:val="0"/>
          <w:marTop w:val="125"/>
          <w:marBottom w:val="0"/>
          <w:divBdr>
            <w:top w:val="none" w:sz="0" w:space="0" w:color="auto"/>
            <w:left w:val="none" w:sz="0" w:space="0" w:color="auto"/>
            <w:bottom w:val="none" w:sz="0" w:space="0" w:color="auto"/>
            <w:right w:val="none" w:sz="0" w:space="0" w:color="auto"/>
          </w:divBdr>
        </w:div>
        <w:div w:id="1123772472">
          <w:marLeft w:val="1166"/>
          <w:marRight w:val="0"/>
          <w:marTop w:val="125"/>
          <w:marBottom w:val="0"/>
          <w:divBdr>
            <w:top w:val="none" w:sz="0" w:space="0" w:color="auto"/>
            <w:left w:val="none" w:sz="0" w:space="0" w:color="auto"/>
            <w:bottom w:val="none" w:sz="0" w:space="0" w:color="auto"/>
            <w:right w:val="none" w:sz="0" w:space="0" w:color="auto"/>
          </w:divBdr>
        </w:div>
        <w:div w:id="345987445">
          <w:marLeft w:val="547"/>
          <w:marRight w:val="0"/>
          <w:marTop w:val="144"/>
          <w:marBottom w:val="0"/>
          <w:divBdr>
            <w:top w:val="none" w:sz="0" w:space="0" w:color="auto"/>
            <w:left w:val="none" w:sz="0" w:space="0" w:color="auto"/>
            <w:bottom w:val="none" w:sz="0" w:space="0" w:color="auto"/>
            <w:right w:val="none" w:sz="0" w:space="0" w:color="auto"/>
          </w:divBdr>
        </w:div>
        <w:div w:id="1527670427">
          <w:marLeft w:val="547"/>
          <w:marRight w:val="0"/>
          <w:marTop w:val="144"/>
          <w:marBottom w:val="0"/>
          <w:divBdr>
            <w:top w:val="none" w:sz="0" w:space="0" w:color="auto"/>
            <w:left w:val="none" w:sz="0" w:space="0" w:color="auto"/>
            <w:bottom w:val="none" w:sz="0" w:space="0" w:color="auto"/>
            <w:right w:val="none" w:sz="0" w:space="0" w:color="auto"/>
          </w:divBdr>
        </w:div>
      </w:divsChild>
    </w:div>
    <w:div w:id="1991905705">
      <w:bodyDiv w:val="1"/>
      <w:marLeft w:val="0"/>
      <w:marRight w:val="0"/>
      <w:marTop w:val="0"/>
      <w:marBottom w:val="0"/>
      <w:divBdr>
        <w:top w:val="none" w:sz="0" w:space="0" w:color="auto"/>
        <w:left w:val="none" w:sz="0" w:space="0" w:color="auto"/>
        <w:bottom w:val="none" w:sz="0" w:space="0" w:color="auto"/>
        <w:right w:val="none" w:sz="0" w:space="0" w:color="auto"/>
      </w:divBdr>
      <w:divsChild>
        <w:div w:id="1278105439">
          <w:marLeft w:val="547"/>
          <w:marRight w:val="0"/>
          <w:marTop w:val="154"/>
          <w:marBottom w:val="0"/>
          <w:divBdr>
            <w:top w:val="none" w:sz="0" w:space="0" w:color="auto"/>
            <w:left w:val="none" w:sz="0" w:space="0" w:color="auto"/>
            <w:bottom w:val="none" w:sz="0" w:space="0" w:color="auto"/>
            <w:right w:val="none" w:sz="0" w:space="0" w:color="auto"/>
          </w:divBdr>
        </w:div>
      </w:divsChild>
    </w:div>
    <w:div w:id="2028018838">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F57D8"/>
    <w:rsid w:val="007F73DB"/>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3532-5540-4E19-88DD-BBE9540E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2019-07-25T15:22:00Z</dcterms:created>
  <dcterms:modified xsi:type="dcterms:W3CDTF">2019-07-25T15:22:00Z</dcterms:modified>
</cp:coreProperties>
</file>