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D5" w:rsidRDefault="00AC48D5" w:rsidP="00E73B61">
      <w:pPr>
        <w:ind w:left="5041"/>
        <w:jc w:val="right"/>
      </w:pPr>
      <w:bookmarkStart w:id="0" w:name="_GoBack"/>
      <w:bookmarkEnd w:id="0"/>
    </w:p>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C62BE4">
                              <w:rPr>
                                <w:rFonts w:ascii="Calibri" w:hAnsi="Calibri"/>
                                <w:b/>
                                <w:sz w:val="22"/>
                                <w:szCs w:val="22"/>
                              </w:rPr>
                              <w:ta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C62BE4">
                        <w:rPr>
                          <w:rFonts w:ascii="Calibri" w:hAnsi="Calibri"/>
                          <w:b/>
                          <w:sz w:val="22"/>
                          <w:szCs w:val="22"/>
                        </w:rPr>
                        <w:tab/>
                        <w:t>10</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9B28F4">
                              <w:rPr>
                                <w:rFonts w:ascii="Calibri" w:hAnsi="Calibri"/>
                                <w:sz w:val="22"/>
                                <w:szCs w:val="22"/>
                              </w:rPr>
                              <w:t>NELCCG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F3F09">
                              <w:rPr>
                                <w:rFonts w:ascii="Calibri" w:hAnsi="Calibri"/>
                                <w:sz w:val="22"/>
                                <w:szCs w:val="22"/>
                              </w:rPr>
                              <w:t xml:space="preserve"> </w:t>
                            </w:r>
                            <w:r w:rsidR="000C491D">
                              <w:rPr>
                                <w:rFonts w:ascii="Calibri" w:hAnsi="Calibri"/>
                                <w:sz w:val="22"/>
                                <w:szCs w:val="22"/>
                              </w:rPr>
                              <w:tab/>
                            </w:r>
                            <w:r w:rsidR="0092628E">
                              <w:rPr>
                                <w:rFonts w:ascii="Calibri" w:hAnsi="Calibri"/>
                                <w:sz w:val="22"/>
                                <w:szCs w:val="22"/>
                              </w:rPr>
                              <w:t>4</w:t>
                            </w:r>
                            <w:r w:rsidR="009B28F4" w:rsidRPr="009B28F4">
                              <w:rPr>
                                <w:rFonts w:ascii="Calibri" w:hAnsi="Calibri"/>
                                <w:sz w:val="22"/>
                                <w:szCs w:val="22"/>
                                <w:vertAlign w:val="superscript"/>
                              </w:rPr>
                              <w:t>th</w:t>
                            </w:r>
                            <w:r w:rsidR="0092628E">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9B28F4">
                              <w:rPr>
                                <w:rFonts w:ascii="Calibri" w:hAnsi="Calibri"/>
                                <w:sz w:val="22"/>
                                <w:szCs w:val="22"/>
                              </w:rPr>
                              <w:t>Primary Care Commissioning 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5F38C8">
                              <w:rPr>
                                <w:rFonts w:ascii="Calibri" w:hAnsi="Calibri"/>
                                <w:sz w:val="22"/>
                                <w:szCs w:val="22"/>
                              </w:rPr>
                              <w:t xml:space="preserve">Jo Horsfall </w:t>
                            </w:r>
                            <w:r w:rsidR="009609BA">
                              <w:rPr>
                                <w:rFonts w:ascii="Calibri" w:hAnsi="Calibri"/>
                                <w:sz w:val="22"/>
                                <w:szCs w:val="22"/>
                              </w:rPr>
                              <w:t>/ 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9B28F4">
                        <w:rPr>
                          <w:rFonts w:ascii="Calibri" w:hAnsi="Calibri"/>
                          <w:sz w:val="22"/>
                          <w:szCs w:val="22"/>
                        </w:rPr>
                        <w:t>NELCCG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F3F09">
                        <w:rPr>
                          <w:rFonts w:ascii="Calibri" w:hAnsi="Calibri"/>
                          <w:sz w:val="22"/>
                          <w:szCs w:val="22"/>
                        </w:rPr>
                        <w:t xml:space="preserve"> </w:t>
                      </w:r>
                      <w:r w:rsidR="000C491D">
                        <w:rPr>
                          <w:rFonts w:ascii="Calibri" w:hAnsi="Calibri"/>
                          <w:sz w:val="22"/>
                          <w:szCs w:val="22"/>
                        </w:rPr>
                        <w:tab/>
                      </w:r>
                      <w:r w:rsidR="0092628E">
                        <w:rPr>
                          <w:rFonts w:ascii="Calibri" w:hAnsi="Calibri"/>
                          <w:sz w:val="22"/>
                          <w:szCs w:val="22"/>
                        </w:rPr>
                        <w:t>4</w:t>
                      </w:r>
                      <w:r w:rsidR="009B28F4" w:rsidRPr="009B28F4">
                        <w:rPr>
                          <w:rFonts w:ascii="Calibri" w:hAnsi="Calibri"/>
                          <w:sz w:val="22"/>
                          <w:szCs w:val="22"/>
                          <w:vertAlign w:val="superscript"/>
                        </w:rPr>
                        <w:t>th</w:t>
                      </w:r>
                      <w:r w:rsidR="0092628E">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9B28F4">
                        <w:rPr>
                          <w:rFonts w:ascii="Calibri" w:hAnsi="Calibri"/>
                          <w:sz w:val="22"/>
                          <w:szCs w:val="22"/>
                        </w:rPr>
                        <w:t>Primary Care Commissioning 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B28F4">
                        <w:rPr>
                          <w:rFonts w:ascii="Calibri" w:hAnsi="Calibri"/>
                          <w:sz w:val="22"/>
                          <w:szCs w:val="22"/>
                        </w:rPr>
                        <w:t xml:space="preserve"> </w:t>
                      </w:r>
                      <w:r w:rsidR="000C491D">
                        <w:rPr>
                          <w:rFonts w:ascii="Calibri" w:hAnsi="Calibri"/>
                          <w:sz w:val="22"/>
                          <w:szCs w:val="22"/>
                        </w:rPr>
                        <w:tab/>
                      </w:r>
                      <w:r w:rsidR="000C491D">
                        <w:rPr>
                          <w:rFonts w:ascii="Calibri" w:hAnsi="Calibri"/>
                          <w:sz w:val="22"/>
                          <w:szCs w:val="22"/>
                        </w:rPr>
                        <w:tab/>
                      </w:r>
                      <w:r w:rsidR="005F38C8">
                        <w:rPr>
                          <w:rFonts w:ascii="Calibri" w:hAnsi="Calibri"/>
                          <w:sz w:val="22"/>
                          <w:szCs w:val="22"/>
                        </w:rPr>
                        <w:t xml:space="preserve">Jo Horsfall </w:t>
                      </w:r>
                      <w:r w:rsidR="009609BA">
                        <w:rPr>
                          <w:rFonts w:ascii="Calibri" w:hAnsi="Calibri"/>
                          <w:sz w:val="22"/>
                          <w:szCs w:val="22"/>
                        </w:rPr>
                        <w:t>/ 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1700DD">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1700DD">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1700DD">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1700DD">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199"/>
        <w:gridCol w:w="1779"/>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9B28F4">
            <w:pPr>
              <w:pStyle w:val="NoSpacing"/>
              <w:rPr>
                <w:rFonts w:cs="Calibri"/>
                <w:b/>
                <w:sz w:val="20"/>
                <w:szCs w:val="20"/>
              </w:rPr>
            </w:pPr>
          </w:p>
        </w:tc>
        <w:tc>
          <w:tcPr>
            <w:tcW w:w="3817" w:type="pct"/>
            <w:gridSpan w:val="2"/>
            <w:shd w:val="clear" w:color="auto" w:fill="auto"/>
          </w:tcPr>
          <w:p w:rsidR="00E76606" w:rsidRPr="004A1EEA" w:rsidRDefault="009B28F4" w:rsidP="004A1EEA">
            <w:pPr>
              <w:pStyle w:val="Default"/>
              <w:jc w:val="both"/>
              <w:rPr>
                <w:rFonts w:ascii="Calibri" w:hAnsi="Calibri" w:cs="Calibri"/>
                <w:sz w:val="20"/>
                <w:szCs w:val="20"/>
              </w:rPr>
            </w:pPr>
            <w:r w:rsidRPr="004A1EEA">
              <w:rPr>
                <w:rFonts w:ascii="Calibri" w:hAnsi="Calibri" w:cs="Calibri"/>
                <w:sz w:val="20"/>
                <w:szCs w:val="20"/>
              </w:rPr>
              <w:t xml:space="preserve">To </w:t>
            </w:r>
            <w:r w:rsidR="006C1A66">
              <w:rPr>
                <w:rFonts w:ascii="Calibri" w:hAnsi="Calibri" w:cs="Calibri"/>
                <w:sz w:val="20"/>
                <w:szCs w:val="20"/>
              </w:rPr>
              <w:t>provide an</w:t>
            </w:r>
            <w:r w:rsidRPr="004A1EEA">
              <w:rPr>
                <w:rFonts w:ascii="Calibri" w:hAnsi="Calibri" w:cs="Calibri"/>
                <w:sz w:val="20"/>
                <w:szCs w:val="20"/>
              </w:rPr>
              <w:t xml:space="preserve"> update on</w:t>
            </w:r>
            <w:r w:rsidR="004A1EEA" w:rsidRPr="004A1EEA">
              <w:rPr>
                <w:rFonts w:ascii="Calibri" w:hAnsi="Calibri" w:cs="Calibri"/>
                <w:sz w:val="20"/>
                <w:szCs w:val="20"/>
              </w:rPr>
              <w:t xml:space="preserve"> the financial position of the</w:t>
            </w:r>
            <w:r w:rsidR="000C491D" w:rsidRPr="004A1EEA">
              <w:rPr>
                <w:rFonts w:ascii="Calibri" w:hAnsi="Calibri" w:cs="Calibri"/>
                <w:sz w:val="20"/>
                <w:szCs w:val="20"/>
              </w:rPr>
              <w:t xml:space="preserve"> </w:t>
            </w:r>
            <w:r w:rsidRPr="004A1EEA">
              <w:rPr>
                <w:rFonts w:ascii="Calibri" w:hAnsi="Calibri" w:cs="Calibri"/>
                <w:sz w:val="20"/>
                <w:szCs w:val="20"/>
              </w:rPr>
              <w:t>budgets within the scope of Primary Care for both NEL CCG &amp; NELC</w:t>
            </w:r>
            <w:r w:rsidR="005F38C8">
              <w:rPr>
                <w:rFonts w:ascii="Calibri" w:hAnsi="Calibri" w:cs="Calibri"/>
                <w:sz w:val="20"/>
                <w:szCs w:val="20"/>
              </w:rPr>
              <w:t>.</w:t>
            </w:r>
          </w:p>
          <w:p w:rsidR="002054A0" w:rsidRPr="00FB048F" w:rsidRDefault="002054A0" w:rsidP="000D1B0D">
            <w:pPr>
              <w:pStyle w:val="Default"/>
              <w:jc w:val="both"/>
              <w:rPr>
                <w:rFonts w:ascii="Calibri" w:hAnsi="Calibri" w:cs="Calibri"/>
                <w:sz w:val="22"/>
                <w:szCs w:val="22"/>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Default="004A1EEA" w:rsidP="004A1EEA">
            <w:pPr>
              <w:pStyle w:val="Default"/>
              <w:jc w:val="both"/>
              <w:rPr>
                <w:rFonts w:ascii="Calibri" w:hAnsi="Calibri" w:cs="Calibri"/>
                <w:sz w:val="20"/>
                <w:szCs w:val="20"/>
              </w:rPr>
            </w:pPr>
            <w:r>
              <w:rPr>
                <w:rFonts w:ascii="Calibri" w:hAnsi="Calibri" w:cs="Calibri"/>
                <w:sz w:val="20"/>
                <w:szCs w:val="20"/>
              </w:rPr>
              <w:t>To note:</w:t>
            </w:r>
          </w:p>
          <w:p w:rsidR="004A1EEA" w:rsidRDefault="004A1EEA" w:rsidP="009B73E1">
            <w:pPr>
              <w:pStyle w:val="Default"/>
              <w:numPr>
                <w:ilvl w:val="0"/>
                <w:numId w:val="22"/>
              </w:numPr>
              <w:jc w:val="both"/>
              <w:rPr>
                <w:rFonts w:ascii="Calibri" w:hAnsi="Calibri" w:cs="Calibri"/>
                <w:sz w:val="20"/>
                <w:szCs w:val="20"/>
              </w:rPr>
            </w:pPr>
            <w:r>
              <w:rPr>
                <w:rFonts w:ascii="Calibri" w:hAnsi="Calibri" w:cs="Calibri"/>
                <w:sz w:val="20"/>
                <w:szCs w:val="20"/>
              </w:rPr>
              <w:t xml:space="preserve">The year to date and forecast position for the Primary Care </w:t>
            </w:r>
            <w:r w:rsidR="009B73E1">
              <w:rPr>
                <w:rFonts w:ascii="Calibri" w:hAnsi="Calibri" w:cs="Calibri"/>
                <w:sz w:val="20"/>
                <w:szCs w:val="20"/>
              </w:rPr>
              <w:t>budgets fo</w:t>
            </w:r>
            <w:r w:rsidR="0092628E">
              <w:rPr>
                <w:rFonts w:ascii="Calibri" w:hAnsi="Calibri" w:cs="Calibri"/>
                <w:sz w:val="20"/>
                <w:szCs w:val="20"/>
              </w:rPr>
              <w:t>r the period ending 31st December</w:t>
            </w:r>
            <w:r>
              <w:rPr>
                <w:rFonts w:ascii="Calibri" w:hAnsi="Calibri" w:cs="Calibri"/>
                <w:sz w:val="20"/>
                <w:szCs w:val="20"/>
              </w:rPr>
              <w:t xml:space="preserve"> 2019</w:t>
            </w:r>
          </w:p>
          <w:p w:rsidR="005F38C8" w:rsidRPr="000D1B0D" w:rsidRDefault="005F38C8" w:rsidP="00755B9E">
            <w:pPr>
              <w:pStyle w:val="Default"/>
              <w:numPr>
                <w:ilvl w:val="0"/>
                <w:numId w:val="22"/>
              </w:numPr>
              <w:jc w:val="both"/>
              <w:rPr>
                <w:rFonts w:ascii="Calibri" w:hAnsi="Calibri" w:cs="Calibri"/>
                <w:sz w:val="20"/>
                <w:szCs w:val="20"/>
              </w:rPr>
            </w:pPr>
            <w:r>
              <w:rPr>
                <w:rFonts w:ascii="Calibri" w:hAnsi="Calibri" w:cs="Calibri"/>
                <w:sz w:val="20"/>
                <w:szCs w:val="20"/>
              </w:rPr>
              <w:t>20-21</w:t>
            </w:r>
            <w:r w:rsidR="00755B9E">
              <w:rPr>
                <w:rFonts w:ascii="Calibri" w:hAnsi="Calibri" w:cs="Calibri"/>
                <w:sz w:val="20"/>
                <w:szCs w:val="20"/>
              </w:rPr>
              <w:t xml:space="preserve"> planning for</w:t>
            </w:r>
            <w:r>
              <w:rPr>
                <w:rFonts w:ascii="Calibri" w:hAnsi="Calibri" w:cs="Calibri"/>
                <w:sz w:val="20"/>
                <w:szCs w:val="20"/>
              </w:rPr>
              <w:t xml:space="preserve"> Delegated </w:t>
            </w:r>
            <w:r w:rsidR="00755B9E">
              <w:rPr>
                <w:rFonts w:ascii="Calibri" w:hAnsi="Calibri" w:cs="Calibri"/>
                <w:sz w:val="20"/>
                <w:szCs w:val="20"/>
              </w:rPr>
              <w:t xml:space="preserve">Primary Care </w:t>
            </w:r>
            <w:r>
              <w:rPr>
                <w:rFonts w:ascii="Calibri" w:hAnsi="Calibri" w:cs="Calibri"/>
                <w:sz w:val="20"/>
                <w:szCs w:val="20"/>
              </w:rPr>
              <w:t>budgets</w:t>
            </w:r>
          </w:p>
        </w:tc>
      </w:tr>
      <w:tr w:rsidR="009D4EDC" w:rsidRPr="000D1B0D" w:rsidTr="00144ED4">
        <w:tc>
          <w:tcPr>
            <w:tcW w:w="1183" w:type="pct"/>
            <w:shd w:val="clear" w:color="auto" w:fill="auto"/>
          </w:tcPr>
          <w:p w:rsidR="009D4EDC" w:rsidRPr="009B28F4" w:rsidRDefault="00711DA9" w:rsidP="00046B77">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tc>
        <w:tc>
          <w:tcPr>
            <w:tcW w:w="3817" w:type="pct"/>
            <w:gridSpan w:val="2"/>
            <w:shd w:val="clear" w:color="auto" w:fill="auto"/>
          </w:tcPr>
          <w:p w:rsidR="00144ED4" w:rsidRPr="000D1B0D" w:rsidRDefault="009B28F4" w:rsidP="000D1B0D">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4A1EEA"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tc>
        <w:tc>
          <w:tcPr>
            <w:tcW w:w="3817" w:type="pct"/>
            <w:gridSpan w:val="2"/>
            <w:shd w:val="clear" w:color="auto" w:fill="auto"/>
          </w:tcPr>
          <w:p w:rsidR="00144ED4" w:rsidRPr="000D1B0D" w:rsidRDefault="00811838" w:rsidP="000D1B0D">
            <w:pPr>
              <w:pStyle w:val="Default"/>
              <w:jc w:val="both"/>
              <w:rPr>
                <w:rFonts w:ascii="Calibri" w:hAnsi="Calibri" w:cs="Calibri"/>
                <w:sz w:val="20"/>
                <w:szCs w:val="20"/>
              </w:rPr>
            </w:pPr>
            <w:r>
              <w:rPr>
                <w:rFonts w:ascii="Calibri" w:hAnsi="Calibri" w:cs="Calibri"/>
                <w:sz w:val="20"/>
                <w:szCs w:val="20"/>
              </w:rPr>
              <w:t>Any financial risk associated with the mitigations detailed in the paper are reflected in the CCG’s financial risk register.</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E5190C" w:rsidP="000D1B0D">
            <w:pPr>
              <w:pStyle w:val="Default"/>
              <w:jc w:val="both"/>
              <w:rPr>
                <w:rFonts w:ascii="Calibri" w:hAnsi="Calibri" w:cs="Calibri"/>
                <w:sz w:val="20"/>
                <w:szCs w:val="20"/>
              </w:rPr>
            </w:pPr>
            <w:r>
              <w:rPr>
                <w:rFonts w:ascii="Calibri" w:hAnsi="Calibri" w:cs="Calibri"/>
                <w:sz w:val="20"/>
                <w:szCs w:val="20"/>
              </w:rPr>
              <w:t>None</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5D00BB"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0C491D">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color w:val="FFFFFF" w:themeColor="background1"/>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0C491D" w:rsidRDefault="00842CBF" w:rsidP="00AB4FF6">
                <w:pPr>
                  <w:pStyle w:val="Default"/>
                  <w:rPr>
                    <w:rFonts w:ascii="Calibri" w:hAnsi="Calibri" w:cs="Calibri"/>
                    <w:b/>
                    <w:color w:val="FFFFFF" w:themeColor="background1"/>
                    <w:sz w:val="20"/>
                    <w:szCs w:val="20"/>
                  </w:rPr>
                </w:pPr>
                <w:r w:rsidRPr="000C491D">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0C491D">
                  <w:rPr>
                    <w:rStyle w:val="PlaceholderText"/>
                    <w:color w:val="FFFFFF" w:themeColor="background1"/>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E5190C">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E5190C">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p w:rsidR="004A1EEA" w:rsidRDefault="004A1EEA" w:rsidP="00E73B61">
            <w:pPr>
              <w:pStyle w:val="Default"/>
              <w:jc w:val="both"/>
              <w:rPr>
                <w:rFonts w:ascii="Calibri" w:hAnsi="Calibri" w:cs="Calibri"/>
                <w:sz w:val="20"/>
                <w:szCs w:val="20"/>
              </w:rPr>
            </w:pPr>
          </w:p>
          <w:p w:rsidR="004A1EEA" w:rsidRPr="00AB645B" w:rsidRDefault="004A1EEA" w:rsidP="00E73B61">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4A1EEA"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tc>
        <w:tc>
          <w:tcPr>
            <w:tcW w:w="3817" w:type="pct"/>
            <w:gridSpan w:val="2"/>
            <w:shd w:val="clear" w:color="auto" w:fill="auto"/>
          </w:tcPr>
          <w:p w:rsidR="00246EFA" w:rsidRDefault="00E5190C" w:rsidP="000D1B0D">
            <w:pPr>
              <w:pStyle w:val="Default"/>
              <w:jc w:val="both"/>
              <w:rPr>
                <w:rFonts w:ascii="Calibri" w:hAnsi="Calibri" w:cs="Calibri"/>
                <w:b/>
                <w:sz w:val="20"/>
                <w:szCs w:val="20"/>
                <w:u w:val="single"/>
              </w:rPr>
            </w:pPr>
            <w:r w:rsidRPr="004A1EEA">
              <w:rPr>
                <w:rFonts w:ascii="Calibri" w:hAnsi="Calibri" w:cs="Calibri"/>
                <w:b/>
                <w:sz w:val="20"/>
                <w:szCs w:val="20"/>
                <w:u w:val="single"/>
              </w:rPr>
              <w:t>Key points to note:</w:t>
            </w:r>
          </w:p>
          <w:p w:rsidR="007B50AC" w:rsidRPr="002735E5" w:rsidRDefault="002735E5" w:rsidP="000D1B0D">
            <w:pPr>
              <w:pStyle w:val="Default"/>
              <w:jc w:val="both"/>
              <w:rPr>
                <w:rFonts w:ascii="Calibri" w:hAnsi="Calibri" w:cs="Calibri"/>
                <w:sz w:val="20"/>
                <w:szCs w:val="20"/>
                <w:u w:val="single"/>
              </w:rPr>
            </w:pPr>
            <w:r w:rsidRPr="002735E5">
              <w:rPr>
                <w:rFonts w:ascii="Calibri" w:hAnsi="Calibri" w:cs="Calibri"/>
                <w:b/>
                <w:sz w:val="20"/>
                <w:szCs w:val="20"/>
              </w:rPr>
              <w:t xml:space="preserve">         </w:t>
            </w:r>
            <w:r w:rsidRPr="002735E5">
              <w:rPr>
                <w:rFonts w:ascii="Calibri" w:hAnsi="Calibri" w:cs="Calibri"/>
                <w:sz w:val="20"/>
                <w:szCs w:val="20"/>
                <w:u w:val="single"/>
              </w:rPr>
              <w:t>Budgets</w:t>
            </w:r>
          </w:p>
          <w:p w:rsidR="008A39C9" w:rsidRDefault="00716D43" w:rsidP="007B50AC">
            <w:pPr>
              <w:pStyle w:val="Default"/>
              <w:numPr>
                <w:ilvl w:val="0"/>
                <w:numId w:val="22"/>
              </w:numPr>
              <w:jc w:val="both"/>
              <w:rPr>
                <w:rFonts w:ascii="Calibri" w:hAnsi="Calibri" w:cs="Calibri"/>
                <w:sz w:val="20"/>
                <w:szCs w:val="20"/>
              </w:rPr>
            </w:pPr>
            <w:r>
              <w:rPr>
                <w:rFonts w:ascii="Calibri" w:hAnsi="Calibri" w:cs="Calibri"/>
                <w:sz w:val="20"/>
                <w:szCs w:val="20"/>
              </w:rPr>
              <w:t>Increase</w:t>
            </w:r>
            <w:r w:rsidR="00C13861" w:rsidRPr="00C13861">
              <w:rPr>
                <w:rFonts w:ascii="Calibri" w:hAnsi="Calibri" w:cs="Calibri"/>
                <w:sz w:val="20"/>
                <w:szCs w:val="20"/>
              </w:rPr>
              <w:t xml:space="preserve"> of £</w:t>
            </w:r>
            <w:r w:rsidR="008A39C9">
              <w:rPr>
                <w:rFonts w:ascii="Calibri" w:hAnsi="Calibri" w:cs="Calibri"/>
                <w:sz w:val="20"/>
                <w:szCs w:val="20"/>
              </w:rPr>
              <w:t>130</w:t>
            </w:r>
            <w:r w:rsidR="00C13861" w:rsidRPr="00C13861">
              <w:rPr>
                <w:rFonts w:ascii="Calibri" w:hAnsi="Calibri" w:cs="Calibri"/>
                <w:sz w:val="20"/>
                <w:szCs w:val="20"/>
              </w:rPr>
              <w:t xml:space="preserve">K </w:t>
            </w:r>
            <w:r w:rsidR="008A39C9">
              <w:rPr>
                <w:rFonts w:ascii="Calibri" w:hAnsi="Calibri" w:cs="Calibri"/>
                <w:sz w:val="20"/>
                <w:szCs w:val="20"/>
              </w:rPr>
              <w:t>to the budget</w:t>
            </w:r>
            <w:r w:rsidR="005D00BB">
              <w:rPr>
                <w:rFonts w:ascii="Calibri" w:hAnsi="Calibri" w:cs="Calibri"/>
                <w:sz w:val="20"/>
                <w:szCs w:val="20"/>
              </w:rPr>
              <w:t xml:space="preserve"> since the last report</w:t>
            </w:r>
            <w:r>
              <w:rPr>
                <w:rFonts w:ascii="Calibri" w:hAnsi="Calibri" w:cs="Calibri"/>
                <w:sz w:val="20"/>
                <w:szCs w:val="20"/>
              </w:rPr>
              <w:t xml:space="preserve"> is due to </w:t>
            </w:r>
            <w:r w:rsidR="002C6F56">
              <w:rPr>
                <w:rFonts w:ascii="Calibri" w:hAnsi="Calibri" w:cs="Calibri"/>
                <w:sz w:val="20"/>
                <w:szCs w:val="20"/>
              </w:rPr>
              <w:t>the receipt of</w:t>
            </w:r>
            <w:r w:rsidR="008A39C9">
              <w:rPr>
                <w:rFonts w:ascii="Calibri" w:hAnsi="Calibri" w:cs="Calibri"/>
                <w:sz w:val="20"/>
                <w:szCs w:val="20"/>
              </w:rPr>
              <w:t>:</w:t>
            </w:r>
          </w:p>
          <w:p w:rsidR="008A39C9" w:rsidRDefault="008A39C9" w:rsidP="008A39C9">
            <w:pPr>
              <w:pStyle w:val="Default"/>
              <w:ind w:left="720"/>
              <w:jc w:val="both"/>
              <w:rPr>
                <w:rFonts w:ascii="Calibri" w:hAnsi="Calibri" w:cs="Calibri"/>
                <w:sz w:val="20"/>
                <w:szCs w:val="20"/>
              </w:rPr>
            </w:pPr>
          </w:p>
          <w:p w:rsidR="002C6F56" w:rsidRPr="008A39C9" w:rsidRDefault="008A39C9" w:rsidP="008A39C9">
            <w:pPr>
              <w:pStyle w:val="Default"/>
              <w:numPr>
                <w:ilvl w:val="0"/>
                <w:numId w:val="28"/>
              </w:numPr>
              <w:jc w:val="both"/>
              <w:rPr>
                <w:rFonts w:ascii="Calibri" w:hAnsi="Calibri" w:cs="Calibri"/>
                <w:sz w:val="20"/>
                <w:szCs w:val="20"/>
              </w:rPr>
            </w:pPr>
            <w:r>
              <w:rPr>
                <w:rFonts w:ascii="Calibri" w:hAnsi="Calibri" w:cs="Calibri"/>
                <w:sz w:val="20"/>
                <w:szCs w:val="20"/>
              </w:rPr>
              <w:lastRenderedPageBreak/>
              <w:t xml:space="preserve">£121K additional funding </w:t>
            </w:r>
            <w:r w:rsidR="00ED26F5">
              <w:rPr>
                <w:rFonts w:ascii="Calibri" w:hAnsi="Calibri" w:cs="Calibri"/>
                <w:sz w:val="20"/>
                <w:szCs w:val="20"/>
              </w:rPr>
              <w:t xml:space="preserve">into ‘Core Primary Care’ </w:t>
            </w:r>
            <w:r>
              <w:rPr>
                <w:rFonts w:ascii="Calibri" w:hAnsi="Calibri" w:cs="Calibri"/>
                <w:sz w:val="20"/>
                <w:szCs w:val="20"/>
              </w:rPr>
              <w:t>to support the delivery of PCN’s Organisational Delivery Plan</w:t>
            </w:r>
            <w:r w:rsidR="00ED26F5">
              <w:rPr>
                <w:rFonts w:ascii="Calibri" w:hAnsi="Calibri" w:cs="Calibri"/>
                <w:sz w:val="20"/>
                <w:szCs w:val="20"/>
              </w:rPr>
              <w:t>, the anticipated</w:t>
            </w:r>
            <w:r>
              <w:rPr>
                <w:rFonts w:ascii="Calibri" w:hAnsi="Calibri" w:cs="Calibri"/>
                <w:sz w:val="20"/>
                <w:szCs w:val="20"/>
              </w:rPr>
              <w:t xml:space="preserve"> receipt of this allocation had been noted in the last finance report.  This has all been </w:t>
            </w:r>
            <w:r w:rsidR="00ED26F5">
              <w:rPr>
                <w:rFonts w:ascii="Calibri" w:hAnsi="Calibri" w:cs="Calibri"/>
                <w:sz w:val="20"/>
                <w:szCs w:val="20"/>
              </w:rPr>
              <w:t>fully committed.</w:t>
            </w:r>
          </w:p>
          <w:p w:rsidR="002C6F56" w:rsidRDefault="008A39C9" w:rsidP="002C6F56">
            <w:pPr>
              <w:pStyle w:val="Default"/>
              <w:numPr>
                <w:ilvl w:val="0"/>
                <w:numId w:val="28"/>
              </w:numPr>
              <w:jc w:val="both"/>
              <w:rPr>
                <w:rFonts w:ascii="Calibri" w:hAnsi="Calibri" w:cs="Calibri"/>
                <w:sz w:val="20"/>
                <w:szCs w:val="20"/>
              </w:rPr>
            </w:pPr>
            <w:r>
              <w:rPr>
                <w:rFonts w:ascii="Calibri" w:hAnsi="Calibri" w:cs="Calibri"/>
                <w:sz w:val="20"/>
                <w:szCs w:val="20"/>
              </w:rPr>
              <w:t>£</w:t>
            </w:r>
            <w:r w:rsidR="005D2AB7">
              <w:rPr>
                <w:rFonts w:ascii="Calibri" w:hAnsi="Calibri" w:cs="Calibri"/>
                <w:sz w:val="20"/>
                <w:szCs w:val="20"/>
              </w:rPr>
              <w:t>9K additional funding for</w:t>
            </w:r>
            <w:r w:rsidR="00ED26F5">
              <w:rPr>
                <w:rFonts w:ascii="Calibri" w:hAnsi="Calibri" w:cs="Calibri"/>
                <w:sz w:val="20"/>
                <w:szCs w:val="20"/>
              </w:rPr>
              <w:t xml:space="preserve"> Delegated Primary Care for </w:t>
            </w:r>
            <w:proofErr w:type="spellStart"/>
            <w:r w:rsidR="00ED26F5">
              <w:rPr>
                <w:rFonts w:ascii="Calibri" w:hAnsi="Calibri" w:cs="Calibri"/>
                <w:sz w:val="20"/>
                <w:szCs w:val="20"/>
              </w:rPr>
              <w:t>Keelby</w:t>
            </w:r>
            <w:proofErr w:type="spellEnd"/>
            <w:r w:rsidR="00ED26F5">
              <w:rPr>
                <w:rFonts w:ascii="Calibri" w:hAnsi="Calibri" w:cs="Calibri"/>
                <w:sz w:val="20"/>
                <w:szCs w:val="20"/>
              </w:rPr>
              <w:t xml:space="preserve"> Clinic Market Rent increase.</w:t>
            </w:r>
          </w:p>
          <w:p w:rsidR="002735E5" w:rsidRDefault="002735E5" w:rsidP="002735E5">
            <w:pPr>
              <w:pStyle w:val="Default"/>
              <w:jc w:val="both"/>
              <w:rPr>
                <w:rFonts w:ascii="Calibri" w:hAnsi="Calibri" w:cs="Calibri"/>
                <w:sz w:val="20"/>
                <w:szCs w:val="20"/>
              </w:rPr>
            </w:pPr>
          </w:p>
          <w:p w:rsidR="002735E5" w:rsidRPr="002735E5" w:rsidRDefault="002735E5" w:rsidP="002735E5">
            <w:pPr>
              <w:pStyle w:val="Default"/>
              <w:jc w:val="both"/>
              <w:rPr>
                <w:rFonts w:ascii="Calibri" w:hAnsi="Calibri" w:cs="Calibri"/>
                <w:sz w:val="20"/>
                <w:szCs w:val="20"/>
                <w:u w:val="single"/>
              </w:rPr>
            </w:pPr>
            <w:r>
              <w:rPr>
                <w:rFonts w:ascii="Calibri" w:hAnsi="Calibri" w:cs="Calibri"/>
                <w:sz w:val="20"/>
                <w:szCs w:val="20"/>
              </w:rPr>
              <w:t xml:space="preserve">         </w:t>
            </w:r>
            <w:r w:rsidRPr="002735E5">
              <w:rPr>
                <w:rFonts w:ascii="Calibri" w:hAnsi="Calibri" w:cs="Calibri"/>
                <w:sz w:val="20"/>
                <w:szCs w:val="20"/>
                <w:u w:val="single"/>
              </w:rPr>
              <w:t>Expenditure</w:t>
            </w:r>
          </w:p>
          <w:p w:rsidR="00ED26F5" w:rsidRDefault="00ED26F5" w:rsidP="007B50AC">
            <w:pPr>
              <w:pStyle w:val="Default"/>
              <w:numPr>
                <w:ilvl w:val="0"/>
                <w:numId w:val="22"/>
              </w:numPr>
              <w:jc w:val="both"/>
              <w:rPr>
                <w:rFonts w:ascii="Calibri" w:hAnsi="Calibri" w:cs="Calibri"/>
                <w:sz w:val="20"/>
                <w:szCs w:val="20"/>
              </w:rPr>
            </w:pPr>
            <w:r>
              <w:rPr>
                <w:rFonts w:ascii="Calibri" w:hAnsi="Calibri" w:cs="Calibri"/>
                <w:sz w:val="20"/>
                <w:szCs w:val="20"/>
              </w:rPr>
              <w:t xml:space="preserve">There has been a total reduction in forecast out-turn of £341K across both Core and Delegated Primary Care.  The movement is </w:t>
            </w:r>
            <w:r w:rsidR="00693699">
              <w:rPr>
                <w:rFonts w:ascii="Calibri" w:hAnsi="Calibri" w:cs="Calibri"/>
                <w:sz w:val="20"/>
                <w:szCs w:val="20"/>
              </w:rPr>
              <w:t xml:space="preserve">mainly </w:t>
            </w:r>
            <w:r>
              <w:rPr>
                <w:rFonts w:ascii="Calibri" w:hAnsi="Calibri" w:cs="Calibri"/>
                <w:sz w:val="20"/>
                <w:szCs w:val="20"/>
              </w:rPr>
              <w:t>as a result of:</w:t>
            </w:r>
          </w:p>
          <w:p w:rsidR="00ED26F5" w:rsidRDefault="00ED26F5" w:rsidP="00ED26F5">
            <w:pPr>
              <w:pStyle w:val="Default"/>
              <w:ind w:left="720"/>
              <w:jc w:val="both"/>
              <w:rPr>
                <w:rFonts w:ascii="Calibri" w:hAnsi="Calibri" w:cs="Calibri"/>
                <w:sz w:val="20"/>
                <w:szCs w:val="20"/>
              </w:rPr>
            </w:pPr>
          </w:p>
          <w:p w:rsidR="004024DC" w:rsidRDefault="00ED26F5" w:rsidP="00ED26F5">
            <w:pPr>
              <w:pStyle w:val="Default"/>
              <w:numPr>
                <w:ilvl w:val="0"/>
                <w:numId w:val="25"/>
              </w:numPr>
              <w:jc w:val="both"/>
              <w:rPr>
                <w:rFonts w:ascii="Calibri" w:hAnsi="Calibri" w:cs="Calibri"/>
                <w:sz w:val="20"/>
                <w:szCs w:val="20"/>
              </w:rPr>
            </w:pPr>
            <w:r>
              <w:rPr>
                <w:rFonts w:ascii="Calibri" w:hAnsi="Calibri" w:cs="Calibri"/>
                <w:sz w:val="20"/>
                <w:szCs w:val="20"/>
              </w:rPr>
              <w:t>£106K further reduction against the PCN Additional Roles scheme.  The forecast has been updated to reflect the most current information with rega</w:t>
            </w:r>
            <w:r w:rsidR="005D2AB7">
              <w:rPr>
                <w:rFonts w:ascii="Calibri" w:hAnsi="Calibri" w:cs="Calibri"/>
                <w:sz w:val="20"/>
                <w:szCs w:val="20"/>
              </w:rPr>
              <w:t>rds to recruitment against the Clinical Pharmacist and Social Prescriber</w:t>
            </w:r>
            <w:r>
              <w:rPr>
                <w:rFonts w:ascii="Calibri" w:hAnsi="Calibri" w:cs="Calibri"/>
                <w:sz w:val="20"/>
                <w:szCs w:val="20"/>
              </w:rPr>
              <w:t xml:space="preserve"> roles</w:t>
            </w:r>
            <w:r w:rsidR="00211D9C">
              <w:rPr>
                <w:rFonts w:ascii="Calibri" w:hAnsi="Calibri" w:cs="Calibri"/>
                <w:sz w:val="20"/>
                <w:szCs w:val="20"/>
              </w:rPr>
              <w:t xml:space="preserve"> for the remainder of the year</w:t>
            </w:r>
            <w:r>
              <w:rPr>
                <w:rFonts w:ascii="Calibri" w:hAnsi="Calibri" w:cs="Calibri"/>
                <w:sz w:val="20"/>
                <w:szCs w:val="20"/>
              </w:rPr>
              <w:t>.</w:t>
            </w:r>
          </w:p>
          <w:p w:rsidR="00963D78" w:rsidRDefault="005D2AB7" w:rsidP="00963D78">
            <w:pPr>
              <w:pStyle w:val="Default"/>
              <w:numPr>
                <w:ilvl w:val="0"/>
                <w:numId w:val="25"/>
              </w:numPr>
              <w:jc w:val="both"/>
              <w:rPr>
                <w:rFonts w:ascii="Calibri" w:hAnsi="Calibri" w:cs="Calibri"/>
                <w:sz w:val="20"/>
                <w:szCs w:val="20"/>
              </w:rPr>
            </w:pPr>
            <w:r>
              <w:rPr>
                <w:rFonts w:ascii="Calibri" w:hAnsi="Calibri" w:cs="Calibri"/>
                <w:sz w:val="20"/>
                <w:szCs w:val="20"/>
              </w:rPr>
              <w:t>Due to there being no know</w:t>
            </w:r>
            <w:r w:rsidR="00211D9C">
              <w:rPr>
                <w:rFonts w:ascii="Calibri" w:hAnsi="Calibri" w:cs="Calibri"/>
                <w:sz w:val="20"/>
                <w:szCs w:val="20"/>
              </w:rPr>
              <w:t>n</w:t>
            </w:r>
            <w:r>
              <w:rPr>
                <w:rFonts w:ascii="Calibri" w:hAnsi="Calibri" w:cs="Calibri"/>
                <w:sz w:val="20"/>
                <w:szCs w:val="20"/>
              </w:rPr>
              <w:t xml:space="preserve"> commitments against the contingency fund the remaining budget has been released, a movement of -</w:t>
            </w:r>
            <w:r w:rsidR="002F171D">
              <w:rPr>
                <w:rFonts w:ascii="Calibri" w:hAnsi="Calibri" w:cs="Calibri"/>
                <w:sz w:val="20"/>
                <w:szCs w:val="20"/>
              </w:rPr>
              <w:t>£72</w:t>
            </w:r>
            <w:r w:rsidR="00B71933">
              <w:rPr>
                <w:rFonts w:ascii="Calibri" w:hAnsi="Calibri" w:cs="Calibri"/>
                <w:sz w:val="20"/>
                <w:szCs w:val="20"/>
              </w:rPr>
              <w:t>K</w:t>
            </w:r>
            <w:r>
              <w:rPr>
                <w:rFonts w:ascii="Calibri" w:hAnsi="Calibri" w:cs="Calibri"/>
                <w:sz w:val="20"/>
                <w:szCs w:val="20"/>
              </w:rPr>
              <w:t>.</w:t>
            </w:r>
          </w:p>
          <w:p w:rsidR="00693699" w:rsidRDefault="00693699" w:rsidP="00693699">
            <w:pPr>
              <w:pStyle w:val="Default"/>
              <w:numPr>
                <w:ilvl w:val="0"/>
                <w:numId w:val="25"/>
              </w:numPr>
              <w:jc w:val="both"/>
              <w:rPr>
                <w:rFonts w:ascii="Calibri" w:hAnsi="Calibri" w:cs="Calibri"/>
                <w:sz w:val="20"/>
                <w:szCs w:val="20"/>
              </w:rPr>
            </w:pPr>
            <w:r>
              <w:rPr>
                <w:rFonts w:ascii="Calibri" w:hAnsi="Calibri" w:cs="Calibri"/>
                <w:sz w:val="20"/>
                <w:szCs w:val="20"/>
              </w:rPr>
              <w:t>£-200K slippage against the PCN Supplementary Scheme for Medicines Optimisation due to the scheme not starting until December 19.</w:t>
            </w:r>
          </w:p>
          <w:p w:rsidR="00693699" w:rsidRDefault="00693699" w:rsidP="00693699">
            <w:pPr>
              <w:pStyle w:val="Default"/>
              <w:jc w:val="both"/>
              <w:rPr>
                <w:rFonts w:ascii="Calibri" w:hAnsi="Calibri" w:cs="Calibri"/>
                <w:sz w:val="20"/>
                <w:szCs w:val="20"/>
              </w:rPr>
            </w:pPr>
          </w:p>
          <w:p w:rsidR="00693699" w:rsidRDefault="00693699" w:rsidP="00693699">
            <w:pPr>
              <w:pStyle w:val="Default"/>
              <w:jc w:val="both"/>
              <w:rPr>
                <w:rFonts w:ascii="Calibri" w:hAnsi="Calibri" w:cs="Calibri"/>
                <w:b/>
                <w:sz w:val="20"/>
                <w:szCs w:val="20"/>
                <w:u w:val="single"/>
              </w:rPr>
            </w:pPr>
            <w:r w:rsidRPr="00693699">
              <w:rPr>
                <w:rFonts w:ascii="Calibri" w:hAnsi="Calibri" w:cs="Calibri"/>
                <w:b/>
                <w:sz w:val="20"/>
                <w:szCs w:val="20"/>
                <w:u w:val="single"/>
              </w:rPr>
              <w:t>2020-21 Planning</w:t>
            </w:r>
          </w:p>
          <w:p w:rsidR="00987935" w:rsidRDefault="00987935" w:rsidP="00987935">
            <w:pPr>
              <w:pStyle w:val="Default"/>
              <w:numPr>
                <w:ilvl w:val="0"/>
                <w:numId w:val="22"/>
              </w:numPr>
              <w:jc w:val="both"/>
              <w:rPr>
                <w:rFonts w:ascii="Calibri" w:hAnsi="Calibri" w:cs="Calibri"/>
                <w:sz w:val="20"/>
                <w:szCs w:val="20"/>
              </w:rPr>
            </w:pPr>
            <w:r w:rsidRPr="00987935">
              <w:rPr>
                <w:rFonts w:ascii="Calibri" w:hAnsi="Calibri" w:cs="Calibri"/>
                <w:sz w:val="20"/>
                <w:szCs w:val="20"/>
              </w:rPr>
              <w:t xml:space="preserve">We have received </w:t>
            </w:r>
            <w:r>
              <w:rPr>
                <w:rFonts w:ascii="Calibri" w:hAnsi="Calibri" w:cs="Calibri"/>
                <w:sz w:val="20"/>
                <w:szCs w:val="20"/>
              </w:rPr>
              <w:t xml:space="preserve">notification that our allocation uplift for 20-21 will be 2.53% (£727K), this compares to the national average uplift for England of </w:t>
            </w:r>
            <w:r w:rsidR="00704FE8">
              <w:rPr>
                <w:rFonts w:ascii="Calibri" w:hAnsi="Calibri" w:cs="Calibri"/>
                <w:sz w:val="20"/>
                <w:szCs w:val="20"/>
              </w:rPr>
              <w:t xml:space="preserve">4.42%.  If we had received the average uplift of 4.42% this would have equated to £1,270K.  As </w:t>
            </w:r>
            <w:r w:rsidR="009609BA">
              <w:rPr>
                <w:rFonts w:ascii="Calibri" w:hAnsi="Calibri" w:cs="Calibri"/>
                <w:sz w:val="20"/>
                <w:szCs w:val="20"/>
              </w:rPr>
              <w:t>we have received the lower</w:t>
            </w:r>
            <w:r w:rsidR="00704FE8">
              <w:rPr>
                <w:rFonts w:ascii="Calibri" w:hAnsi="Calibri" w:cs="Calibri"/>
                <w:sz w:val="20"/>
                <w:szCs w:val="20"/>
              </w:rPr>
              <w:t xml:space="preserve"> uplift this has left us with minimum flexibility.</w:t>
            </w:r>
          </w:p>
          <w:p w:rsidR="00704FE8" w:rsidRDefault="00704FE8" w:rsidP="00987935">
            <w:pPr>
              <w:pStyle w:val="Default"/>
              <w:numPr>
                <w:ilvl w:val="0"/>
                <w:numId w:val="22"/>
              </w:numPr>
              <w:jc w:val="both"/>
              <w:rPr>
                <w:rFonts w:ascii="Calibri" w:hAnsi="Calibri" w:cs="Calibri"/>
                <w:sz w:val="20"/>
                <w:szCs w:val="20"/>
              </w:rPr>
            </w:pPr>
            <w:r>
              <w:rPr>
                <w:rFonts w:ascii="Calibri" w:hAnsi="Calibri" w:cs="Calibri"/>
                <w:sz w:val="20"/>
                <w:szCs w:val="20"/>
              </w:rPr>
              <w:t>The known commitments which have to be funded out of the uplift are:</w:t>
            </w:r>
          </w:p>
          <w:p w:rsidR="00704FE8" w:rsidRDefault="00704FE8" w:rsidP="00704FE8">
            <w:pPr>
              <w:pStyle w:val="Default"/>
              <w:numPr>
                <w:ilvl w:val="0"/>
                <w:numId w:val="25"/>
              </w:numPr>
              <w:jc w:val="both"/>
              <w:rPr>
                <w:rFonts w:ascii="Calibri" w:hAnsi="Calibri" w:cs="Calibri"/>
                <w:sz w:val="20"/>
                <w:szCs w:val="20"/>
              </w:rPr>
            </w:pPr>
            <w:r>
              <w:rPr>
                <w:rFonts w:ascii="Calibri" w:hAnsi="Calibri" w:cs="Calibri"/>
                <w:sz w:val="20"/>
                <w:szCs w:val="20"/>
              </w:rPr>
              <w:t>Additional costs of the new PCN Additional Roles and the full year effect of the Clinical Pharmacist &amp; Social Prescriber roles which commenced July 19</w:t>
            </w:r>
          </w:p>
          <w:p w:rsidR="00704FE8" w:rsidRDefault="00704FE8" w:rsidP="00704FE8">
            <w:pPr>
              <w:pStyle w:val="Default"/>
              <w:numPr>
                <w:ilvl w:val="0"/>
                <w:numId w:val="25"/>
              </w:numPr>
              <w:jc w:val="both"/>
              <w:rPr>
                <w:rFonts w:ascii="Calibri" w:hAnsi="Calibri" w:cs="Calibri"/>
                <w:sz w:val="20"/>
                <w:szCs w:val="20"/>
              </w:rPr>
            </w:pPr>
            <w:r>
              <w:rPr>
                <w:rFonts w:ascii="Calibri" w:hAnsi="Calibri" w:cs="Calibri"/>
                <w:sz w:val="20"/>
                <w:szCs w:val="20"/>
              </w:rPr>
              <w:t>Uplift to GP contract</w:t>
            </w:r>
          </w:p>
          <w:p w:rsidR="00704FE8" w:rsidRDefault="00704FE8" w:rsidP="00704FE8">
            <w:pPr>
              <w:pStyle w:val="Default"/>
              <w:numPr>
                <w:ilvl w:val="0"/>
                <w:numId w:val="25"/>
              </w:numPr>
              <w:jc w:val="both"/>
              <w:rPr>
                <w:rFonts w:ascii="Calibri" w:hAnsi="Calibri" w:cs="Calibri"/>
                <w:sz w:val="20"/>
                <w:szCs w:val="20"/>
              </w:rPr>
            </w:pPr>
            <w:r>
              <w:rPr>
                <w:rFonts w:ascii="Calibri" w:hAnsi="Calibri" w:cs="Calibri"/>
                <w:sz w:val="20"/>
                <w:szCs w:val="20"/>
              </w:rPr>
              <w:t>Uplift to premises &amp; other primary care expenditure</w:t>
            </w:r>
          </w:p>
          <w:p w:rsidR="00704FE8" w:rsidRDefault="00987E4C" w:rsidP="00704FE8">
            <w:pPr>
              <w:pStyle w:val="Default"/>
              <w:numPr>
                <w:ilvl w:val="0"/>
                <w:numId w:val="33"/>
              </w:numPr>
              <w:jc w:val="both"/>
              <w:rPr>
                <w:rFonts w:ascii="Calibri" w:hAnsi="Calibri" w:cs="Calibri"/>
                <w:sz w:val="20"/>
                <w:szCs w:val="20"/>
              </w:rPr>
            </w:pPr>
            <w:r>
              <w:rPr>
                <w:rFonts w:ascii="Calibri" w:hAnsi="Calibri" w:cs="Calibri"/>
                <w:sz w:val="20"/>
                <w:szCs w:val="20"/>
              </w:rPr>
              <w:t>We are aware of the commencement</w:t>
            </w:r>
            <w:r w:rsidR="003D5B47">
              <w:rPr>
                <w:rFonts w:ascii="Calibri" w:hAnsi="Calibri" w:cs="Calibri"/>
                <w:sz w:val="20"/>
                <w:szCs w:val="20"/>
              </w:rPr>
              <w:t xml:space="preserve"> of the Investmen</w:t>
            </w:r>
            <w:r>
              <w:rPr>
                <w:rFonts w:ascii="Calibri" w:hAnsi="Calibri" w:cs="Calibri"/>
                <w:sz w:val="20"/>
                <w:szCs w:val="20"/>
              </w:rPr>
              <w:t>t &amp; Impact Fund (IIF)</w:t>
            </w:r>
            <w:r w:rsidR="003D5B47">
              <w:rPr>
                <w:rFonts w:ascii="Calibri" w:hAnsi="Calibri" w:cs="Calibri"/>
                <w:sz w:val="20"/>
                <w:szCs w:val="20"/>
              </w:rPr>
              <w:t xml:space="preserve"> in April 2020.  Final guidance has not yet been </w:t>
            </w:r>
            <w:r w:rsidR="00DE09D1">
              <w:rPr>
                <w:rFonts w:ascii="Calibri" w:hAnsi="Calibri" w:cs="Calibri"/>
                <w:sz w:val="20"/>
                <w:szCs w:val="20"/>
              </w:rPr>
              <w:t xml:space="preserve">released to confirm if this will be funded centrally or if </w:t>
            </w:r>
            <w:r>
              <w:rPr>
                <w:rFonts w:ascii="Calibri" w:hAnsi="Calibri" w:cs="Calibri"/>
                <w:sz w:val="20"/>
                <w:szCs w:val="20"/>
              </w:rPr>
              <w:t xml:space="preserve">there is an expectation that </w:t>
            </w:r>
            <w:r w:rsidR="00DE09D1">
              <w:rPr>
                <w:rFonts w:ascii="Calibri" w:hAnsi="Calibri" w:cs="Calibri"/>
                <w:sz w:val="20"/>
                <w:szCs w:val="20"/>
              </w:rPr>
              <w:t xml:space="preserve">CCG’s </w:t>
            </w:r>
            <w:r>
              <w:rPr>
                <w:rFonts w:ascii="Calibri" w:hAnsi="Calibri" w:cs="Calibri"/>
                <w:sz w:val="20"/>
                <w:szCs w:val="20"/>
              </w:rPr>
              <w:t xml:space="preserve">will have to </w:t>
            </w:r>
            <w:r w:rsidR="00DE09D1">
              <w:rPr>
                <w:rFonts w:ascii="Calibri" w:hAnsi="Calibri" w:cs="Calibri"/>
                <w:sz w:val="20"/>
                <w:szCs w:val="20"/>
              </w:rPr>
              <w:t xml:space="preserve">cover this from their allocation.  </w:t>
            </w:r>
          </w:p>
          <w:p w:rsidR="00DE09D1" w:rsidRPr="00987935" w:rsidRDefault="00DE09D1" w:rsidP="00704FE8">
            <w:pPr>
              <w:pStyle w:val="Default"/>
              <w:numPr>
                <w:ilvl w:val="0"/>
                <w:numId w:val="33"/>
              </w:numPr>
              <w:jc w:val="both"/>
              <w:rPr>
                <w:rFonts w:ascii="Calibri" w:hAnsi="Calibri" w:cs="Calibri"/>
                <w:sz w:val="20"/>
                <w:szCs w:val="20"/>
              </w:rPr>
            </w:pPr>
            <w:r>
              <w:rPr>
                <w:rFonts w:ascii="Calibri" w:hAnsi="Calibri" w:cs="Calibri"/>
                <w:sz w:val="20"/>
                <w:szCs w:val="20"/>
              </w:rPr>
              <w:t xml:space="preserve">Once contract negotiations have been finalised and further guidance has been received we will be able to provide confirmation of the 20-21 budgets.  Budget sign-off will be required before the end of March.  </w:t>
            </w:r>
          </w:p>
          <w:p w:rsidR="00892A65" w:rsidRPr="00533742" w:rsidRDefault="00892A65" w:rsidP="00533742">
            <w:pPr>
              <w:rPr>
                <w:rFonts w:eastAsia="MS Mincho" w:cs="Calibri"/>
                <w:b/>
                <w:sz w:val="20"/>
                <w:u w:val="single"/>
                <w:lang w:val="en-US" w:eastAsia="ja-JP"/>
              </w:rPr>
            </w:pPr>
          </w:p>
          <w:tbl>
            <w:tblPr>
              <w:tblStyle w:val="TableGrid"/>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799"/>
            </w:tblGrid>
            <w:tr w:rsidR="007C696D" w:rsidTr="00384B80">
              <w:tc>
                <w:tcPr>
                  <w:tcW w:w="5749" w:type="dxa"/>
                </w:tcPr>
                <w:p w:rsidR="007C696D" w:rsidRPr="007C696D" w:rsidRDefault="007C696D" w:rsidP="00384B80">
                  <w:pPr>
                    <w:rPr>
                      <w:rFonts w:ascii="Calibri" w:hAnsi="Calibri" w:cs="Calibri"/>
                      <w:b/>
                      <w:sz w:val="20"/>
                    </w:rPr>
                  </w:pPr>
                </w:p>
              </w:tc>
              <w:tc>
                <w:tcPr>
                  <w:tcW w:w="822" w:type="dxa"/>
                </w:tcPr>
                <w:p w:rsidR="007C696D" w:rsidRPr="007C696D" w:rsidRDefault="007C696D" w:rsidP="00247794">
                  <w:pPr>
                    <w:pStyle w:val="Default"/>
                    <w:jc w:val="center"/>
                    <w:rPr>
                      <w:rFonts w:ascii="Calibri" w:hAnsi="Calibri" w:cs="Calibri"/>
                      <w:b/>
                      <w:sz w:val="20"/>
                      <w:szCs w:val="20"/>
                    </w:rPr>
                  </w:pPr>
                </w:p>
              </w:tc>
            </w:tr>
          </w:tbl>
          <w:p w:rsidR="00340309" w:rsidRPr="000D1B0D" w:rsidRDefault="00340309" w:rsidP="00054707">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E559A4">
            <w:pPr>
              <w:pStyle w:val="Default"/>
              <w:jc w:val="both"/>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BA0F2D">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BA0F2D">
                  <w:rPr>
                    <w:rFonts w:ascii="MS Gothic" w:eastAsia="MS Gothic" w:hAnsi="MS Gothic" w:cs="Calibri" w:hint="eastAsia"/>
                    <w:sz w:val="20"/>
                    <w:szCs w:val="20"/>
                  </w:rPr>
                  <w:t>☐</w:t>
                </w:r>
              </w:sdtContent>
            </w:sdt>
          </w:p>
          <w:p w:rsidR="00BA0F2D" w:rsidRDefault="00BA0F2D" w:rsidP="00D42959">
            <w:pPr>
              <w:pStyle w:val="Default"/>
              <w:jc w:val="both"/>
              <w:rPr>
                <w:rFonts w:ascii="Calibri" w:hAnsi="Calibri" w:cs="Calibri"/>
                <w:sz w:val="20"/>
                <w:szCs w:val="20"/>
              </w:rPr>
            </w:pPr>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AC48D5">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p w:rsidR="00BA0F2D" w:rsidRPr="000D1B0D" w:rsidRDefault="00BA0F2D" w:rsidP="00D42959">
            <w:pPr>
              <w:pStyle w:val="Default"/>
              <w:jc w:val="both"/>
              <w:rPr>
                <w:rFonts w:ascii="Calibri" w:hAnsi="Calibri" w:cs="Calibri"/>
                <w:sz w:val="20"/>
                <w:szCs w:val="20"/>
              </w:rPr>
            </w:pPr>
          </w:p>
        </w:tc>
      </w:tr>
      <w:tr w:rsidR="009D4EDC" w:rsidRPr="000D1B0D" w:rsidTr="00D87CCA">
        <w:trPr>
          <w:trHeight w:val="809"/>
        </w:trPr>
        <w:tc>
          <w:tcPr>
            <w:tcW w:w="1183" w:type="pct"/>
            <w:shd w:val="clear" w:color="auto" w:fill="auto"/>
          </w:tcPr>
          <w:p w:rsidR="009D4EDC" w:rsidRPr="000D1B0D" w:rsidRDefault="009D4EDC" w:rsidP="00F300A1">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gridSpan w:val="2"/>
            <w:shd w:val="clear" w:color="auto" w:fill="auto"/>
          </w:tcPr>
          <w:p w:rsidR="00246EFA" w:rsidRPr="00901CC0" w:rsidRDefault="00AC48D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AC48D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AC48D5" w:rsidP="000D1B0D">
            <w:pPr>
              <w:pStyle w:val="Default"/>
              <w:jc w:val="both"/>
              <w:rPr>
                <w:rFonts w:ascii="Calibri" w:hAnsi="Calibri" w:cs="Calibri"/>
                <w:sz w:val="20"/>
                <w:szCs w:val="20"/>
              </w:rPr>
            </w:pPr>
            <w:r>
              <w:rPr>
                <w:rFonts w:ascii="Calibri" w:hAnsi="Calibri" w:cs="Calibri"/>
                <w:sz w:val="20"/>
                <w:szCs w:val="20"/>
              </w:rPr>
              <w:t>N/A</w:t>
            </w:r>
          </w:p>
          <w:p w:rsidR="00BA0F2D" w:rsidRDefault="00BA0F2D"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811838">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246EFA" w:rsidRPr="000D1B0D" w:rsidRDefault="00C62BE4" w:rsidP="004A1EEA">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gridSpan w:val="2"/>
            <w:shd w:val="clear" w:color="auto" w:fill="auto"/>
          </w:tcPr>
          <w:p w:rsidR="007663C8" w:rsidRPr="00793F90" w:rsidRDefault="007663C8" w:rsidP="00793F90">
            <w:pPr>
              <w:autoSpaceDE w:val="0"/>
              <w:autoSpaceDN w:val="0"/>
              <w:rPr>
                <w:rFonts w:ascii="Calibri" w:hAnsi="Calibri" w:cs="Calibri"/>
                <w:b/>
                <w:color w:val="FF0000"/>
                <w:sz w:val="22"/>
                <w:szCs w:val="22"/>
              </w:rPr>
            </w:pPr>
          </w:p>
          <w:p w:rsidR="006330C7" w:rsidRDefault="00C62BE4"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220DF9" w:rsidRPr="006330C7" w:rsidRDefault="00C62BE4"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006E07" w:rsidRPr="000D1B0D" w:rsidRDefault="00C62BE4" w:rsidP="00FB048F">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AC48D5" w:rsidP="000D1B0D">
            <w:pPr>
              <w:pStyle w:val="Default"/>
              <w:jc w:val="both"/>
              <w:rPr>
                <w:rFonts w:ascii="Calibri" w:hAnsi="Calibri" w:cs="Calibri"/>
                <w:sz w:val="20"/>
                <w:szCs w:val="20"/>
              </w:rPr>
            </w:pPr>
            <w:r>
              <w:rPr>
                <w:rFonts w:ascii="Calibri" w:hAnsi="Calibri" w:cs="Calibri"/>
                <w:sz w:val="20"/>
                <w:szCs w:val="20"/>
              </w:rPr>
              <w:t>Table 1 -2 (attached)</w:t>
            </w:r>
          </w:p>
        </w:tc>
      </w:tr>
    </w:tbl>
    <w:p w:rsidR="004A1EEA" w:rsidRDefault="004A1EEA" w:rsidP="00D3211A">
      <w:pPr>
        <w:pStyle w:val="Default"/>
        <w:jc w:val="both"/>
        <w:rPr>
          <w:rFonts w:ascii="Calibri" w:hAnsi="Calibri" w:cs="Calibri"/>
          <w:b/>
          <w:sz w:val="20"/>
          <w:szCs w:val="20"/>
          <w:u w:val="single"/>
        </w:rPr>
      </w:pPr>
    </w:p>
    <w:p w:rsidR="004A1EEA" w:rsidRDefault="004A1EEA" w:rsidP="00D3211A">
      <w:pPr>
        <w:pStyle w:val="Default"/>
        <w:jc w:val="both"/>
        <w:rPr>
          <w:rFonts w:ascii="Calibri" w:hAnsi="Calibri" w:cs="Calibri"/>
          <w:b/>
          <w:sz w:val="20"/>
          <w:szCs w:val="20"/>
          <w:u w:val="single"/>
        </w:rPr>
      </w:pPr>
    </w:p>
    <w:p w:rsidR="001B37C8" w:rsidRDefault="001B37C8"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A65CCE" w:rsidRDefault="00A65CCE" w:rsidP="00D3211A">
      <w:pPr>
        <w:pStyle w:val="Default"/>
        <w:jc w:val="both"/>
        <w:rPr>
          <w:rFonts w:ascii="Calibri" w:hAnsi="Calibri" w:cs="Calibri"/>
          <w:b/>
          <w:sz w:val="20"/>
          <w:szCs w:val="20"/>
          <w:u w:val="single"/>
        </w:rPr>
      </w:pPr>
    </w:p>
    <w:p w:rsidR="005F38C8" w:rsidRDefault="005F38C8"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9609BA" w:rsidRDefault="009609BA" w:rsidP="00D3211A">
      <w:pPr>
        <w:pStyle w:val="Default"/>
        <w:jc w:val="both"/>
        <w:rPr>
          <w:rFonts w:ascii="Calibri" w:hAnsi="Calibri" w:cs="Calibri"/>
          <w:b/>
          <w:sz w:val="20"/>
          <w:szCs w:val="20"/>
          <w:u w:val="single"/>
        </w:rPr>
      </w:pPr>
    </w:p>
    <w:p w:rsidR="00021EC8" w:rsidRDefault="00021EC8">
      <w:pPr>
        <w:rPr>
          <w:rFonts w:ascii="Calibri" w:eastAsia="MS Mincho" w:hAnsi="Calibri" w:cs="Calibri"/>
          <w:b/>
          <w:color w:val="000000"/>
          <w:sz w:val="20"/>
          <w:u w:val="single"/>
          <w:lang w:eastAsia="en-GB"/>
        </w:rPr>
      </w:pPr>
      <w:r>
        <w:rPr>
          <w:rFonts w:ascii="Calibri" w:hAnsi="Calibri" w:cs="Calibri"/>
          <w:b/>
          <w:sz w:val="20"/>
          <w:u w:val="single"/>
        </w:rPr>
        <w:br w:type="page"/>
      </w:r>
    </w:p>
    <w:p w:rsidR="00AC48D5" w:rsidRDefault="00AC48D5" w:rsidP="00D3211A">
      <w:pPr>
        <w:pStyle w:val="Default"/>
        <w:jc w:val="both"/>
        <w:rPr>
          <w:rFonts w:ascii="Calibri" w:hAnsi="Calibri" w:cs="Calibri"/>
          <w:b/>
          <w:sz w:val="20"/>
          <w:szCs w:val="20"/>
          <w:u w:val="single"/>
        </w:rPr>
      </w:pPr>
      <w:r w:rsidRPr="00AC48D5">
        <w:rPr>
          <w:rFonts w:ascii="Calibri" w:hAnsi="Calibri" w:cs="Calibri"/>
          <w:b/>
          <w:sz w:val="20"/>
          <w:szCs w:val="20"/>
          <w:u w:val="single"/>
        </w:rPr>
        <w:lastRenderedPageBreak/>
        <w:t>Table 1</w:t>
      </w:r>
    </w:p>
    <w:tbl>
      <w:tblPr>
        <w:tblW w:w="10700" w:type="dxa"/>
        <w:tblLook w:val="04A0" w:firstRow="1" w:lastRow="0" w:firstColumn="1" w:lastColumn="0" w:noHBand="0" w:noVBand="1"/>
      </w:tblPr>
      <w:tblGrid>
        <w:gridCol w:w="5220"/>
        <w:gridCol w:w="1060"/>
        <w:gridCol w:w="1060"/>
        <w:gridCol w:w="1060"/>
        <w:gridCol w:w="1060"/>
        <w:gridCol w:w="266"/>
        <w:gridCol w:w="1060"/>
      </w:tblGrid>
      <w:tr w:rsidR="005F38C8" w:rsidRPr="005F38C8" w:rsidTr="005F38C8">
        <w:trPr>
          <w:trHeight w:val="1290"/>
        </w:trPr>
        <w:tc>
          <w:tcPr>
            <w:tcW w:w="5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ALLOCATION</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Oct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Dec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YTD Variance as at Dec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Dec 19 £'000</w:t>
            </w:r>
          </w:p>
        </w:tc>
        <w:tc>
          <w:tcPr>
            <w:tcW w:w="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Oct 19 £'000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Fully Delegated confirmed allocation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26,778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26,787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-537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-597</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2"/>
                <w:szCs w:val="22"/>
                <w:lang w:eastAsia="en-GB"/>
              </w:rPr>
            </w:pPr>
            <w:r w:rsidRPr="005F38C8">
              <w:rPr>
                <w:rFonts w:ascii="Calibri" w:hAnsi="Calibri" w:cs="Calibri"/>
                <w:color w:val="000000"/>
                <w:sz w:val="22"/>
                <w:szCs w:val="22"/>
                <w:lang w:eastAsia="en-GB"/>
              </w:rPr>
              <w:t>-443</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 xml:space="preserve">NHS North East </w:t>
            </w:r>
            <w:proofErr w:type="spellStart"/>
            <w:r w:rsidRPr="005F38C8">
              <w:rPr>
                <w:rFonts w:ascii="Calibri" w:hAnsi="Calibri" w:cs="Calibri"/>
                <w:color w:val="000000"/>
                <w:sz w:val="20"/>
                <w:lang w:eastAsia="en-GB"/>
              </w:rPr>
              <w:t>Lincs</w:t>
            </w:r>
            <w:proofErr w:type="spellEnd"/>
            <w:r w:rsidRPr="005F38C8">
              <w:rPr>
                <w:rFonts w:ascii="Calibri" w:hAnsi="Calibri" w:cs="Calibri"/>
                <w:color w:val="000000"/>
                <w:sz w:val="20"/>
                <w:lang w:eastAsia="en-GB"/>
              </w:rPr>
              <w:t xml:space="preserve"> CCG core allocation for Primary Care</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7,299</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7,420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-193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-196</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2"/>
                <w:szCs w:val="22"/>
                <w:lang w:eastAsia="en-GB"/>
              </w:rPr>
            </w:pPr>
            <w:r w:rsidRPr="005F38C8">
              <w:rPr>
                <w:rFonts w:ascii="Calibri" w:hAnsi="Calibri" w:cs="Calibri"/>
                <w:color w:val="000000"/>
                <w:sz w:val="22"/>
                <w:szCs w:val="22"/>
                <w:lang w:eastAsia="en-GB"/>
              </w:rPr>
              <w:t>-9</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TOTAL NEL CCG PRIMARY CARE ALLOCATION</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34,077</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34,207</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-730</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-792</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-451</w:t>
            </w:r>
          </w:p>
        </w:tc>
      </w:tr>
      <w:tr w:rsidR="005F38C8" w:rsidRPr="005F38C8" w:rsidTr="005F38C8">
        <w:trPr>
          <w:trHeight w:val="21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TOTAL NORTH EAST LINCOLNSHIRE COUNCIL ALLOCATION</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275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275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-13</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2"/>
                <w:szCs w:val="22"/>
                <w:lang w:eastAsia="en-GB"/>
              </w:rPr>
            </w:pPr>
            <w:r w:rsidRPr="005F38C8">
              <w:rPr>
                <w:rFonts w:ascii="Calibri" w:hAnsi="Calibri" w:cs="Calibri"/>
                <w:color w:val="000000"/>
                <w:sz w:val="22"/>
                <w:szCs w:val="22"/>
                <w:lang w:eastAsia="en-GB"/>
              </w:rPr>
              <w:t>15</w:t>
            </w:r>
          </w:p>
        </w:tc>
      </w:tr>
      <w:tr w:rsidR="005F38C8" w:rsidRPr="005F38C8" w:rsidTr="005F38C8">
        <w:trPr>
          <w:trHeight w:val="21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b/>
                <w:bCs/>
                <w:color w:val="000000"/>
                <w:sz w:val="22"/>
                <w:szCs w:val="22"/>
                <w:lang w:eastAsia="en-GB"/>
              </w:rPr>
            </w:pPr>
            <w:r w:rsidRPr="005F38C8">
              <w:rPr>
                <w:rFonts w:ascii="Calibri" w:hAnsi="Calibri" w:cs="Calibri"/>
                <w:b/>
                <w:bCs/>
                <w:color w:val="000000"/>
                <w:sz w:val="22"/>
                <w:szCs w:val="22"/>
                <w:lang w:eastAsia="en-GB"/>
              </w:rPr>
              <w:t> </w:t>
            </w:r>
          </w:p>
        </w:tc>
      </w:tr>
      <w:tr w:rsidR="005F38C8" w:rsidRPr="005F38C8" w:rsidTr="005F38C8">
        <w:trPr>
          <w:trHeight w:val="525"/>
        </w:trPr>
        <w:tc>
          <w:tcPr>
            <w:tcW w:w="5220" w:type="dxa"/>
            <w:tcBorders>
              <w:top w:val="nil"/>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TOTAL FUNDING WITHIN SCOPE OF PRIMARY CARE JOINT COMMISSIONING - NELCCG &amp; NELC</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34,352</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34,482</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-729</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-805</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-436</w:t>
            </w:r>
          </w:p>
        </w:tc>
      </w:tr>
    </w:tbl>
    <w:p w:rsidR="00A65CCE" w:rsidRDefault="00A65CCE" w:rsidP="00D3211A">
      <w:pPr>
        <w:pStyle w:val="Default"/>
        <w:jc w:val="both"/>
        <w:rPr>
          <w:rFonts w:ascii="Calibri" w:hAnsi="Calibri" w:cs="Calibri"/>
          <w:b/>
          <w:sz w:val="20"/>
          <w:szCs w:val="20"/>
          <w:u w:val="single"/>
        </w:rPr>
      </w:pPr>
    </w:p>
    <w:p w:rsidR="001B37C8" w:rsidRDefault="00A65CCE" w:rsidP="00D3211A">
      <w:pPr>
        <w:pStyle w:val="Default"/>
        <w:jc w:val="both"/>
        <w:rPr>
          <w:rFonts w:ascii="Calibri" w:hAnsi="Calibri" w:cs="Calibri"/>
          <w:b/>
          <w:sz w:val="20"/>
          <w:szCs w:val="20"/>
          <w:u w:val="single"/>
        </w:rPr>
      </w:pPr>
      <w:r>
        <w:rPr>
          <w:rFonts w:ascii="Calibri" w:hAnsi="Calibri" w:cs="Calibri"/>
          <w:b/>
          <w:sz w:val="20"/>
          <w:szCs w:val="20"/>
          <w:u w:val="single"/>
        </w:rPr>
        <w:t>Table 2</w:t>
      </w:r>
    </w:p>
    <w:tbl>
      <w:tblPr>
        <w:tblW w:w="10700" w:type="dxa"/>
        <w:tblLook w:val="04A0" w:firstRow="1" w:lastRow="0" w:firstColumn="1" w:lastColumn="0" w:noHBand="0" w:noVBand="1"/>
      </w:tblPr>
      <w:tblGrid>
        <w:gridCol w:w="5220"/>
        <w:gridCol w:w="1060"/>
        <w:gridCol w:w="1060"/>
        <w:gridCol w:w="1060"/>
        <w:gridCol w:w="1060"/>
        <w:gridCol w:w="266"/>
        <w:gridCol w:w="1060"/>
      </w:tblGrid>
      <w:tr w:rsidR="005F38C8" w:rsidRPr="005F38C8" w:rsidTr="005F38C8">
        <w:trPr>
          <w:trHeight w:val="1290"/>
        </w:trPr>
        <w:tc>
          <w:tcPr>
            <w:tcW w:w="5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FULLY DELEGATED CONFIRMED ALLOCATION</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Oct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Dec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YTD Variance as at Dec 19 £'000</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Dec 19 £'000</w:t>
            </w:r>
          </w:p>
        </w:tc>
        <w:tc>
          <w:tcPr>
            <w:tcW w:w="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Oct 19 £'000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General Practice - PMS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15,165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15,165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-60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-82</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-76</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General Practice - APMS</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809</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809</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11</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17</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13</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Premises Cost Reimbursement</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6,370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6,379</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-111</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-140</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-153</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Other Premises Cost</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Enhanced Services</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942</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942</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-122</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-155</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-49</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QOF</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2,338</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2,338</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-6</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Delegated Other GP Services</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1,146</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1,146</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-251</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-231</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-171</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NHSE COMMISSIONED TOTAL</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26,778</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26,787</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-537</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-597</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-443</w:t>
            </w:r>
          </w:p>
        </w:tc>
      </w:tr>
      <w:tr w:rsidR="005F38C8" w:rsidRPr="005F38C8" w:rsidTr="005F38C8">
        <w:trPr>
          <w:trHeight w:val="210"/>
        </w:trPr>
        <w:tc>
          <w:tcPr>
            <w:tcW w:w="5220" w:type="dxa"/>
            <w:tcBorders>
              <w:top w:val="nil"/>
              <w:left w:val="single" w:sz="4" w:space="0" w:color="auto"/>
              <w:bottom w:val="single" w:sz="4" w:space="0" w:color="auto"/>
              <w:right w:val="nil"/>
            </w:tcBorders>
            <w:shd w:val="clear" w:color="auto" w:fill="auto"/>
            <w:noWrap/>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80" w:type="dxa"/>
            <w:tcBorders>
              <w:top w:val="nil"/>
              <w:left w:val="nil"/>
              <w:bottom w:val="nil"/>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p>
        </w:tc>
        <w:tc>
          <w:tcPr>
            <w:tcW w:w="1060" w:type="dxa"/>
            <w:tcBorders>
              <w:top w:val="nil"/>
              <w:left w:val="nil"/>
              <w:bottom w:val="nil"/>
              <w:right w:val="nil"/>
            </w:tcBorders>
            <w:shd w:val="clear" w:color="auto" w:fill="auto"/>
            <w:noWrap/>
            <w:vAlign w:val="bottom"/>
            <w:hideMark/>
          </w:tcPr>
          <w:p w:rsidR="005F38C8" w:rsidRPr="005F38C8" w:rsidRDefault="005F38C8" w:rsidP="005F38C8">
            <w:pPr>
              <w:rPr>
                <w:sz w:val="20"/>
                <w:lang w:eastAsia="en-GB"/>
              </w:rPr>
            </w:pPr>
          </w:p>
        </w:tc>
      </w:tr>
      <w:tr w:rsidR="005F38C8" w:rsidRPr="005F38C8" w:rsidTr="005F38C8">
        <w:trPr>
          <w:trHeight w:val="1290"/>
        </w:trPr>
        <w:tc>
          <w:tcPr>
            <w:tcW w:w="5220" w:type="dxa"/>
            <w:tcBorders>
              <w:top w:val="nil"/>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NHS NORTH EAST LINCOLNSHIRE CCG COMMISSIONED</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Oct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Dec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YTD Variance as at Dec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Dec 19 £'000</w:t>
            </w:r>
          </w:p>
        </w:tc>
        <w:tc>
          <w:tcPr>
            <w:tcW w:w="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Oct 19 £'000</w:t>
            </w:r>
          </w:p>
        </w:tc>
      </w:tr>
      <w:tr w:rsidR="005F38C8" w:rsidRPr="005F38C8" w:rsidTr="005F38C8">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Locally Commissioned Services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5,715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5,715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-30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GP Training &amp; Recruitment</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PCN Supplementary Scheme (previous Local Quality Scheme)</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300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300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-200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-200</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Other Primary Care Expenditure*</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487</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608</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4</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Primary Care IT</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753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753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16</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19</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NEL CCG COMMISSIONED TOTAL</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7,299</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7,420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-193</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-196</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-9</w:t>
            </w:r>
          </w:p>
        </w:tc>
      </w:tr>
      <w:tr w:rsidR="005F38C8" w:rsidRPr="005F38C8" w:rsidTr="005F38C8">
        <w:trPr>
          <w:trHeight w:val="210"/>
        </w:trPr>
        <w:tc>
          <w:tcPr>
            <w:tcW w:w="5220" w:type="dxa"/>
            <w:tcBorders>
              <w:top w:val="nil"/>
              <w:left w:val="single" w:sz="4" w:space="0" w:color="auto"/>
              <w:bottom w:val="single" w:sz="4" w:space="0" w:color="auto"/>
              <w:right w:val="nil"/>
            </w:tcBorders>
            <w:shd w:val="clear" w:color="auto" w:fill="auto"/>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060" w:type="dxa"/>
            <w:tcBorders>
              <w:top w:val="single" w:sz="4" w:space="0" w:color="auto"/>
              <w:left w:val="nil"/>
              <w:bottom w:val="single" w:sz="4" w:space="0" w:color="auto"/>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 </w:t>
            </w:r>
          </w:p>
        </w:tc>
        <w:tc>
          <w:tcPr>
            <w:tcW w:w="180" w:type="dxa"/>
            <w:tcBorders>
              <w:top w:val="nil"/>
              <w:left w:val="nil"/>
              <w:bottom w:val="nil"/>
              <w:right w:val="nil"/>
            </w:tcBorders>
            <w:shd w:val="clear" w:color="auto" w:fill="auto"/>
            <w:noWrap/>
            <w:vAlign w:val="bottom"/>
            <w:hideMark/>
          </w:tcPr>
          <w:p w:rsidR="005F38C8" w:rsidRPr="005F38C8" w:rsidRDefault="005F38C8" w:rsidP="005F38C8">
            <w:pPr>
              <w:jc w:val="center"/>
              <w:rPr>
                <w:rFonts w:ascii="Calibri" w:hAnsi="Calibri" w:cs="Calibri"/>
                <w:b/>
                <w:bCs/>
                <w:color w:val="000000"/>
                <w:sz w:val="20"/>
                <w:lang w:eastAsia="en-GB"/>
              </w:rPr>
            </w:pPr>
          </w:p>
        </w:tc>
        <w:tc>
          <w:tcPr>
            <w:tcW w:w="1060" w:type="dxa"/>
            <w:tcBorders>
              <w:top w:val="nil"/>
              <w:left w:val="nil"/>
              <w:bottom w:val="nil"/>
              <w:right w:val="nil"/>
            </w:tcBorders>
            <w:shd w:val="clear" w:color="auto" w:fill="auto"/>
            <w:noWrap/>
            <w:vAlign w:val="bottom"/>
            <w:hideMark/>
          </w:tcPr>
          <w:p w:rsidR="005F38C8" w:rsidRPr="005F38C8" w:rsidRDefault="005F38C8" w:rsidP="005F38C8">
            <w:pPr>
              <w:rPr>
                <w:sz w:val="20"/>
                <w:lang w:eastAsia="en-GB"/>
              </w:rPr>
            </w:pPr>
          </w:p>
        </w:tc>
      </w:tr>
      <w:tr w:rsidR="005F38C8" w:rsidRPr="005F38C8" w:rsidTr="005F38C8">
        <w:trPr>
          <w:trHeight w:val="1290"/>
        </w:trPr>
        <w:tc>
          <w:tcPr>
            <w:tcW w:w="5220" w:type="dxa"/>
            <w:tcBorders>
              <w:top w:val="nil"/>
              <w:left w:val="single" w:sz="4" w:space="0" w:color="auto"/>
              <w:bottom w:val="single" w:sz="4" w:space="0" w:color="auto"/>
              <w:right w:val="single" w:sz="4" w:space="0" w:color="auto"/>
            </w:tcBorders>
            <w:shd w:val="clear" w:color="000000" w:fill="D9D9D9"/>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NORTH EAST LINCOLNSHIRE COUNCIL COMMISSIONED</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Oct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Annual Budget as at Dec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YTD Variance as at Dec 19 £'000</w:t>
            </w:r>
          </w:p>
        </w:tc>
        <w:tc>
          <w:tcPr>
            <w:tcW w:w="1060" w:type="dxa"/>
            <w:tcBorders>
              <w:top w:val="nil"/>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Dec 19 £'000</w:t>
            </w:r>
          </w:p>
        </w:tc>
        <w:tc>
          <w:tcPr>
            <w:tcW w:w="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Forecast out-turn variance as at Oct 19 £'000</w:t>
            </w:r>
          </w:p>
        </w:tc>
      </w:tr>
      <w:tr w:rsidR="005F38C8" w:rsidRPr="005F38C8" w:rsidTr="005F38C8">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LARC fits and removals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Health checks</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50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-10</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Stop smoking service</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20</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-2</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5F38C8" w:rsidRPr="005F38C8" w:rsidRDefault="005F38C8" w:rsidP="005F38C8">
            <w:pPr>
              <w:rPr>
                <w:rFonts w:ascii="Calibri" w:hAnsi="Calibri" w:cs="Calibri"/>
                <w:color w:val="000000"/>
                <w:sz w:val="20"/>
                <w:lang w:eastAsia="en-GB"/>
              </w:rPr>
            </w:pPr>
            <w:r w:rsidRPr="005F38C8">
              <w:rPr>
                <w:rFonts w:ascii="Calibri" w:hAnsi="Calibri" w:cs="Calibri"/>
                <w:color w:val="000000"/>
                <w:sz w:val="20"/>
                <w:lang w:eastAsia="en-GB"/>
              </w:rPr>
              <w:t>Substance misuse</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125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125</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31</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5F38C8" w:rsidRPr="005F38C8" w:rsidRDefault="005F38C8" w:rsidP="005F38C8">
            <w:pPr>
              <w:jc w:val="center"/>
              <w:rPr>
                <w:rFonts w:ascii="Calibri" w:hAnsi="Calibri" w:cs="Calibri"/>
                <w:color w:val="000000"/>
                <w:sz w:val="20"/>
                <w:lang w:eastAsia="en-GB"/>
              </w:rPr>
            </w:pPr>
            <w:r w:rsidRPr="005F38C8">
              <w:rPr>
                <w:rFonts w:ascii="Calibri" w:hAnsi="Calibri" w:cs="Calibri"/>
                <w:color w:val="000000"/>
                <w:sz w:val="20"/>
                <w:lang w:eastAsia="en-GB"/>
              </w:rPr>
              <w:t>0</w:t>
            </w:r>
          </w:p>
        </w:tc>
      </w:tr>
      <w:tr w:rsidR="005F38C8" w:rsidRPr="005F38C8" w:rsidTr="005F38C8">
        <w:trPr>
          <w:trHeight w:val="300"/>
        </w:trPr>
        <w:tc>
          <w:tcPr>
            <w:tcW w:w="5220" w:type="dxa"/>
            <w:tcBorders>
              <w:top w:val="nil"/>
              <w:left w:val="single" w:sz="4" w:space="0" w:color="auto"/>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b/>
                <w:bCs/>
                <w:color w:val="000000"/>
                <w:sz w:val="20"/>
                <w:lang w:eastAsia="en-GB"/>
              </w:rPr>
            </w:pPr>
            <w:r w:rsidRPr="005F38C8">
              <w:rPr>
                <w:rFonts w:ascii="Calibri" w:hAnsi="Calibri" w:cs="Calibri"/>
                <w:b/>
                <w:bCs/>
                <w:color w:val="000000"/>
                <w:sz w:val="20"/>
                <w:lang w:eastAsia="en-GB"/>
              </w:rPr>
              <w:t>NELC COMMISSIONED TOTAL</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275</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275</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-13</w:t>
            </w:r>
          </w:p>
        </w:tc>
        <w:tc>
          <w:tcPr>
            <w:tcW w:w="18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rPr>
                <w:rFonts w:ascii="Calibri" w:hAnsi="Calibri" w:cs="Calibri"/>
                <w:color w:val="000000"/>
                <w:sz w:val="22"/>
                <w:szCs w:val="22"/>
                <w:lang w:eastAsia="en-GB"/>
              </w:rPr>
            </w:pPr>
            <w:r w:rsidRPr="005F38C8">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000000" w:fill="D9D9D9"/>
            <w:noWrap/>
            <w:vAlign w:val="bottom"/>
            <w:hideMark/>
          </w:tcPr>
          <w:p w:rsidR="005F38C8" w:rsidRPr="005F38C8" w:rsidRDefault="005F38C8" w:rsidP="005F38C8">
            <w:pPr>
              <w:jc w:val="center"/>
              <w:rPr>
                <w:rFonts w:ascii="Calibri" w:hAnsi="Calibri" w:cs="Calibri"/>
                <w:b/>
                <w:bCs/>
                <w:color w:val="000000"/>
                <w:sz w:val="20"/>
                <w:lang w:eastAsia="en-GB"/>
              </w:rPr>
            </w:pPr>
            <w:r w:rsidRPr="005F38C8">
              <w:rPr>
                <w:rFonts w:ascii="Calibri" w:hAnsi="Calibri" w:cs="Calibri"/>
                <w:b/>
                <w:bCs/>
                <w:color w:val="000000"/>
                <w:sz w:val="20"/>
                <w:lang w:eastAsia="en-GB"/>
              </w:rPr>
              <w:t>15</w:t>
            </w:r>
          </w:p>
        </w:tc>
      </w:tr>
    </w:tbl>
    <w:p w:rsidR="001B37C8" w:rsidRDefault="001B37C8" w:rsidP="00D3211A">
      <w:pPr>
        <w:pStyle w:val="Default"/>
        <w:jc w:val="both"/>
        <w:rPr>
          <w:rFonts w:ascii="Calibri" w:hAnsi="Calibri" w:cs="Calibri"/>
          <w:b/>
          <w:sz w:val="20"/>
          <w:szCs w:val="20"/>
          <w:u w:val="single"/>
        </w:rPr>
      </w:pPr>
    </w:p>
    <w:p w:rsidR="001700DD" w:rsidRDefault="001700DD" w:rsidP="00D3211A">
      <w:pPr>
        <w:pStyle w:val="Default"/>
        <w:jc w:val="both"/>
        <w:rPr>
          <w:rFonts w:ascii="Calibri" w:hAnsi="Calibri" w:cs="Calibri"/>
          <w:b/>
          <w:sz w:val="20"/>
          <w:szCs w:val="20"/>
          <w:u w:val="single"/>
        </w:rPr>
      </w:pPr>
    </w:p>
    <w:p w:rsidR="001700DD" w:rsidRPr="00AC48D5" w:rsidRDefault="001700DD" w:rsidP="00D3211A">
      <w:pPr>
        <w:pStyle w:val="Default"/>
        <w:jc w:val="both"/>
        <w:rPr>
          <w:rFonts w:ascii="Calibri" w:hAnsi="Calibri" w:cs="Calibri"/>
          <w:b/>
          <w:sz w:val="20"/>
          <w:szCs w:val="20"/>
          <w:u w:val="single"/>
        </w:rPr>
      </w:pPr>
    </w:p>
    <w:sectPr w:rsidR="001700DD" w:rsidRPr="00AC48D5" w:rsidSect="00A65CCE">
      <w:headerReference w:type="default" r:id="rId10"/>
      <w:pgSz w:w="11900" w:h="16840"/>
      <w:pgMar w:top="720" w:right="720" w:bottom="0" w:left="720" w:header="0"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F2" w:rsidRDefault="004206F2" w:rsidP="00E1284E">
      <w:r>
        <w:separator/>
      </w:r>
    </w:p>
  </w:endnote>
  <w:endnote w:type="continuationSeparator" w:id="0">
    <w:p w:rsidR="004206F2" w:rsidRDefault="004206F2"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F2" w:rsidRDefault="004206F2" w:rsidP="00E1284E">
      <w:r>
        <w:separator/>
      </w:r>
    </w:p>
  </w:footnote>
  <w:footnote w:type="continuationSeparator" w:id="0">
    <w:p w:rsidR="004206F2" w:rsidRDefault="004206F2"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509"/>
    <w:multiLevelType w:val="hybridMultilevel"/>
    <w:tmpl w:val="460EDA42"/>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3DA1"/>
    <w:multiLevelType w:val="hybridMultilevel"/>
    <w:tmpl w:val="2196DBAC"/>
    <w:lvl w:ilvl="0" w:tplc="F1748C2C">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A4400"/>
    <w:multiLevelType w:val="hybridMultilevel"/>
    <w:tmpl w:val="44E8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1359"/>
    <w:multiLevelType w:val="hybridMultilevel"/>
    <w:tmpl w:val="39D06D3C"/>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B062C"/>
    <w:multiLevelType w:val="hybridMultilevel"/>
    <w:tmpl w:val="F2C4FC5A"/>
    <w:lvl w:ilvl="0" w:tplc="9E2EFA96">
      <w:numFmt w:val="bullet"/>
      <w:lvlText w:val="-"/>
      <w:lvlJc w:val="left"/>
      <w:pPr>
        <w:ind w:left="1440" w:hanging="720"/>
      </w:pPr>
      <w:rPr>
        <w:rFonts w:ascii="Calibri" w:eastAsia="MS Mincho"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931150"/>
    <w:multiLevelType w:val="hybridMultilevel"/>
    <w:tmpl w:val="2D72E73A"/>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B4083"/>
    <w:multiLevelType w:val="hybridMultilevel"/>
    <w:tmpl w:val="3DCAED3E"/>
    <w:lvl w:ilvl="0" w:tplc="688AE026">
      <w:numFmt w:val="bullet"/>
      <w:lvlText w:val="-"/>
      <w:lvlJc w:val="left"/>
      <w:pPr>
        <w:ind w:left="1665" w:hanging="360"/>
      </w:pPr>
      <w:rPr>
        <w:rFonts w:ascii="Calibri" w:eastAsia="MS Mincho" w:hAnsi="Calibri" w:cs="Calibri"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9" w15:restartNumberingAfterBreak="0">
    <w:nsid w:val="1D020410"/>
    <w:multiLevelType w:val="hybridMultilevel"/>
    <w:tmpl w:val="31EA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2E01"/>
    <w:multiLevelType w:val="hybridMultilevel"/>
    <w:tmpl w:val="0B66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27545"/>
    <w:multiLevelType w:val="hybridMultilevel"/>
    <w:tmpl w:val="3E5A6C68"/>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5654F"/>
    <w:multiLevelType w:val="hybridMultilevel"/>
    <w:tmpl w:val="8A288290"/>
    <w:lvl w:ilvl="0" w:tplc="D4509A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D3995"/>
    <w:multiLevelType w:val="hybridMultilevel"/>
    <w:tmpl w:val="82BA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E3F6D"/>
    <w:multiLevelType w:val="hybridMultilevel"/>
    <w:tmpl w:val="8848CE26"/>
    <w:lvl w:ilvl="0" w:tplc="688AE026">
      <w:numFmt w:val="bullet"/>
      <w:lvlText w:val="-"/>
      <w:lvlJc w:val="left"/>
      <w:pPr>
        <w:ind w:left="1665" w:hanging="360"/>
      </w:pPr>
      <w:rPr>
        <w:rFonts w:ascii="Calibri" w:eastAsia="MS Mincho" w:hAnsi="Calibri" w:cs="Calibri"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5" w15:restartNumberingAfterBreak="0">
    <w:nsid w:val="2EA64AD1"/>
    <w:multiLevelType w:val="hybridMultilevel"/>
    <w:tmpl w:val="FA36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0355A"/>
    <w:multiLevelType w:val="hybridMultilevel"/>
    <w:tmpl w:val="55947958"/>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C34C61"/>
    <w:multiLevelType w:val="hybridMultilevel"/>
    <w:tmpl w:val="C9B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07297"/>
    <w:multiLevelType w:val="hybridMultilevel"/>
    <w:tmpl w:val="94EE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50B0C"/>
    <w:multiLevelType w:val="hybridMultilevel"/>
    <w:tmpl w:val="187A687A"/>
    <w:lvl w:ilvl="0" w:tplc="9E2EFA96">
      <w:numFmt w:val="bullet"/>
      <w:lvlText w:val="-"/>
      <w:lvlJc w:val="left"/>
      <w:pPr>
        <w:ind w:left="2160" w:hanging="360"/>
      </w:pPr>
      <w:rPr>
        <w:rFonts w:ascii="Calibri" w:eastAsia="MS Mincho"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5121476"/>
    <w:multiLevelType w:val="hybridMultilevel"/>
    <w:tmpl w:val="CCAE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E1797"/>
    <w:multiLevelType w:val="hybridMultilevel"/>
    <w:tmpl w:val="481CA8D4"/>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86B65"/>
    <w:multiLevelType w:val="hybridMultilevel"/>
    <w:tmpl w:val="AE72D9DA"/>
    <w:lvl w:ilvl="0" w:tplc="D4509A0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E7F27E9"/>
    <w:multiLevelType w:val="hybridMultilevel"/>
    <w:tmpl w:val="C5001336"/>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241DA"/>
    <w:multiLevelType w:val="hybridMultilevel"/>
    <w:tmpl w:val="2BAA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B6E29"/>
    <w:multiLevelType w:val="hybridMultilevel"/>
    <w:tmpl w:val="F1829604"/>
    <w:lvl w:ilvl="0" w:tplc="9E2EFA96">
      <w:numFmt w:val="bullet"/>
      <w:lvlText w:val="-"/>
      <w:lvlJc w:val="left"/>
      <w:pPr>
        <w:ind w:left="765" w:hanging="360"/>
      </w:pPr>
      <w:rPr>
        <w:rFonts w:ascii="Calibri" w:eastAsia="MS Mincho"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8BC548E"/>
    <w:multiLevelType w:val="hybridMultilevel"/>
    <w:tmpl w:val="201E9B34"/>
    <w:lvl w:ilvl="0" w:tplc="9E2EFA96">
      <w:numFmt w:val="bullet"/>
      <w:lvlText w:val="-"/>
      <w:lvlJc w:val="left"/>
      <w:pPr>
        <w:ind w:left="1440" w:hanging="720"/>
      </w:pPr>
      <w:rPr>
        <w:rFonts w:ascii="Calibri" w:eastAsia="MS Mincho"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47569E"/>
    <w:multiLevelType w:val="hybridMultilevel"/>
    <w:tmpl w:val="8948346E"/>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B61F7"/>
    <w:multiLevelType w:val="hybridMultilevel"/>
    <w:tmpl w:val="1B444C30"/>
    <w:lvl w:ilvl="0" w:tplc="9E2EFA96">
      <w:numFmt w:val="bullet"/>
      <w:lvlText w:val="-"/>
      <w:lvlJc w:val="left"/>
      <w:pPr>
        <w:ind w:left="2160" w:hanging="360"/>
      </w:pPr>
      <w:rPr>
        <w:rFonts w:ascii="Calibri" w:eastAsia="MS Mincho"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7"/>
  </w:num>
  <w:num w:numId="3">
    <w:abstractNumId w:val="20"/>
  </w:num>
  <w:num w:numId="4">
    <w:abstractNumId w:val="17"/>
  </w:num>
  <w:num w:numId="5">
    <w:abstractNumId w:val="2"/>
  </w:num>
  <w:num w:numId="6">
    <w:abstractNumId w:val="26"/>
  </w:num>
  <w:num w:numId="7">
    <w:abstractNumId w:val="16"/>
  </w:num>
  <w:num w:numId="8">
    <w:abstractNumId w:val="23"/>
  </w:num>
  <w:num w:numId="9">
    <w:abstractNumId w:val="11"/>
  </w:num>
  <w:num w:numId="10">
    <w:abstractNumId w:val="12"/>
  </w:num>
  <w:num w:numId="11">
    <w:abstractNumId w:val="0"/>
  </w:num>
  <w:num w:numId="12">
    <w:abstractNumId w:val="25"/>
  </w:num>
  <w:num w:numId="13">
    <w:abstractNumId w:val="21"/>
  </w:num>
  <w:num w:numId="14">
    <w:abstractNumId w:val="24"/>
  </w:num>
  <w:num w:numId="15">
    <w:abstractNumId w:val="31"/>
  </w:num>
  <w:num w:numId="16">
    <w:abstractNumId w:val="29"/>
  </w:num>
  <w:num w:numId="17">
    <w:abstractNumId w:val="5"/>
  </w:num>
  <w:num w:numId="18">
    <w:abstractNumId w:val="28"/>
  </w:num>
  <w:num w:numId="19">
    <w:abstractNumId w:val="30"/>
  </w:num>
  <w:num w:numId="20">
    <w:abstractNumId w:val="10"/>
  </w:num>
  <w:num w:numId="21">
    <w:abstractNumId w:val="19"/>
  </w:num>
  <w:num w:numId="22">
    <w:abstractNumId w:val="22"/>
  </w:num>
  <w:num w:numId="23">
    <w:abstractNumId w:val="4"/>
  </w:num>
  <w:num w:numId="24">
    <w:abstractNumId w:val="3"/>
  </w:num>
  <w:num w:numId="25">
    <w:abstractNumId w:val="14"/>
  </w:num>
  <w:num w:numId="26">
    <w:abstractNumId w:val="27"/>
  </w:num>
  <w:num w:numId="27">
    <w:abstractNumId w:val="8"/>
  </w:num>
  <w:num w:numId="28">
    <w:abstractNumId w:val="1"/>
  </w:num>
  <w:num w:numId="29">
    <w:abstractNumId w:val="15"/>
  </w:num>
  <w:num w:numId="30">
    <w:abstractNumId w:val="6"/>
  </w:num>
  <w:num w:numId="31">
    <w:abstractNumId w:val="9"/>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12705"/>
    <w:rsid w:val="00021EC8"/>
    <w:rsid w:val="00034CF6"/>
    <w:rsid w:val="000350E4"/>
    <w:rsid w:val="0004301A"/>
    <w:rsid w:val="0004546B"/>
    <w:rsid w:val="00046B77"/>
    <w:rsid w:val="00054707"/>
    <w:rsid w:val="0006772D"/>
    <w:rsid w:val="0009052F"/>
    <w:rsid w:val="000953A2"/>
    <w:rsid w:val="00096E41"/>
    <w:rsid w:val="000A554D"/>
    <w:rsid w:val="000A7EB7"/>
    <w:rsid w:val="000C491D"/>
    <w:rsid w:val="000C4D3C"/>
    <w:rsid w:val="000C70E4"/>
    <w:rsid w:val="000D1426"/>
    <w:rsid w:val="000D1B0D"/>
    <w:rsid w:val="000D1C59"/>
    <w:rsid w:val="000E05B9"/>
    <w:rsid w:val="00107535"/>
    <w:rsid w:val="001139C9"/>
    <w:rsid w:val="00132A58"/>
    <w:rsid w:val="0013341F"/>
    <w:rsid w:val="00136B75"/>
    <w:rsid w:val="00144ED4"/>
    <w:rsid w:val="0014649B"/>
    <w:rsid w:val="00153F3A"/>
    <w:rsid w:val="001556E0"/>
    <w:rsid w:val="00160986"/>
    <w:rsid w:val="0016479A"/>
    <w:rsid w:val="001700DD"/>
    <w:rsid w:val="001A1059"/>
    <w:rsid w:val="001B37C8"/>
    <w:rsid w:val="001D2409"/>
    <w:rsid w:val="001D418A"/>
    <w:rsid w:val="002044CF"/>
    <w:rsid w:val="002054A0"/>
    <w:rsid w:val="00211D9C"/>
    <w:rsid w:val="00220DF9"/>
    <w:rsid w:val="00246A4E"/>
    <w:rsid w:val="00246EFA"/>
    <w:rsid w:val="00247794"/>
    <w:rsid w:val="002735E5"/>
    <w:rsid w:val="00280410"/>
    <w:rsid w:val="0028419C"/>
    <w:rsid w:val="002B1037"/>
    <w:rsid w:val="002C32CC"/>
    <w:rsid w:val="002C6F56"/>
    <w:rsid w:val="002F171D"/>
    <w:rsid w:val="002F38A7"/>
    <w:rsid w:val="00306A1B"/>
    <w:rsid w:val="00340309"/>
    <w:rsid w:val="003442E4"/>
    <w:rsid w:val="00347409"/>
    <w:rsid w:val="0036733E"/>
    <w:rsid w:val="00384B80"/>
    <w:rsid w:val="003A05FD"/>
    <w:rsid w:val="003B7B5D"/>
    <w:rsid w:val="003D5B47"/>
    <w:rsid w:val="003D7845"/>
    <w:rsid w:val="003F0E09"/>
    <w:rsid w:val="004024DC"/>
    <w:rsid w:val="00405BDF"/>
    <w:rsid w:val="004206F2"/>
    <w:rsid w:val="004265A4"/>
    <w:rsid w:val="00436DEA"/>
    <w:rsid w:val="004458C3"/>
    <w:rsid w:val="00453E4B"/>
    <w:rsid w:val="00462732"/>
    <w:rsid w:val="00463662"/>
    <w:rsid w:val="00473CC5"/>
    <w:rsid w:val="004767D8"/>
    <w:rsid w:val="00481D35"/>
    <w:rsid w:val="004A1EEA"/>
    <w:rsid w:val="004B128C"/>
    <w:rsid w:val="004B444D"/>
    <w:rsid w:val="004E32B5"/>
    <w:rsid w:val="004E74CC"/>
    <w:rsid w:val="004F3A7C"/>
    <w:rsid w:val="004F5317"/>
    <w:rsid w:val="004F6116"/>
    <w:rsid w:val="005310F1"/>
    <w:rsid w:val="00533742"/>
    <w:rsid w:val="0054308A"/>
    <w:rsid w:val="00560E54"/>
    <w:rsid w:val="00562B7A"/>
    <w:rsid w:val="00567503"/>
    <w:rsid w:val="005A0D0A"/>
    <w:rsid w:val="005A4EC5"/>
    <w:rsid w:val="005A53D1"/>
    <w:rsid w:val="005B0C13"/>
    <w:rsid w:val="005D00BB"/>
    <w:rsid w:val="005D2AB7"/>
    <w:rsid w:val="005F38C8"/>
    <w:rsid w:val="006006E6"/>
    <w:rsid w:val="00612FD4"/>
    <w:rsid w:val="006330C7"/>
    <w:rsid w:val="0065463C"/>
    <w:rsid w:val="00663808"/>
    <w:rsid w:val="00693699"/>
    <w:rsid w:val="00697B0F"/>
    <w:rsid w:val="006A23CE"/>
    <w:rsid w:val="006C1307"/>
    <w:rsid w:val="006C1A66"/>
    <w:rsid w:val="006F3A4E"/>
    <w:rsid w:val="00703268"/>
    <w:rsid w:val="00704FE8"/>
    <w:rsid w:val="00706556"/>
    <w:rsid w:val="0071072D"/>
    <w:rsid w:val="00711DA9"/>
    <w:rsid w:val="00716D43"/>
    <w:rsid w:val="00734128"/>
    <w:rsid w:val="007405E7"/>
    <w:rsid w:val="00755446"/>
    <w:rsid w:val="00755B9E"/>
    <w:rsid w:val="007663C8"/>
    <w:rsid w:val="00772FAA"/>
    <w:rsid w:val="00785233"/>
    <w:rsid w:val="00793F90"/>
    <w:rsid w:val="007A4AAD"/>
    <w:rsid w:val="007B50AC"/>
    <w:rsid w:val="007C526F"/>
    <w:rsid w:val="007C696D"/>
    <w:rsid w:val="007D1C13"/>
    <w:rsid w:val="007E1C2F"/>
    <w:rsid w:val="007E2A23"/>
    <w:rsid w:val="007F4A8B"/>
    <w:rsid w:val="008044FD"/>
    <w:rsid w:val="00811838"/>
    <w:rsid w:val="0081494F"/>
    <w:rsid w:val="008336DE"/>
    <w:rsid w:val="00842CBF"/>
    <w:rsid w:val="008433D4"/>
    <w:rsid w:val="00846301"/>
    <w:rsid w:val="00870D89"/>
    <w:rsid w:val="00876931"/>
    <w:rsid w:val="00886CC2"/>
    <w:rsid w:val="00892A65"/>
    <w:rsid w:val="00893409"/>
    <w:rsid w:val="00893F97"/>
    <w:rsid w:val="008A1D10"/>
    <w:rsid w:val="008A39C9"/>
    <w:rsid w:val="008C5A15"/>
    <w:rsid w:val="008D2FFA"/>
    <w:rsid w:val="008F08ED"/>
    <w:rsid w:val="00901CC0"/>
    <w:rsid w:val="00911F40"/>
    <w:rsid w:val="0091451D"/>
    <w:rsid w:val="009169E9"/>
    <w:rsid w:val="009245B1"/>
    <w:rsid w:val="0092546C"/>
    <w:rsid w:val="0092628E"/>
    <w:rsid w:val="00932DBE"/>
    <w:rsid w:val="00941F25"/>
    <w:rsid w:val="0094756F"/>
    <w:rsid w:val="009609BA"/>
    <w:rsid w:val="00963D78"/>
    <w:rsid w:val="0098436E"/>
    <w:rsid w:val="00987935"/>
    <w:rsid w:val="00987E4C"/>
    <w:rsid w:val="00991A1C"/>
    <w:rsid w:val="0099225D"/>
    <w:rsid w:val="00995A9E"/>
    <w:rsid w:val="009B28F4"/>
    <w:rsid w:val="009B44D9"/>
    <w:rsid w:val="009B73E1"/>
    <w:rsid w:val="009D39DE"/>
    <w:rsid w:val="009D4EDC"/>
    <w:rsid w:val="009E45D2"/>
    <w:rsid w:val="00A0148B"/>
    <w:rsid w:val="00A218A3"/>
    <w:rsid w:val="00A34173"/>
    <w:rsid w:val="00A53E71"/>
    <w:rsid w:val="00A65CCE"/>
    <w:rsid w:val="00A66D55"/>
    <w:rsid w:val="00A67A77"/>
    <w:rsid w:val="00A765D7"/>
    <w:rsid w:val="00A84881"/>
    <w:rsid w:val="00A9358C"/>
    <w:rsid w:val="00A977E0"/>
    <w:rsid w:val="00AA083D"/>
    <w:rsid w:val="00AB1B69"/>
    <w:rsid w:val="00AB4FF6"/>
    <w:rsid w:val="00AB645B"/>
    <w:rsid w:val="00AC48D5"/>
    <w:rsid w:val="00AF4A4F"/>
    <w:rsid w:val="00AF517D"/>
    <w:rsid w:val="00B24425"/>
    <w:rsid w:val="00B62F45"/>
    <w:rsid w:val="00B6301D"/>
    <w:rsid w:val="00B658DC"/>
    <w:rsid w:val="00B71933"/>
    <w:rsid w:val="00B76E57"/>
    <w:rsid w:val="00B82E81"/>
    <w:rsid w:val="00B904DF"/>
    <w:rsid w:val="00B96B78"/>
    <w:rsid w:val="00B971B9"/>
    <w:rsid w:val="00BA0F2D"/>
    <w:rsid w:val="00BB0439"/>
    <w:rsid w:val="00BB40A8"/>
    <w:rsid w:val="00BE2870"/>
    <w:rsid w:val="00BE53CE"/>
    <w:rsid w:val="00BE727A"/>
    <w:rsid w:val="00BE7CCE"/>
    <w:rsid w:val="00BF62DB"/>
    <w:rsid w:val="00C13861"/>
    <w:rsid w:val="00C41576"/>
    <w:rsid w:val="00C450D4"/>
    <w:rsid w:val="00C52984"/>
    <w:rsid w:val="00C62BE4"/>
    <w:rsid w:val="00C64AF0"/>
    <w:rsid w:val="00C81EF3"/>
    <w:rsid w:val="00CA348E"/>
    <w:rsid w:val="00CA4E8E"/>
    <w:rsid w:val="00CB1860"/>
    <w:rsid w:val="00CC2C55"/>
    <w:rsid w:val="00CD167F"/>
    <w:rsid w:val="00CF20A6"/>
    <w:rsid w:val="00CF347F"/>
    <w:rsid w:val="00CF359F"/>
    <w:rsid w:val="00CF395E"/>
    <w:rsid w:val="00D00012"/>
    <w:rsid w:val="00D0475C"/>
    <w:rsid w:val="00D213A0"/>
    <w:rsid w:val="00D3211A"/>
    <w:rsid w:val="00D42959"/>
    <w:rsid w:val="00D7667F"/>
    <w:rsid w:val="00D87CCA"/>
    <w:rsid w:val="00DA7A50"/>
    <w:rsid w:val="00DB37E5"/>
    <w:rsid w:val="00DB3F78"/>
    <w:rsid w:val="00DB5502"/>
    <w:rsid w:val="00DE09D1"/>
    <w:rsid w:val="00DE0BED"/>
    <w:rsid w:val="00DE185E"/>
    <w:rsid w:val="00DF7670"/>
    <w:rsid w:val="00E1284E"/>
    <w:rsid w:val="00E26D6F"/>
    <w:rsid w:val="00E31E2C"/>
    <w:rsid w:val="00E402F3"/>
    <w:rsid w:val="00E5190C"/>
    <w:rsid w:val="00E52FDA"/>
    <w:rsid w:val="00E538D6"/>
    <w:rsid w:val="00E559A4"/>
    <w:rsid w:val="00E61AF0"/>
    <w:rsid w:val="00E6640D"/>
    <w:rsid w:val="00E72942"/>
    <w:rsid w:val="00E72F52"/>
    <w:rsid w:val="00E73B61"/>
    <w:rsid w:val="00E763D6"/>
    <w:rsid w:val="00E76606"/>
    <w:rsid w:val="00E86651"/>
    <w:rsid w:val="00E912FC"/>
    <w:rsid w:val="00E97542"/>
    <w:rsid w:val="00EA4E01"/>
    <w:rsid w:val="00EB634A"/>
    <w:rsid w:val="00ED26F5"/>
    <w:rsid w:val="00ED2A9E"/>
    <w:rsid w:val="00EF3F09"/>
    <w:rsid w:val="00F03B09"/>
    <w:rsid w:val="00F12839"/>
    <w:rsid w:val="00F300A1"/>
    <w:rsid w:val="00F54DEB"/>
    <w:rsid w:val="00F67B8B"/>
    <w:rsid w:val="00F72B0A"/>
    <w:rsid w:val="00F80FA5"/>
    <w:rsid w:val="00F831E8"/>
    <w:rsid w:val="00F97DC2"/>
    <w:rsid w:val="00FB048F"/>
    <w:rsid w:val="00FB449C"/>
    <w:rsid w:val="00FD7892"/>
    <w:rsid w:val="00FF3F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03D824C"/>
  <w15:docId w15:val="{36847D1A-42FE-461B-9171-EE3BA9F3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1D"/>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87390394">
      <w:bodyDiv w:val="1"/>
      <w:marLeft w:val="0"/>
      <w:marRight w:val="0"/>
      <w:marTop w:val="0"/>
      <w:marBottom w:val="0"/>
      <w:divBdr>
        <w:top w:val="none" w:sz="0" w:space="0" w:color="auto"/>
        <w:left w:val="none" w:sz="0" w:space="0" w:color="auto"/>
        <w:bottom w:val="none" w:sz="0" w:space="0" w:color="auto"/>
        <w:right w:val="none" w:sz="0" w:space="0" w:color="auto"/>
      </w:divBdr>
    </w:div>
    <w:div w:id="359205612">
      <w:bodyDiv w:val="1"/>
      <w:marLeft w:val="0"/>
      <w:marRight w:val="0"/>
      <w:marTop w:val="0"/>
      <w:marBottom w:val="0"/>
      <w:divBdr>
        <w:top w:val="none" w:sz="0" w:space="0" w:color="auto"/>
        <w:left w:val="none" w:sz="0" w:space="0" w:color="auto"/>
        <w:bottom w:val="none" w:sz="0" w:space="0" w:color="auto"/>
        <w:right w:val="none" w:sz="0" w:space="0" w:color="auto"/>
      </w:divBdr>
    </w:div>
    <w:div w:id="452483487">
      <w:bodyDiv w:val="1"/>
      <w:marLeft w:val="0"/>
      <w:marRight w:val="0"/>
      <w:marTop w:val="0"/>
      <w:marBottom w:val="0"/>
      <w:divBdr>
        <w:top w:val="none" w:sz="0" w:space="0" w:color="auto"/>
        <w:left w:val="none" w:sz="0" w:space="0" w:color="auto"/>
        <w:bottom w:val="none" w:sz="0" w:space="0" w:color="auto"/>
        <w:right w:val="none" w:sz="0" w:space="0" w:color="auto"/>
      </w:divBdr>
    </w:div>
    <w:div w:id="497354932">
      <w:bodyDiv w:val="1"/>
      <w:marLeft w:val="0"/>
      <w:marRight w:val="0"/>
      <w:marTop w:val="0"/>
      <w:marBottom w:val="0"/>
      <w:divBdr>
        <w:top w:val="none" w:sz="0" w:space="0" w:color="auto"/>
        <w:left w:val="none" w:sz="0" w:space="0" w:color="auto"/>
        <w:bottom w:val="none" w:sz="0" w:space="0" w:color="auto"/>
        <w:right w:val="none" w:sz="0" w:space="0" w:color="auto"/>
      </w:divBdr>
    </w:div>
    <w:div w:id="547761025">
      <w:bodyDiv w:val="1"/>
      <w:marLeft w:val="0"/>
      <w:marRight w:val="0"/>
      <w:marTop w:val="0"/>
      <w:marBottom w:val="0"/>
      <w:divBdr>
        <w:top w:val="none" w:sz="0" w:space="0" w:color="auto"/>
        <w:left w:val="none" w:sz="0" w:space="0" w:color="auto"/>
        <w:bottom w:val="none" w:sz="0" w:space="0" w:color="auto"/>
        <w:right w:val="none" w:sz="0" w:space="0" w:color="auto"/>
      </w:divBdr>
    </w:div>
    <w:div w:id="711265606">
      <w:bodyDiv w:val="1"/>
      <w:marLeft w:val="0"/>
      <w:marRight w:val="0"/>
      <w:marTop w:val="0"/>
      <w:marBottom w:val="0"/>
      <w:divBdr>
        <w:top w:val="none" w:sz="0" w:space="0" w:color="auto"/>
        <w:left w:val="none" w:sz="0" w:space="0" w:color="auto"/>
        <w:bottom w:val="none" w:sz="0" w:space="0" w:color="auto"/>
        <w:right w:val="none" w:sz="0" w:space="0" w:color="auto"/>
      </w:divBdr>
    </w:div>
    <w:div w:id="761489429">
      <w:bodyDiv w:val="1"/>
      <w:marLeft w:val="0"/>
      <w:marRight w:val="0"/>
      <w:marTop w:val="0"/>
      <w:marBottom w:val="0"/>
      <w:divBdr>
        <w:top w:val="none" w:sz="0" w:space="0" w:color="auto"/>
        <w:left w:val="none" w:sz="0" w:space="0" w:color="auto"/>
        <w:bottom w:val="none" w:sz="0" w:space="0" w:color="auto"/>
        <w:right w:val="none" w:sz="0" w:space="0" w:color="auto"/>
      </w:divBdr>
    </w:div>
    <w:div w:id="772363717">
      <w:bodyDiv w:val="1"/>
      <w:marLeft w:val="0"/>
      <w:marRight w:val="0"/>
      <w:marTop w:val="0"/>
      <w:marBottom w:val="0"/>
      <w:divBdr>
        <w:top w:val="none" w:sz="0" w:space="0" w:color="auto"/>
        <w:left w:val="none" w:sz="0" w:space="0" w:color="auto"/>
        <w:bottom w:val="none" w:sz="0" w:space="0" w:color="auto"/>
        <w:right w:val="none" w:sz="0" w:space="0" w:color="auto"/>
      </w:divBdr>
    </w:div>
    <w:div w:id="925185732">
      <w:bodyDiv w:val="1"/>
      <w:marLeft w:val="0"/>
      <w:marRight w:val="0"/>
      <w:marTop w:val="0"/>
      <w:marBottom w:val="0"/>
      <w:divBdr>
        <w:top w:val="none" w:sz="0" w:space="0" w:color="auto"/>
        <w:left w:val="none" w:sz="0" w:space="0" w:color="auto"/>
        <w:bottom w:val="none" w:sz="0" w:space="0" w:color="auto"/>
        <w:right w:val="none" w:sz="0" w:space="0" w:color="auto"/>
      </w:divBdr>
    </w:div>
    <w:div w:id="932931929">
      <w:bodyDiv w:val="1"/>
      <w:marLeft w:val="0"/>
      <w:marRight w:val="0"/>
      <w:marTop w:val="0"/>
      <w:marBottom w:val="0"/>
      <w:divBdr>
        <w:top w:val="none" w:sz="0" w:space="0" w:color="auto"/>
        <w:left w:val="none" w:sz="0" w:space="0" w:color="auto"/>
        <w:bottom w:val="none" w:sz="0" w:space="0" w:color="auto"/>
        <w:right w:val="none" w:sz="0" w:space="0" w:color="auto"/>
      </w:divBdr>
    </w:div>
    <w:div w:id="1016228298">
      <w:bodyDiv w:val="1"/>
      <w:marLeft w:val="0"/>
      <w:marRight w:val="0"/>
      <w:marTop w:val="0"/>
      <w:marBottom w:val="0"/>
      <w:divBdr>
        <w:top w:val="none" w:sz="0" w:space="0" w:color="auto"/>
        <w:left w:val="none" w:sz="0" w:space="0" w:color="auto"/>
        <w:bottom w:val="none" w:sz="0" w:space="0" w:color="auto"/>
        <w:right w:val="none" w:sz="0" w:space="0" w:color="auto"/>
      </w:divBdr>
    </w:div>
    <w:div w:id="1168250389">
      <w:bodyDiv w:val="1"/>
      <w:marLeft w:val="0"/>
      <w:marRight w:val="0"/>
      <w:marTop w:val="0"/>
      <w:marBottom w:val="0"/>
      <w:divBdr>
        <w:top w:val="none" w:sz="0" w:space="0" w:color="auto"/>
        <w:left w:val="none" w:sz="0" w:space="0" w:color="auto"/>
        <w:bottom w:val="none" w:sz="0" w:space="0" w:color="auto"/>
        <w:right w:val="none" w:sz="0" w:space="0" w:color="auto"/>
      </w:divBdr>
    </w:div>
    <w:div w:id="1186405147">
      <w:bodyDiv w:val="1"/>
      <w:marLeft w:val="0"/>
      <w:marRight w:val="0"/>
      <w:marTop w:val="0"/>
      <w:marBottom w:val="0"/>
      <w:divBdr>
        <w:top w:val="none" w:sz="0" w:space="0" w:color="auto"/>
        <w:left w:val="none" w:sz="0" w:space="0" w:color="auto"/>
        <w:bottom w:val="none" w:sz="0" w:space="0" w:color="auto"/>
        <w:right w:val="none" w:sz="0" w:space="0" w:color="auto"/>
      </w:divBdr>
    </w:div>
    <w:div w:id="1214540989">
      <w:bodyDiv w:val="1"/>
      <w:marLeft w:val="0"/>
      <w:marRight w:val="0"/>
      <w:marTop w:val="0"/>
      <w:marBottom w:val="0"/>
      <w:divBdr>
        <w:top w:val="none" w:sz="0" w:space="0" w:color="auto"/>
        <w:left w:val="none" w:sz="0" w:space="0" w:color="auto"/>
        <w:bottom w:val="none" w:sz="0" w:space="0" w:color="auto"/>
        <w:right w:val="none" w:sz="0" w:space="0" w:color="auto"/>
      </w:divBdr>
    </w:div>
    <w:div w:id="1215583289">
      <w:bodyDiv w:val="1"/>
      <w:marLeft w:val="0"/>
      <w:marRight w:val="0"/>
      <w:marTop w:val="0"/>
      <w:marBottom w:val="0"/>
      <w:divBdr>
        <w:top w:val="none" w:sz="0" w:space="0" w:color="auto"/>
        <w:left w:val="none" w:sz="0" w:space="0" w:color="auto"/>
        <w:bottom w:val="none" w:sz="0" w:space="0" w:color="auto"/>
        <w:right w:val="none" w:sz="0" w:space="0" w:color="auto"/>
      </w:divBdr>
    </w:div>
    <w:div w:id="1345522193">
      <w:bodyDiv w:val="1"/>
      <w:marLeft w:val="0"/>
      <w:marRight w:val="0"/>
      <w:marTop w:val="0"/>
      <w:marBottom w:val="0"/>
      <w:divBdr>
        <w:top w:val="none" w:sz="0" w:space="0" w:color="auto"/>
        <w:left w:val="none" w:sz="0" w:space="0" w:color="auto"/>
        <w:bottom w:val="none" w:sz="0" w:space="0" w:color="auto"/>
        <w:right w:val="none" w:sz="0" w:space="0" w:color="auto"/>
      </w:divBdr>
    </w:div>
    <w:div w:id="1418745762">
      <w:bodyDiv w:val="1"/>
      <w:marLeft w:val="0"/>
      <w:marRight w:val="0"/>
      <w:marTop w:val="0"/>
      <w:marBottom w:val="0"/>
      <w:divBdr>
        <w:top w:val="none" w:sz="0" w:space="0" w:color="auto"/>
        <w:left w:val="none" w:sz="0" w:space="0" w:color="auto"/>
        <w:bottom w:val="none" w:sz="0" w:space="0" w:color="auto"/>
        <w:right w:val="none" w:sz="0" w:space="0" w:color="auto"/>
      </w:divBdr>
    </w:div>
    <w:div w:id="1421758818">
      <w:bodyDiv w:val="1"/>
      <w:marLeft w:val="0"/>
      <w:marRight w:val="0"/>
      <w:marTop w:val="0"/>
      <w:marBottom w:val="0"/>
      <w:divBdr>
        <w:top w:val="none" w:sz="0" w:space="0" w:color="auto"/>
        <w:left w:val="none" w:sz="0" w:space="0" w:color="auto"/>
        <w:bottom w:val="none" w:sz="0" w:space="0" w:color="auto"/>
        <w:right w:val="none" w:sz="0" w:space="0" w:color="auto"/>
      </w:divBdr>
    </w:div>
    <w:div w:id="1438141331">
      <w:bodyDiv w:val="1"/>
      <w:marLeft w:val="0"/>
      <w:marRight w:val="0"/>
      <w:marTop w:val="0"/>
      <w:marBottom w:val="0"/>
      <w:divBdr>
        <w:top w:val="none" w:sz="0" w:space="0" w:color="auto"/>
        <w:left w:val="none" w:sz="0" w:space="0" w:color="auto"/>
        <w:bottom w:val="none" w:sz="0" w:space="0" w:color="auto"/>
        <w:right w:val="none" w:sz="0" w:space="0" w:color="auto"/>
      </w:divBdr>
    </w:div>
    <w:div w:id="1466700545">
      <w:bodyDiv w:val="1"/>
      <w:marLeft w:val="0"/>
      <w:marRight w:val="0"/>
      <w:marTop w:val="0"/>
      <w:marBottom w:val="0"/>
      <w:divBdr>
        <w:top w:val="none" w:sz="0" w:space="0" w:color="auto"/>
        <w:left w:val="none" w:sz="0" w:space="0" w:color="auto"/>
        <w:bottom w:val="none" w:sz="0" w:space="0" w:color="auto"/>
        <w:right w:val="none" w:sz="0" w:space="0" w:color="auto"/>
      </w:divBdr>
    </w:div>
    <w:div w:id="1504856507">
      <w:bodyDiv w:val="1"/>
      <w:marLeft w:val="0"/>
      <w:marRight w:val="0"/>
      <w:marTop w:val="0"/>
      <w:marBottom w:val="0"/>
      <w:divBdr>
        <w:top w:val="none" w:sz="0" w:space="0" w:color="auto"/>
        <w:left w:val="none" w:sz="0" w:space="0" w:color="auto"/>
        <w:bottom w:val="none" w:sz="0" w:space="0" w:color="auto"/>
        <w:right w:val="none" w:sz="0" w:space="0" w:color="auto"/>
      </w:divBdr>
    </w:div>
    <w:div w:id="1520048464">
      <w:bodyDiv w:val="1"/>
      <w:marLeft w:val="0"/>
      <w:marRight w:val="0"/>
      <w:marTop w:val="0"/>
      <w:marBottom w:val="0"/>
      <w:divBdr>
        <w:top w:val="none" w:sz="0" w:space="0" w:color="auto"/>
        <w:left w:val="none" w:sz="0" w:space="0" w:color="auto"/>
        <w:bottom w:val="none" w:sz="0" w:space="0" w:color="auto"/>
        <w:right w:val="none" w:sz="0" w:space="0" w:color="auto"/>
      </w:divBdr>
    </w:div>
    <w:div w:id="1562517048">
      <w:bodyDiv w:val="1"/>
      <w:marLeft w:val="0"/>
      <w:marRight w:val="0"/>
      <w:marTop w:val="0"/>
      <w:marBottom w:val="0"/>
      <w:divBdr>
        <w:top w:val="none" w:sz="0" w:space="0" w:color="auto"/>
        <w:left w:val="none" w:sz="0" w:space="0" w:color="auto"/>
        <w:bottom w:val="none" w:sz="0" w:space="0" w:color="auto"/>
        <w:right w:val="none" w:sz="0" w:space="0" w:color="auto"/>
      </w:divBdr>
    </w:div>
    <w:div w:id="1585798591">
      <w:bodyDiv w:val="1"/>
      <w:marLeft w:val="0"/>
      <w:marRight w:val="0"/>
      <w:marTop w:val="0"/>
      <w:marBottom w:val="0"/>
      <w:divBdr>
        <w:top w:val="none" w:sz="0" w:space="0" w:color="auto"/>
        <w:left w:val="none" w:sz="0" w:space="0" w:color="auto"/>
        <w:bottom w:val="none" w:sz="0" w:space="0" w:color="auto"/>
        <w:right w:val="none" w:sz="0" w:space="0" w:color="auto"/>
      </w:divBdr>
    </w:div>
    <w:div w:id="1647083120">
      <w:bodyDiv w:val="1"/>
      <w:marLeft w:val="0"/>
      <w:marRight w:val="0"/>
      <w:marTop w:val="0"/>
      <w:marBottom w:val="0"/>
      <w:divBdr>
        <w:top w:val="none" w:sz="0" w:space="0" w:color="auto"/>
        <w:left w:val="none" w:sz="0" w:space="0" w:color="auto"/>
        <w:bottom w:val="none" w:sz="0" w:space="0" w:color="auto"/>
        <w:right w:val="none" w:sz="0" w:space="0" w:color="auto"/>
      </w:divBdr>
    </w:div>
    <w:div w:id="1679696951">
      <w:bodyDiv w:val="1"/>
      <w:marLeft w:val="0"/>
      <w:marRight w:val="0"/>
      <w:marTop w:val="0"/>
      <w:marBottom w:val="0"/>
      <w:divBdr>
        <w:top w:val="none" w:sz="0" w:space="0" w:color="auto"/>
        <w:left w:val="none" w:sz="0" w:space="0" w:color="auto"/>
        <w:bottom w:val="none" w:sz="0" w:space="0" w:color="auto"/>
        <w:right w:val="none" w:sz="0" w:space="0" w:color="auto"/>
      </w:divBdr>
    </w:div>
    <w:div w:id="1689988316">
      <w:bodyDiv w:val="1"/>
      <w:marLeft w:val="0"/>
      <w:marRight w:val="0"/>
      <w:marTop w:val="0"/>
      <w:marBottom w:val="0"/>
      <w:divBdr>
        <w:top w:val="none" w:sz="0" w:space="0" w:color="auto"/>
        <w:left w:val="none" w:sz="0" w:space="0" w:color="auto"/>
        <w:bottom w:val="none" w:sz="0" w:space="0" w:color="auto"/>
        <w:right w:val="none" w:sz="0" w:space="0" w:color="auto"/>
      </w:divBdr>
    </w:div>
    <w:div w:id="1704747272">
      <w:bodyDiv w:val="1"/>
      <w:marLeft w:val="0"/>
      <w:marRight w:val="0"/>
      <w:marTop w:val="0"/>
      <w:marBottom w:val="0"/>
      <w:divBdr>
        <w:top w:val="none" w:sz="0" w:space="0" w:color="auto"/>
        <w:left w:val="none" w:sz="0" w:space="0" w:color="auto"/>
        <w:bottom w:val="none" w:sz="0" w:space="0" w:color="auto"/>
        <w:right w:val="none" w:sz="0" w:space="0" w:color="auto"/>
      </w:divBdr>
    </w:div>
    <w:div w:id="1750423222">
      <w:bodyDiv w:val="1"/>
      <w:marLeft w:val="0"/>
      <w:marRight w:val="0"/>
      <w:marTop w:val="0"/>
      <w:marBottom w:val="0"/>
      <w:divBdr>
        <w:top w:val="none" w:sz="0" w:space="0" w:color="auto"/>
        <w:left w:val="none" w:sz="0" w:space="0" w:color="auto"/>
        <w:bottom w:val="none" w:sz="0" w:space="0" w:color="auto"/>
        <w:right w:val="none" w:sz="0" w:space="0" w:color="auto"/>
      </w:divBdr>
    </w:div>
    <w:div w:id="1751661156">
      <w:bodyDiv w:val="1"/>
      <w:marLeft w:val="0"/>
      <w:marRight w:val="0"/>
      <w:marTop w:val="0"/>
      <w:marBottom w:val="0"/>
      <w:divBdr>
        <w:top w:val="none" w:sz="0" w:space="0" w:color="auto"/>
        <w:left w:val="none" w:sz="0" w:space="0" w:color="auto"/>
        <w:bottom w:val="none" w:sz="0" w:space="0" w:color="auto"/>
        <w:right w:val="none" w:sz="0" w:space="0" w:color="auto"/>
      </w:divBdr>
    </w:div>
    <w:div w:id="1771273356">
      <w:bodyDiv w:val="1"/>
      <w:marLeft w:val="0"/>
      <w:marRight w:val="0"/>
      <w:marTop w:val="0"/>
      <w:marBottom w:val="0"/>
      <w:divBdr>
        <w:top w:val="none" w:sz="0" w:space="0" w:color="auto"/>
        <w:left w:val="none" w:sz="0" w:space="0" w:color="auto"/>
        <w:bottom w:val="none" w:sz="0" w:space="0" w:color="auto"/>
        <w:right w:val="none" w:sz="0" w:space="0" w:color="auto"/>
      </w:divBdr>
    </w:div>
    <w:div w:id="1777672889">
      <w:bodyDiv w:val="1"/>
      <w:marLeft w:val="0"/>
      <w:marRight w:val="0"/>
      <w:marTop w:val="0"/>
      <w:marBottom w:val="0"/>
      <w:divBdr>
        <w:top w:val="none" w:sz="0" w:space="0" w:color="auto"/>
        <w:left w:val="none" w:sz="0" w:space="0" w:color="auto"/>
        <w:bottom w:val="none" w:sz="0" w:space="0" w:color="auto"/>
        <w:right w:val="none" w:sz="0" w:space="0" w:color="auto"/>
      </w:divBdr>
    </w:div>
    <w:div w:id="1792431203">
      <w:bodyDiv w:val="1"/>
      <w:marLeft w:val="0"/>
      <w:marRight w:val="0"/>
      <w:marTop w:val="0"/>
      <w:marBottom w:val="0"/>
      <w:divBdr>
        <w:top w:val="none" w:sz="0" w:space="0" w:color="auto"/>
        <w:left w:val="none" w:sz="0" w:space="0" w:color="auto"/>
        <w:bottom w:val="none" w:sz="0" w:space="0" w:color="auto"/>
        <w:right w:val="none" w:sz="0" w:space="0" w:color="auto"/>
      </w:divBdr>
    </w:div>
    <w:div w:id="1906254847">
      <w:bodyDiv w:val="1"/>
      <w:marLeft w:val="0"/>
      <w:marRight w:val="0"/>
      <w:marTop w:val="0"/>
      <w:marBottom w:val="0"/>
      <w:divBdr>
        <w:top w:val="none" w:sz="0" w:space="0" w:color="auto"/>
        <w:left w:val="none" w:sz="0" w:space="0" w:color="auto"/>
        <w:bottom w:val="none" w:sz="0" w:space="0" w:color="auto"/>
        <w:right w:val="none" w:sz="0" w:space="0" w:color="auto"/>
      </w:divBdr>
    </w:div>
    <w:div w:id="2125148791">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 w:id="21377234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1C1338"/>
    <w:rsid w:val="003150BB"/>
    <w:rsid w:val="004A779D"/>
    <w:rsid w:val="00587FB3"/>
    <w:rsid w:val="005F57D8"/>
    <w:rsid w:val="00C00D50"/>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DB26-C514-48AD-9CCF-7E716722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Jablonski</dc:creator>
  <cp:keywords/>
  <dc:description/>
  <cp:lastModifiedBy>Julie Wilson (CCG)</cp:lastModifiedBy>
  <cp:revision>3</cp:revision>
  <cp:lastPrinted>2015-02-05T14:14:00Z</cp:lastPrinted>
  <dcterms:created xsi:type="dcterms:W3CDTF">2020-01-29T13:14:00Z</dcterms:created>
  <dcterms:modified xsi:type="dcterms:W3CDTF">2020-01-29T17:00:00Z</dcterms:modified>
</cp:coreProperties>
</file>