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30A6" w14:textId="7D49ADAD" w:rsidR="007A35A7" w:rsidRDefault="007A35A7" w:rsidP="007A35A7">
      <w:pPr>
        <w:rPr>
          <w:rFonts w:ascii="Arial" w:hAnsi="Arial" w:cs="Arial"/>
        </w:rPr>
      </w:pPr>
      <w:r w:rsidRPr="007A35A7"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</w:p>
    <w:p w14:paraId="22258ED1" w14:textId="15E4ADD6" w:rsidR="007A35A7" w:rsidRDefault="007A35A7" w:rsidP="007A35A7">
      <w:pPr>
        <w:rPr>
          <w:rFonts w:ascii="Arial" w:hAnsi="Arial" w:cs="Arial"/>
        </w:rPr>
      </w:pPr>
    </w:p>
    <w:p w14:paraId="00EDB048" w14:textId="5A463918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 to: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78752904"/>
          <w:placeholder>
            <w:docPart w:val="C8E3F1C1AFDB400C90EA33449E09AFA6"/>
          </w:placeholder>
          <w:text/>
        </w:sdtPr>
        <w:sdtEndPr/>
        <w:sdtContent>
          <w:r w:rsidR="00D060B6">
            <w:rPr>
              <w:rFonts w:ascii="Arial" w:hAnsi="Arial" w:cs="Arial"/>
              <w:b/>
              <w:bCs/>
            </w:rPr>
            <w:t>Primary Care Co-Commissioning Committee</w:t>
          </w:r>
        </w:sdtContent>
      </w:sdt>
    </w:p>
    <w:p w14:paraId="16DEF567" w14:textId="71936866" w:rsidR="00465B88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meeting: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43372577"/>
          <w:placeholder>
            <w:docPart w:val="81713A34ABA3402595EFB98FF1974702"/>
          </w:placeholder>
          <w:date w:fullDate="2020-10-0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060B6">
            <w:rPr>
              <w:rFonts w:ascii="Arial" w:hAnsi="Arial" w:cs="Arial"/>
              <w:b/>
              <w:bCs/>
              <w:lang w:val="en-GB"/>
            </w:rPr>
            <w:t>06/10/2020</w:t>
          </w:r>
        </w:sdtContent>
      </w:sdt>
    </w:p>
    <w:p w14:paraId="5693DC73" w14:textId="6874BC27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paper distributed:</w:t>
      </w:r>
      <w:r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40286743"/>
          <w:placeholder>
            <w:docPart w:val="7727D40B76644512A075B1DBB362B328"/>
          </w:placeholder>
          <w:date w:fullDate="2020-09-23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060B6">
            <w:rPr>
              <w:rFonts w:ascii="Arial" w:hAnsi="Arial" w:cs="Arial"/>
              <w:b/>
              <w:bCs/>
              <w:lang w:val="en-GB"/>
            </w:rPr>
            <w:t>23/09/2020</w:t>
          </w:r>
        </w:sdtContent>
      </w:sdt>
    </w:p>
    <w:p w14:paraId="559C3671" w14:textId="1AD082BF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Subject: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217166332"/>
          <w:placeholder>
            <w:docPart w:val="B2BEDB5797074CA08F74570156FE8720"/>
          </w:placeholder>
          <w:text/>
        </w:sdtPr>
        <w:sdtEndPr/>
        <w:sdtContent>
          <w:r w:rsidR="00D060B6">
            <w:rPr>
              <w:rFonts w:ascii="Arial" w:hAnsi="Arial" w:cs="Arial"/>
              <w:b/>
              <w:bCs/>
            </w:rPr>
            <w:t>Primary Care Commissioning Finance Report</w:t>
          </w:r>
        </w:sdtContent>
      </w:sdt>
    </w:p>
    <w:p w14:paraId="69070772" w14:textId="1415C601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Presented by: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33938557"/>
          <w:placeholder>
            <w:docPart w:val="17DCC51E42DE48BEA42B869E4A8B032A"/>
          </w:placeholder>
          <w:text/>
        </w:sdtPr>
        <w:sdtEndPr/>
        <w:sdtContent>
          <w:r w:rsidR="00D060B6">
            <w:rPr>
              <w:rFonts w:ascii="Arial" w:hAnsi="Arial" w:cs="Arial"/>
              <w:b/>
              <w:bCs/>
            </w:rPr>
            <w:t>Jo Horsfall</w:t>
          </w:r>
        </w:sdtContent>
      </w:sdt>
    </w:p>
    <w:p w14:paraId="50602481" w14:textId="26452AC8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Previously distributed to: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504311521"/>
          <w:placeholder>
            <w:docPart w:val="8067A05DCAA14B36AA4AA6B43430B3A4"/>
          </w:placeholder>
          <w:text/>
        </w:sdtPr>
        <w:sdtEndPr/>
        <w:sdtContent>
          <w:r w:rsidR="00D060B6">
            <w:rPr>
              <w:rFonts w:ascii="Arial" w:hAnsi="Arial" w:cs="Arial"/>
              <w:b/>
              <w:bCs/>
            </w:rPr>
            <w:t>N/A</w:t>
          </w:r>
        </w:sdtContent>
      </w:sdt>
    </w:p>
    <w:p w14:paraId="6C4B6479" w14:textId="235A708B" w:rsidR="007A35A7" w:rsidRDefault="007A35A7" w:rsidP="007A35A7">
      <w:pPr>
        <w:rPr>
          <w:rFonts w:ascii="Arial" w:hAnsi="Arial" w:cs="Arial"/>
          <w:b/>
          <w:bCs/>
        </w:rPr>
      </w:pPr>
    </w:p>
    <w:p w14:paraId="5F9C3E44" w14:textId="58B4EF50" w:rsidR="007A35A7" w:rsidRDefault="007A35A7" w:rsidP="007A35A7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4F1FAE" wp14:editId="1D6411C5">
                <wp:extent cx="7042150" cy="1314450"/>
                <wp:effectExtent l="0" t="0" r="25400" b="1905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436F" w14:textId="56F3AAF8" w:rsidR="007A35A7" w:rsidRPr="00752E3F" w:rsidRDefault="007A35A7" w:rsidP="007A35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</w:rPr>
                              <w:t xml:space="preserve">STATUS OF THE REPORT </w:t>
                            </w:r>
                          </w:p>
                          <w:p w14:paraId="45D0CED1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9B0B6D" w14:textId="24D467FF" w:rsidR="007A35A7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Decision required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45090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125D31" w14:textId="145D362A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 Discussion to give Assurance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63040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D7A0B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1C8DFFBD" w14:textId="6B00A181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For Information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729749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1B72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E98AE76" w14:textId="4466FD9F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Report Exempt from Public Disclosure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8753220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7DA8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No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F1FAE" id="Rectangle 12" o:spid="_x0000_s1026" style="width:554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" strokecolor="black [3213]" strokeweight=".5pt">
                <v:textbox>
                  <w:txbxContent>
                    <w:p w14:paraId="26BD436F" w14:textId="56F3AAF8" w:rsidR="007A35A7" w:rsidRPr="00752E3F" w:rsidRDefault="007A35A7" w:rsidP="007A35A7">
                      <w:pPr>
                        <w:rPr>
                          <w:rFonts w:cstheme="minorHAnsi"/>
                          <w:b/>
                        </w:rPr>
                      </w:pPr>
                      <w:r w:rsidRPr="00752E3F">
                        <w:rPr>
                          <w:rFonts w:cstheme="minorHAnsi"/>
                          <w:b/>
                        </w:rPr>
                        <w:t xml:space="preserve">STATUS OF THE REPORT </w:t>
                      </w:r>
                    </w:p>
                    <w:p w14:paraId="45D0CED1" w14:textId="77777777" w:rsidR="007A35A7" w:rsidRPr="00752E3F" w:rsidRDefault="007A35A7" w:rsidP="007A35A7">
                      <w:pPr>
                        <w:rPr>
                          <w:rFonts w:cstheme="minorHAnsi"/>
                        </w:rPr>
                      </w:pPr>
                    </w:p>
                    <w:p w14:paraId="769B0B6D" w14:textId="24D467FF" w:rsidR="007A35A7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Decision required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345090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35125D31" w14:textId="145D362A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For Discussion to give Assurance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463040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2D7A0B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C8DFFBD" w14:textId="6B00A181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For Information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729749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1B72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</w:p>
                    <w:p w14:paraId="0E98AE76" w14:textId="4466FD9F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Report Exempt from Public Disclosure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08753220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7DA8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No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DB571" w14:textId="77777777" w:rsidR="000575C2" w:rsidRDefault="000575C2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226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8838"/>
      </w:tblGrid>
      <w:tr w:rsidR="003F1101" w:rsidRPr="003F1101" w14:paraId="78A95E75" w14:textId="77777777" w:rsidTr="00BD3CB7">
        <w:trPr>
          <w:trHeight w:val="699"/>
        </w:trPr>
        <w:tc>
          <w:tcPr>
            <w:tcW w:w="2258" w:type="dxa"/>
            <w:shd w:val="clear" w:color="auto" w:fill="767171" w:themeFill="background2" w:themeFillShade="80"/>
          </w:tcPr>
          <w:p w14:paraId="7A39886C" w14:textId="77777777" w:rsidR="003F1101" w:rsidRPr="003F1101" w:rsidRDefault="003F1101" w:rsidP="003F1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101">
              <w:rPr>
                <w:rFonts w:ascii="Arial" w:hAnsi="Arial" w:cs="Arial"/>
                <w:b/>
                <w:color w:val="FFFFFF" w:themeColor="background1"/>
              </w:rPr>
              <w:t>PURPOSE OF REPORT:</w:t>
            </w:r>
          </w:p>
          <w:p w14:paraId="0C3392CB" w14:textId="77777777" w:rsidR="003F1101" w:rsidRPr="003F1101" w:rsidRDefault="003F1101" w:rsidP="003F110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838" w:type="dxa"/>
          </w:tcPr>
          <w:p w14:paraId="31933D74" w14:textId="0A064C4A" w:rsidR="003F1101" w:rsidRPr="003F1101" w:rsidRDefault="005C589E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provide an update on the financial position of the budgets within the scope of Primary Care for both NEL CCG &amp; NELC</w:t>
            </w:r>
          </w:p>
        </w:tc>
      </w:tr>
      <w:tr w:rsidR="003F1101" w:rsidRPr="003F1101" w14:paraId="6854EABB" w14:textId="77777777" w:rsidTr="00BD3CB7">
        <w:trPr>
          <w:trHeight w:val="572"/>
        </w:trPr>
        <w:tc>
          <w:tcPr>
            <w:tcW w:w="2258" w:type="dxa"/>
            <w:shd w:val="clear" w:color="auto" w:fill="767171" w:themeFill="background2" w:themeFillShade="80"/>
          </w:tcPr>
          <w:p w14:paraId="1499AE1C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/>
                <w:sz w:val="22"/>
                <w:szCs w:val="22"/>
              </w:rPr>
            </w:pPr>
            <w:r w:rsidRPr="003F1101">
              <w:rPr>
                <w:b/>
                <w:color w:val="FFFFFF"/>
                <w:sz w:val="22"/>
                <w:szCs w:val="22"/>
              </w:rPr>
              <w:t>Recommendations:</w:t>
            </w:r>
          </w:p>
        </w:tc>
        <w:tc>
          <w:tcPr>
            <w:tcW w:w="8838" w:type="dxa"/>
          </w:tcPr>
          <w:p w14:paraId="66B92889" w14:textId="76028B4A" w:rsidR="005C589E" w:rsidRPr="005C589E" w:rsidRDefault="005C589E" w:rsidP="00BB7DA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note</w:t>
            </w:r>
            <w:r w:rsidR="00BB7DA8">
              <w:rPr>
                <w:b/>
                <w:bCs/>
                <w:sz w:val="22"/>
                <w:szCs w:val="22"/>
              </w:rPr>
              <w:t xml:space="preserve"> t</w:t>
            </w:r>
            <w:r>
              <w:rPr>
                <w:b/>
                <w:bCs/>
                <w:sz w:val="22"/>
                <w:szCs w:val="22"/>
              </w:rPr>
              <w:t xml:space="preserve">he year to date financial position for Primary Care budgets for </w:t>
            </w:r>
            <w:r w:rsidR="00F869EB"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z w:val="22"/>
                <w:szCs w:val="22"/>
              </w:rPr>
              <w:t xml:space="preserve"> period ending 3</w:t>
            </w:r>
            <w:r w:rsidR="00F869EB">
              <w:rPr>
                <w:b/>
                <w:bCs/>
                <w:sz w:val="22"/>
                <w:szCs w:val="22"/>
              </w:rPr>
              <w:t>1st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869EB">
              <w:rPr>
                <w:b/>
                <w:bCs/>
                <w:sz w:val="22"/>
                <w:szCs w:val="22"/>
              </w:rPr>
              <w:t>August</w:t>
            </w:r>
            <w:r>
              <w:rPr>
                <w:b/>
                <w:bCs/>
                <w:sz w:val="22"/>
                <w:szCs w:val="22"/>
              </w:rPr>
              <w:t xml:space="preserve"> 20</w:t>
            </w:r>
          </w:p>
        </w:tc>
      </w:tr>
      <w:tr w:rsidR="003F1101" w:rsidRPr="003F1101" w14:paraId="7C916997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1CBDF568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 xml:space="preserve">Clinical Engagement </w:t>
            </w:r>
          </w:p>
        </w:tc>
        <w:tc>
          <w:tcPr>
            <w:tcW w:w="8838" w:type="dxa"/>
          </w:tcPr>
          <w:p w14:paraId="3E7C58B8" w14:textId="66D0CBFA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14:paraId="43645EB0" w14:textId="3B3CF78C" w:rsidR="003F1101" w:rsidRPr="003F1101" w:rsidRDefault="005C589E" w:rsidP="003F1101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N/A</w:t>
            </w:r>
          </w:p>
        </w:tc>
      </w:tr>
      <w:tr w:rsidR="003F1101" w:rsidRPr="003F1101" w14:paraId="540B16A3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0FDB35A4" w14:textId="11547A76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Patient/Public Engagement</w:t>
            </w:r>
          </w:p>
        </w:tc>
        <w:tc>
          <w:tcPr>
            <w:tcW w:w="8838" w:type="dxa"/>
          </w:tcPr>
          <w:p w14:paraId="48A5E69E" w14:textId="57FAC8B5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  <w:p w14:paraId="67A585CE" w14:textId="42073CFA" w:rsidR="003F1101" w:rsidRPr="003F1101" w:rsidRDefault="005C589E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N/A</w:t>
            </w:r>
          </w:p>
        </w:tc>
      </w:tr>
      <w:tr w:rsidR="003F1101" w:rsidRPr="003F1101" w14:paraId="4CEC7CFF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718CB605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>Committee Process and Assurance:</w:t>
            </w:r>
          </w:p>
        </w:tc>
        <w:tc>
          <w:tcPr>
            <w:tcW w:w="8838" w:type="dxa"/>
          </w:tcPr>
          <w:p w14:paraId="3E2FDADF" w14:textId="594921C2" w:rsidR="003F1101" w:rsidRPr="003F1101" w:rsidRDefault="005C589E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N/A</w:t>
            </w:r>
            <w:r w:rsidR="003F1101" w:rsidRPr="003F1101">
              <w:rPr>
                <w:b/>
                <w:bCs/>
                <w:sz w:val="22"/>
                <w:szCs w:val="22"/>
              </w:rPr>
              <w:t xml:space="preserve">                                                                </w:t>
            </w:r>
          </w:p>
        </w:tc>
      </w:tr>
    </w:tbl>
    <w:p w14:paraId="663D54D7" w14:textId="59ECA993" w:rsidR="003F1101" w:rsidRDefault="003F1101" w:rsidP="007A35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446"/>
        <w:gridCol w:w="567"/>
        <w:gridCol w:w="4253"/>
        <w:gridCol w:w="611"/>
      </w:tblGrid>
      <w:tr w:rsidR="001712C0" w14:paraId="7CF169F8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199441F5" w14:textId="764A7C83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color w:val="FFFFFF" w:themeColor="background1"/>
              </w:rPr>
              <w:t>Link to CCG’s Priorities</w:t>
            </w:r>
          </w:p>
        </w:tc>
        <w:tc>
          <w:tcPr>
            <w:tcW w:w="3446" w:type="dxa"/>
          </w:tcPr>
          <w:p w14:paraId="40DC3613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Sustainable services</w:t>
            </w:r>
          </w:p>
          <w:p w14:paraId="67B3174A" w14:textId="3D4A098A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Empowering people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1304035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80E32" w14:textId="52B6BD3C" w:rsidR="001712C0" w:rsidRDefault="00BB7DA8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7269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5011" w14:textId="30265BB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497F9167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Supporting communities</w:t>
            </w:r>
          </w:p>
          <w:p w14:paraId="4DB98261" w14:textId="2D035985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Fit for purpose organisation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155623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E2AD4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808158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B93C9" w14:textId="4938CB74" w:rsidR="00DE79E3" w:rsidRPr="001712C0" w:rsidRDefault="00BB7DA8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</w:tc>
      </w:tr>
      <w:tr w:rsidR="001712C0" w14:paraId="092650F4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547B5B22" w14:textId="29C58C1C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bCs/>
                <w:color w:val="FFFFFF" w:themeColor="background1"/>
              </w:rPr>
              <w:t>Are there any specific and/or overt risks relating to one or more of the following areas?</w:t>
            </w:r>
          </w:p>
        </w:tc>
        <w:tc>
          <w:tcPr>
            <w:tcW w:w="3446" w:type="dxa"/>
          </w:tcPr>
          <w:p w14:paraId="55172572" w14:textId="663B374D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  <w:p w14:paraId="38F4EA1E" w14:textId="20AE0C31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26722752" w14:textId="3AA86D68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  <w:p w14:paraId="1B6413ED" w14:textId="413DD160" w:rsidR="00DE79E3" w:rsidRPr="001712C0" w:rsidRDefault="00622500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79E3">
              <w:rPr>
                <w:rFonts w:ascii="Arial" w:hAnsi="Arial" w:cs="Arial"/>
              </w:rPr>
              <w:t>quality</w:t>
            </w:r>
            <w:r w:rsidR="007139D0">
              <w:rPr>
                <w:rFonts w:ascii="Arial" w:hAnsi="Arial" w:cs="Arial"/>
              </w:rPr>
              <w:t xml:space="preserve"> analysis </w:t>
            </w:r>
            <w:r w:rsidR="00E22203">
              <w:rPr>
                <w:rFonts w:ascii="Arial" w:hAnsi="Arial" w:cs="Arial"/>
              </w:rPr>
              <w:t>(</w:t>
            </w:r>
            <w:r w:rsidR="007139D0">
              <w:rPr>
                <w:rFonts w:ascii="Arial" w:hAnsi="Arial" w:cs="Arial"/>
              </w:rPr>
              <w:t>and Due Regard Duty)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82108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3DC5E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5361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A6376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5887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AAD58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4394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2624" w14:textId="6FCFAC0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660E5885" w14:textId="77777777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</w:p>
          <w:p w14:paraId="3B20BA69" w14:textId="0F4F195E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14:paraId="358D1203" w14:textId="740489C9" w:rsidR="00DE79E3" w:rsidRP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36567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79ED7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151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A19D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030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DC3F" w14:textId="5C172A3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73254B3" w14:textId="10E8513D" w:rsidR="003F1101" w:rsidRDefault="003F1101" w:rsidP="007A35A7">
      <w:pPr>
        <w:rPr>
          <w:rFonts w:ascii="Arial" w:hAnsi="Arial" w:cs="Arial"/>
        </w:rPr>
      </w:pPr>
    </w:p>
    <w:p w14:paraId="5F1BEBDD" w14:textId="1AF3B3F4" w:rsidR="007A35A7" w:rsidRPr="00481002" w:rsidRDefault="009D2B9B" w:rsidP="007A35A7">
      <w:pPr>
        <w:rPr>
          <w:rFonts w:ascii="Arial" w:hAnsi="Arial" w:cs="Arial"/>
          <w:b/>
          <w:bCs/>
        </w:rPr>
      </w:pPr>
      <w:r w:rsidRPr="00481002">
        <w:rPr>
          <w:rFonts w:ascii="Arial" w:hAnsi="Arial" w:cs="Arial"/>
          <w:b/>
          <w:bCs/>
        </w:rPr>
        <w:t>Provide a summary of the identified risk</w:t>
      </w:r>
    </w:p>
    <w:tbl>
      <w:tblPr>
        <w:tblStyle w:val="TableGrid"/>
        <w:tblpPr w:leftFromText="180" w:rightFromText="180" w:vertAnchor="text" w:horzAnchor="margin" w:tblpY="226"/>
        <w:tblW w:w="0" w:type="auto"/>
        <w:tblBorders>
          <w:bottom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5C589E" w14:paraId="4E2B3321" w14:textId="77777777" w:rsidTr="005C589E">
        <w:trPr>
          <w:trHeight w:val="1692"/>
        </w:trPr>
        <w:tc>
          <w:tcPr>
            <w:tcW w:w="11096" w:type="dxa"/>
          </w:tcPr>
          <w:p w14:paraId="1E376505" w14:textId="6C6FC928" w:rsidR="005C589E" w:rsidRDefault="00BB7DA8" w:rsidP="005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69BA315F" w14:textId="2704FC9A" w:rsidR="005C589E" w:rsidRDefault="005C589E" w:rsidP="007A35A7">
      <w:pPr>
        <w:rPr>
          <w:rFonts w:ascii="Arial" w:hAnsi="Arial" w:cs="Arial"/>
          <w:b/>
          <w:bCs/>
        </w:rPr>
      </w:pPr>
    </w:p>
    <w:p w14:paraId="0DE5002F" w14:textId="3F889C59" w:rsidR="00BB7DA8" w:rsidRDefault="00BB7DA8" w:rsidP="005C589E">
      <w:pPr>
        <w:pStyle w:val="Defaul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Executive Summary</w:t>
      </w:r>
    </w:p>
    <w:p w14:paraId="215BE5B2" w14:textId="5FD91FB9" w:rsidR="005C589E" w:rsidRDefault="005C589E" w:rsidP="005C589E">
      <w:pPr>
        <w:pStyle w:val="Default"/>
        <w:jc w:val="both"/>
        <w:rPr>
          <w:b/>
          <w:sz w:val="22"/>
          <w:szCs w:val="22"/>
          <w:u w:val="single"/>
        </w:rPr>
      </w:pPr>
    </w:p>
    <w:p w14:paraId="152FA18F" w14:textId="61931AD6" w:rsidR="00BA5D5A" w:rsidRDefault="00F9181E" w:rsidP="00F918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The finance regime for the</w:t>
      </w:r>
      <w:r w:rsidR="00BA5D5A">
        <w:rPr>
          <w:sz w:val="22"/>
          <w:szCs w:val="22"/>
        </w:rPr>
        <w:t xml:space="preserve"> </w:t>
      </w:r>
      <w:r>
        <w:rPr>
          <w:sz w:val="22"/>
          <w:szCs w:val="22"/>
        </w:rPr>
        <w:t>period covering August to September has remained the same as that adopted for the first 4 months of the year</w:t>
      </w:r>
      <w:r w:rsidR="001B287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BA5D5A">
        <w:rPr>
          <w:sz w:val="22"/>
          <w:szCs w:val="22"/>
        </w:rPr>
        <w:t>The M5 and M6 budgets were again mandated by NHSE</w:t>
      </w:r>
      <w:r>
        <w:rPr>
          <w:sz w:val="22"/>
          <w:szCs w:val="22"/>
        </w:rPr>
        <w:t xml:space="preserve"> </w:t>
      </w:r>
      <w:r w:rsidR="00BA5D5A">
        <w:rPr>
          <w:sz w:val="22"/>
          <w:szCs w:val="22"/>
        </w:rPr>
        <w:t xml:space="preserve">and we will </w:t>
      </w:r>
      <w:r>
        <w:rPr>
          <w:sz w:val="22"/>
          <w:szCs w:val="22"/>
        </w:rPr>
        <w:t>continu</w:t>
      </w:r>
      <w:r w:rsidR="00BA5D5A">
        <w:rPr>
          <w:sz w:val="22"/>
          <w:szCs w:val="22"/>
        </w:rPr>
        <w:t>e</w:t>
      </w:r>
      <w:r>
        <w:rPr>
          <w:sz w:val="22"/>
          <w:szCs w:val="22"/>
        </w:rPr>
        <w:t xml:space="preserve"> to receive allocation adjustments</w:t>
      </w:r>
      <w:r w:rsidR="00BA5D5A">
        <w:rPr>
          <w:sz w:val="22"/>
          <w:szCs w:val="22"/>
        </w:rPr>
        <w:t xml:space="preserve"> equal to the overall year to date variance so that CCG’s report a breakeven position during this period.  </w:t>
      </w:r>
    </w:p>
    <w:p w14:paraId="74C7F4F4" w14:textId="071401FF" w:rsidR="00BA5D5A" w:rsidRDefault="00BA5D5A" w:rsidP="00F9181E">
      <w:pPr>
        <w:pStyle w:val="Default"/>
        <w:jc w:val="both"/>
        <w:rPr>
          <w:sz w:val="22"/>
          <w:szCs w:val="22"/>
        </w:rPr>
      </w:pPr>
    </w:p>
    <w:p w14:paraId="0E88A0F2" w14:textId="3A5D8AFA" w:rsidR="00F9181E" w:rsidRDefault="00DB6FBE" w:rsidP="00F918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We have recently received details of our M7-M12 allocation which we are currently in the process of working through to understand the implications of the overall funding envelope.</w:t>
      </w:r>
      <w:r w:rsidR="00DB4920">
        <w:rPr>
          <w:sz w:val="22"/>
          <w:szCs w:val="22"/>
        </w:rPr>
        <w:t xml:space="preserve">  The deadline for completion of this work is 5</w:t>
      </w:r>
      <w:r w:rsidR="00DB4920" w:rsidRPr="00DB4920">
        <w:rPr>
          <w:sz w:val="22"/>
          <w:szCs w:val="22"/>
          <w:vertAlign w:val="superscript"/>
        </w:rPr>
        <w:t>th</w:t>
      </w:r>
      <w:r w:rsidR="00DB4920">
        <w:rPr>
          <w:sz w:val="22"/>
          <w:szCs w:val="22"/>
        </w:rPr>
        <w:t xml:space="preserve"> October, an update will be provided </w:t>
      </w:r>
      <w:r w:rsidR="0071521B">
        <w:rPr>
          <w:sz w:val="22"/>
          <w:szCs w:val="22"/>
        </w:rPr>
        <w:t>for</w:t>
      </w:r>
      <w:r w:rsidR="00DB4920">
        <w:rPr>
          <w:sz w:val="22"/>
          <w:szCs w:val="22"/>
        </w:rPr>
        <w:t xml:space="preserve"> the next committee meeting.</w:t>
      </w:r>
    </w:p>
    <w:p w14:paraId="6C302858" w14:textId="77777777" w:rsidR="00F9181E" w:rsidRPr="005C589E" w:rsidRDefault="00F9181E" w:rsidP="005C589E">
      <w:pPr>
        <w:pStyle w:val="Default"/>
        <w:jc w:val="both"/>
        <w:rPr>
          <w:b/>
          <w:sz w:val="22"/>
          <w:szCs w:val="22"/>
          <w:u w:val="single"/>
        </w:rPr>
      </w:pPr>
    </w:p>
    <w:p w14:paraId="6DB400BF" w14:textId="3100E702" w:rsidR="005C589E" w:rsidRDefault="005C589E" w:rsidP="005C589E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5C589E">
        <w:rPr>
          <w:b/>
          <w:bCs/>
          <w:sz w:val="22"/>
          <w:szCs w:val="22"/>
          <w:u w:val="single"/>
        </w:rPr>
        <w:t>Co-commissioning budgets</w:t>
      </w:r>
    </w:p>
    <w:p w14:paraId="0AAAF8C5" w14:textId="5C164427" w:rsidR="000949D1" w:rsidRDefault="000949D1" w:rsidP="005C589E">
      <w:pPr>
        <w:pStyle w:val="Default"/>
        <w:jc w:val="both"/>
        <w:rPr>
          <w:b/>
          <w:bCs/>
          <w:sz w:val="22"/>
          <w:szCs w:val="22"/>
          <w:u w:val="single"/>
        </w:rPr>
      </w:pPr>
    </w:p>
    <w:p w14:paraId="34152851" w14:textId="77777777" w:rsidR="000949D1" w:rsidRPr="005C589E" w:rsidRDefault="000949D1" w:rsidP="000949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revised format has been adopted for the report this month to better reflect the current financial arrangements in place.</w:t>
      </w:r>
    </w:p>
    <w:p w14:paraId="5D417AE9" w14:textId="77777777" w:rsidR="000949D1" w:rsidRDefault="000949D1" w:rsidP="005C589E">
      <w:pPr>
        <w:pStyle w:val="Default"/>
        <w:jc w:val="both"/>
        <w:rPr>
          <w:b/>
          <w:bCs/>
          <w:sz w:val="22"/>
          <w:szCs w:val="22"/>
          <w:u w:val="single"/>
        </w:rPr>
      </w:pPr>
    </w:p>
    <w:p w14:paraId="7C9674D1" w14:textId="7781EBD2" w:rsidR="00DB4920" w:rsidRDefault="00DB4920" w:rsidP="005C589E">
      <w:pPr>
        <w:pStyle w:val="Default"/>
        <w:jc w:val="both"/>
        <w:rPr>
          <w:sz w:val="22"/>
          <w:szCs w:val="22"/>
          <w:u w:val="single"/>
        </w:rPr>
      </w:pPr>
      <w:r w:rsidRPr="00DB4920">
        <w:rPr>
          <w:sz w:val="22"/>
          <w:szCs w:val="22"/>
          <w:u w:val="single"/>
        </w:rPr>
        <w:t>M1-M5 Finance Summary</w:t>
      </w:r>
    </w:p>
    <w:p w14:paraId="4E40D146" w14:textId="27A9392E" w:rsidR="00DB4920" w:rsidRDefault="00DB4920" w:rsidP="005C589E">
      <w:pPr>
        <w:pStyle w:val="Default"/>
        <w:jc w:val="both"/>
        <w:rPr>
          <w:sz w:val="22"/>
          <w:szCs w:val="22"/>
          <w:u w:val="single"/>
        </w:rPr>
      </w:pPr>
    </w:p>
    <w:tbl>
      <w:tblPr>
        <w:tblW w:w="7057" w:type="dxa"/>
        <w:tblLook w:val="04A0" w:firstRow="1" w:lastRow="0" w:firstColumn="1" w:lastColumn="0" w:noHBand="0" w:noVBand="1"/>
      </w:tblPr>
      <w:tblGrid>
        <w:gridCol w:w="4993"/>
        <w:gridCol w:w="1032"/>
        <w:gridCol w:w="1032"/>
      </w:tblGrid>
      <w:tr w:rsidR="000949D1" w:rsidRPr="000949D1" w14:paraId="25520318" w14:textId="77777777" w:rsidTr="006B05F8">
        <w:trPr>
          <w:trHeight w:val="243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4B26" w14:textId="77777777" w:rsidR="000949D1" w:rsidRPr="000949D1" w:rsidRDefault="000949D1" w:rsidP="000949D1">
            <w:pPr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  <w:t>Allocation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E791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  <w:t>£'000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7BC5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  <w:t>£'000</w:t>
            </w:r>
          </w:p>
        </w:tc>
      </w:tr>
      <w:tr w:rsidR="000949D1" w:rsidRPr="000949D1" w14:paraId="743EE0F5" w14:textId="77777777" w:rsidTr="006B05F8">
        <w:trPr>
          <w:trHeight w:val="243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70FB" w14:textId="77777777" w:rsidR="000949D1" w:rsidRPr="000949D1" w:rsidRDefault="000949D1" w:rsidP="000949D1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lang w:val="en-GB" w:eastAsia="en-GB"/>
              </w:rPr>
              <w:t>Mandated allocation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2F09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lang w:val="en-GB" w:eastAsia="en-GB"/>
              </w:rPr>
              <w:t>11,798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7503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0949D1" w:rsidRPr="000949D1" w14:paraId="565D99D2" w14:textId="77777777" w:rsidTr="006B05F8">
        <w:trPr>
          <w:trHeight w:val="243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145C" w14:textId="77777777" w:rsidR="000949D1" w:rsidRPr="000949D1" w:rsidRDefault="000949D1" w:rsidP="000949D1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lang w:val="en-GB" w:eastAsia="en-GB"/>
              </w:rPr>
              <w:t>Retro adjustment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2EB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lang w:val="en-GB" w:eastAsia="en-GB"/>
              </w:rPr>
              <w:t>-257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0E83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0949D1" w:rsidRPr="000949D1" w14:paraId="635984D4" w14:textId="77777777" w:rsidTr="006B05F8">
        <w:trPr>
          <w:trHeight w:val="243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EC26" w14:textId="77777777" w:rsidR="000949D1" w:rsidRPr="000949D1" w:rsidRDefault="000949D1" w:rsidP="000949D1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45FF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1976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lang w:val="en-GB" w:eastAsia="en-GB"/>
              </w:rPr>
              <w:t>11,541</w:t>
            </w:r>
          </w:p>
        </w:tc>
      </w:tr>
      <w:tr w:rsidR="000949D1" w:rsidRPr="000949D1" w14:paraId="3B7D73D5" w14:textId="77777777" w:rsidTr="006B05F8">
        <w:trPr>
          <w:trHeight w:val="243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A55C" w14:textId="77777777" w:rsidR="000949D1" w:rsidRPr="000949D1" w:rsidRDefault="000949D1" w:rsidP="000949D1">
            <w:pPr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  <w:t>Expenditure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9AD4A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9B4E3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lang w:val="en-GB" w:eastAsia="en-GB"/>
              </w:rPr>
              <w:t>-11,493</w:t>
            </w:r>
          </w:p>
        </w:tc>
      </w:tr>
      <w:tr w:rsidR="000949D1" w:rsidRPr="000949D1" w14:paraId="7550E948" w14:textId="77777777" w:rsidTr="006B05F8">
        <w:trPr>
          <w:trHeight w:val="243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8686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9BD8" w14:textId="77777777" w:rsidR="000949D1" w:rsidRPr="000949D1" w:rsidRDefault="000949D1" w:rsidP="000949D1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8D27" w14:textId="77777777" w:rsidR="000949D1" w:rsidRPr="000949D1" w:rsidRDefault="000949D1" w:rsidP="000949D1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0949D1" w:rsidRPr="000949D1" w14:paraId="5D0509BC" w14:textId="77777777" w:rsidTr="006B05F8">
        <w:trPr>
          <w:trHeight w:val="255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6060" w14:textId="77777777" w:rsidR="000949D1" w:rsidRPr="000949D1" w:rsidRDefault="000949D1" w:rsidP="000949D1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lang w:val="en-GB" w:eastAsia="en-GB"/>
              </w:rPr>
              <w:t>Year to date underspend as at M5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0809" w14:textId="77777777" w:rsidR="000949D1" w:rsidRPr="000949D1" w:rsidRDefault="000949D1" w:rsidP="000949D1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90DD8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lang w:val="en-GB" w:eastAsia="en-GB"/>
              </w:rPr>
              <w:t>48</w:t>
            </w:r>
          </w:p>
        </w:tc>
      </w:tr>
      <w:tr w:rsidR="000949D1" w:rsidRPr="000949D1" w14:paraId="38A65B7D" w14:textId="77777777" w:rsidTr="006B05F8">
        <w:trPr>
          <w:trHeight w:val="243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4B36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2F43" w14:textId="77777777" w:rsidR="000949D1" w:rsidRPr="000949D1" w:rsidRDefault="000949D1" w:rsidP="000949D1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CC3F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0949D1" w:rsidRPr="000949D1" w14:paraId="1584D134" w14:textId="77777777" w:rsidTr="006B05F8">
        <w:trPr>
          <w:trHeight w:val="243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92A4" w14:textId="77777777" w:rsidR="000949D1" w:rsidRPr="000949D1" w:rsidRDefault="000949D1" w:rsidP="000949D1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lang w:val="en-GB" w:eastAsia="en-GB"/>
              </w:rPr>
              <w:t>Allocation adjustment due the following month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7B50" w14:textId="77777777" w:rsidR="000949D1" w:rsidRPr="000949D1" w:rsidRDefault="000949D1" w:rsidP="000949D1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8ED1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color w:val="000000"/>
                <w:lang w:val="en-GB" w:eastAsia="en-GB"/>
              </w:rPr>
              <w:t>-48</w:t>
            </w:r>
          </w:p>
        </w:tc>
      </w:tr>
      <w:tr w:rsidR="000949D1" w:rsidRPr="000949D1" w14:paraId="6B99A9B9" w14:textId="77777777" w:rsidTr="006B05F8">
        <w:trPr>
          <w:trHeight w:val="243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733C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993D" w14:textId="77777777" w:rsidR="000949D1" w:rsidRPr="000949D1" w:rsidRDefault="000949D1" w:rsidP="000949D1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E34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0949D1" w:rsidRPr="000949D1" w14:paraId="2DEAF68C" w14:textId="77777777" w:rsidTr="006B05F8">
        <w:trPr>
          <w:trHeight w:val="255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1E30" w14:textId="77777777" w:rsidR="000949D1" w:rsidRPr="000949D1" w:rsidRDefault="000949D1" w:rsidP="000949D1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In year operating position (breakeven)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D435" w14:textId="77777777" w:rsidR="000949D1" w:rsidRPr="000949D1" w:rsidRDefault="000949D1" w:rsidP="000949D1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CB4A5" w14:textId="77777777" w:rsidR="000949D1" w:rsidRPr="000949D1" w:rsidRDefault="000949D1" w:rsidP="000949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0949D1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0</w:t>
            </w:r>
          </w:p>
        </w:tc>
      </w:tr>
    </w:tbl>
    <w:p w14:paraId="52320E8B" w14:textId="77777777" w:rsidR="00DB4920" w:rsidRPr="00DB4920" w:rsidRDefault="00DB4920" w:rsidP="005C589E">
      <w:pPr>
        <w:pStyle w:val="Default"/>
        <w:jc w:val="both"/>
        <w:rPr>
          <w:sz w:val="22"/>
          <w:szCs w:val="22"/>
        </w:rPr>
      </w:pPr>
    </w:p>
    <w:p w14:paraId="6FFF4611" w14:textId="7A5BE126" w:rsidR="000949D1" w:rsidRDefault="000949D1" w:rsidP="005C58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Due to the current regime, the above shows that the mandated budget </w:t>
      </w:r>
      <w:r w:rsidR="00F65ABE">
        <w:rPr>
          <w:sz w:val="22"/>
          <w:szCs w:val="22"/>
        </w:rPr>
        <w:t>had been</w:t>
      </w:r>
      <w:r>
        <w:rPr>
          <w:sz w:val="22"/>
          <w:szCs w:val="22"/>
        </w:rPr>
        <w:t xml:space="preserve"> higher than </w:t>
      </w:r>
      <w:r w:rsidR="00F65ABE">
        <w:rPr>
          <w:sz w:val="22"/>
          <w:szCs w:val="22"/>
        </w:rPr>
        <w:t>required</w:t>
      </w:r>
      <w:r>
        <w:rPr>
          <w:sz w:val="22"/>
          <w:szCs w:val="22"/>
        </w:rPr>
        <w:t xml:space="preserve">, as highlighted within the last finance report.  The retro adjustments have been processed to bring </w:t>
      </w:r>
      <w:r w:rsidR="0071521B">
        <w:rPr>
          <w:sz w:val="22"/>
          <w:szCs w:val="22"/>
        </w:rPr>
        <w:t>the variance</w:t>
      </w:r>
      <w:r>
        <w:rPr>
          <w:sz w:val="22"/>
          <w:szCs w:val="22"/>
        </w:rPr>
        <w:t xml:space="preserve"> back to</w:t>
      </w:r>
      <w:r w:rsidR="0071521B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breakeven</w:t>
      </w:r>
      <w:r w:rsidR="0071521B">
        <w:rPr>
          <w:sz w:val="22"/>
          <w:szCs w:val="22"/>
        </w:rPr>
        <w:t xml:space="preserve"> position</w:t>
      </w:r>
      <w:r>
        <w:rPr>
          <w:sz w:val="22"/>
          <w:szCs w:val="22"/>
        </w:rPr>
        <w:t>.</w:t>
      </w:r>
    </w:p>
    <w:p w14:paraId="746D3837" w14:textId="5B69523B" w:rsidR="00BA5D5A" w:rsidRPr="00BA5D5A" w:rsidRDefault="000949D1" w:rsidP="005C58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There have not been any significant changes in the level of spend from the last finance report.</w:t>
      </w:r>
    </w:p>
    <w:p w14:paraId="28E06744" w14:textId="77777777" w:rsidR="005C589E" w:rsidRPr="005C589E" w:rsidRDefault="005C589E" w:rsidP="005C589E">
      <w:pPr>
        <w:pStyle w:val="Default"/>
        <w:jc w:val="both"/>
        <w:rPr>
          <w:sz w:val="22"/>
          <w:szCs w:val="22"/>
        </w:rPr>
      </w:pPr>
    </w:p>
    <w:p w14:paraId="41052226" w14:textId="26F4FF33" w:rsidR="005C589E" w:rsidRDefault="005C589E" w:rsidP="005C589E">
      <w:pPr>
        <w:rPr>
          <w:rFonts w:ascii="Arial" w:eastAsia="MS Mincho" w:hAnsi="Arial" w:cs="Arial"/>
          <w:b/>
          <w:color w:val="000000"/>
          <w:u w:val="single"/>
          <w:lang w:eastAsia="en-GB"/>
        </w:rPr>
      </w:pPr>
      <w:r w:rsidRPr="005C589E">
        <w:rPr>
          <w:rFonts w:ascii="Arial" w:eastAsia="MS Mincho" w:hAnsi="Arial" w:cs="Arial"/>
          <w:b/>
          <w:color w:val="000000"/>
          <w:u w:val="single"/>
          <w:lang w:eastAsia="en-GB"/>
        </w:rPr>
        <w:t>Core Primary Care budgets</w:t>
      </w:r>
    </w:p>
    <w:p w14:paraId="1FEF184D" w14:textId="32841478" w:rsidR="00F65ABE" w:rsidRDefault="00F65ABE" w:rsidP="005C589E">
      <w:pPr>
        <w:rPr>
          <w:rFonts w:ascii="Arial" w:eastAsia="MS Mincho" w:hAnsi="Arial" w:cs="Arial"/>
          <w:b/>
          <w:color w:val="000000"/>
          <w:u w:val="single"/>
          <w:lang w:eastAsia="en-GB"/>
        </w:rPr>
      </w:pPr>
    </w:p>
    <w:p w14:paraId="2DA1DCE5" w14:textId="77777777" w:rsidR="00F65ABE" w:rsidRDefault="00F65ABE" w:rsidP="00F65ABE">
      <w:pPr>
        <w:pStyle w:val="Default"/>
        <w:jc w:val="both"/>
        <w:rPr>
          <w:sz w:val="22"/>
          <w:szCs w:val="22"/>
          <w:u w:val="single"/>
        </w:rPr>
      </w:pPr>
      <w:r w:rsidRPr="00DB4920">
        <w:rPr>
          <w:sz w:val="22"/>
          <w:szCs w:val="22"/>
          <w:u w:val="single"/>
        </w:rPr>
        <w:t>M1-M5 Finance Summary</w:t>
      </w:r>
    </w:p>
    <w:p w14:paraId="101218E9" w14:textId="35A41A41" w:rsidR="00F65ABE" w:rsidRDefault="00F65ABE" w:rsidP="005C589E">
      <w:pPr>
        <w:rPr>
          <w:rFonts w:ascii="Arial" w:eastAsia="MS Mincho" w:hAnsi="Arial" w:cs="Arial"/>
          <w:b/>
          <w:color w:val="000000"/>
          <w:u w:val="single"/>
          <w:lang w:eastAsia="en-GB"/>
        </w:rPr>
      </w:pPr>
    </w:p>
    <w:tbl>
      <w:tblPr>
        <w:tblW w:w="7142" w:type="dxa"/>
        <w:tblLook w:val="04A0" w:firstRow="1" w:lastRow="0" w:firstColumn="1" w:lastColumn="0" w:noHBand="0" w:noVBand="1"/>
      </w:tblPr>
      <w:tblGrid>
        <w:gridCol w:w="5054"/>
        <w:gridCol w:w="1044"/>
        <w:gridCol w:w="1044"/>
      </w:tblGrid>
      <w:tr w:rsidR="00857399" w:rsidRPr="00857399" w14:paraId="3F61186B" w14:textId="77777777" w:rsidTr="006B05F8">
        <w:trPr>
          <w:trHeight w:val="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AA7" w14:textId="77777777" w:rsidR="00857399" w:rsidRPr="00857399" w:rsidRDefault="00857399" w:rsidP="00857399">
            <w:pPr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  <w:t>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E029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  <w:t>£'000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2DCE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  <w:t>£'000</w:t>
            </w:r>
          </w:p>
        </w:tc>
      </w:tr>
      <w:tr w:rsidR="00857399" w:rsidRPr="00857399" w14:paraId="08A85F5A" w14:textId="77777777" w:rsidTr="006B05F8">
        <w:trPr>
          <w:trHeight w:val="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9FF5" w14:textId="77777777" w:rsidR="00857399" w:rsidRPr="00857399" w:rsidRDefault="00857399" w:rsidP="00857399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lang w:val="en-GB" w:eastAsia="en-GB"/>
              </w:rPr>
              <w:t>Mandated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40BD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lang w:val="en-GB" w:eastAsia="en-GB"/>
              </w:rPr>
              <w:t>3,234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581F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57399" w:rsidRPr="00857399" w14:paraId="24DE50F4" w14:textId="77777777" w:rsidTr="006B05F8">
        <w:trPr>
          <w:trHeight w:val="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BB1D" w14:textId="77777777" w:rsidR="00857399" w:rsidRPr="00857399" w:rsidRDefault="00857399" w:rsidP="00857399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lang w:val="en-GB" w:eastAsia="en-GB"/>
              </w:rPr>
              <w:t>Retro adjustment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22F2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lang w:val="en-GB" w:eastAsia="en-GB"/>
              </w:rPr>
              <w:t>-172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ED4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857399" w:rsidRPr="00857399" w14:paraId="6E1B6E02" w14:textId="77777777" w:rsidTr="006B05F8">
        <w:trPr>
          <w:trHeight w:val="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76E1" w14:textId="77777777" w:rsidR="00857399" w:rsidRPr="00857399" w:rsidRDefault="00857399" w:rsidP="00857399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9891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ABD9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lang w:val="en-GB" w:eastAsia="en-GB"/>
              </w:rPr>
              <w:t>3,062</w:t>
            </w:r>
          </w:p>
        </w:tc>
      </w:tr>
      <w:tr w:rsidR="00857399" w:rsidRPr="00857399" w14:paraId="44CCB1E4" w14:textId="77777777" w:rsidTr="006B05F8">
        <w:trPr>
          <w:trHeight w:val="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3C30" w14:textId="77777777" w:rsidR="00857399" w:rsidRPr="00857399" w:rsidRDefault="00857399" w:rsidP="00857399">
            <w:pPr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  <w:t>Expenditure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C1D9" w14:textId="77777777" w:rsidR="00857399" w:rsidRPr="00857399" w:rsidRDefault="00857399" w:rsidP="00857399">
            <w:pPr>
              <w:rPr>
                <w:rFonts w:ascii="Arial" w:eastAsia="Times New Roman" w:hAnsi="Arial" w:cs="Arial"/>
                <w:color w:val="000000"/>
                <w:u w:val="single"/>
                <w:lang w:val="en-GB"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7573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lang w:val="en-GB" w:eastAsia="en-GB"/>
              </w:rPr>
              <w:t>-3,188</w:t>
            </w:r>
          </w:p>
        </w:tc>
      </w:tr>
      <w:tr w:rsidR="00857399" w:rsidRPr="00857399" w14:paraId="7B69F1DF" w14:textId="77777777" w:rsidTr="006B05F8">
        <w:trPr>
          <w:trHeight w:val="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4DFE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0522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A691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857399" w:rsidRPr="00857399" w14:paraId="2B7C3900" w14:textId="77777777" w:rsidTr="006B05F8">
        <w:trPr>
          <w:trHeight w:val="301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F91D" w14:textId="77777777" w:rsidR="00857399" w:rsidRPr="00857399" w:rsidRDefault="00857399" w:rsidP="00857399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lang w:val="en-GB" w:eastAsia="en-GB"/>
              </w:rPr>
              <w:t>Year to date overspend as at M5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62D" w14:textId="77777777" w:rsidR="00857399" w:rsidRPr="00857399" w:rsidRDefault="00857399" w:rsidP="00857399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0E19D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lang w:val="en-GB" w:eastAsia="en-GB"/>
              </w:rPr>
              <w:t>-126</w:t>
            </w:r>
          </w:p>
        </w:tc>
      </w:tr>
      <w:tr w:rsidR="00857399" w:rsidRPr="00857399" w14:paraId="1F6AAE5B" w14:textId="77777777" w:rsidTr="006B05F8">
        <w:trPr>
          <w:trHeight w:val="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7D4E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FE0A" w14:textId="77777777" w:rsidR="00857399" w:rsidRPr="00857399" w:rsidRDefault="00857399" w:rsidP="00857399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A444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857399" w:rsidRPr="00857399" w14:paraId="419B2E09" w14:textId="77777777" w:rsidTr="006B05F8">
        <w:trPr>
          <w:trHeight w:val="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90E1" w14:textId="77777777" w:rsidR="00857399" w:rsidRPr="00857399" w:rsidRDefault="00857399" w:rsidP="00857399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lang w:val="en-GB" w:eastAsia="en-GB"/>
              </w:rPr>
              <w:t>Allocation adjustment due the following month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DF1" w14:textId="77777777" w:rsidR="00857399" w:rsidRPr="00857399" w:rsidRDefault="00857399" w:rsidP="00857399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071A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color w:val="000000"/>
                <w:lang w:val="en-GB" w:eastAsia="en-GB"/>
              </w:rPr>
              <w:t>126</w:t>
            </w:r>
          </w:p>
        </w:tc>
      </w:tr>
      <w:tr w:rsidR="00857399" w:rsidRPr="00857399" w14:paraId="2DC22943" w14:textId="77777777" w:rsidTr="006B05F8">
        <w:trPr>
          <w:trHeight w:val="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F4F2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D468" w14:textId="77777777" w:rsidR="00857399" w:rsidRPr="00857399" w:rsidRDefault="00857399" w:rsidP="00857399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9A95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857399" w:rsidRPr="00857399" w14:paraId="079581ED" w14:textId="77777777" w:rsidTr="006B05F8">
        <w:trPr>
          <w:trHeight w:val="301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AEBC" w14:textId="77777777" w:rsidR="00857399" w:rsidRPr="00857399" w:rsidRDefault="00857399" w:rsidP="00857399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In year operating position (breakeven)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0909" w14:textId="77777777" w:rsidR="00857399" w:rsidRPr="00857399" w:rsidRDefault="00857399" w:rsidP="00857399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07495" w14:textId="77777777" w:rsidR="00857399" w:rsidRPr="00857399" w:rsidRDefault="00857399" w:rsidP="008573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85739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0</w:t>
            </w:r>
          </w:p>
        </w:tc>
      </w:tr>
    </w:tbl>
    <w:p w14:paraId="08BC7B4B" w14:textId="77777777" w:rsidR="00857399" w:rsidRDefault="00857399" w:rsidP="005C589E">
      <w:pPr>
        <w:rPr>
          <w:rFonts w:ascii="Arial" w:eastAsia="MS Mincho" w:hAnsi="Arial" w:cs="Arial"/>
          <w:bCs/>
          <w:color w:val="000000"/>
          <w:lang w:eastAsia="en-GB"/>
        </w:rPr>
      </w:pPr>
    </w:p>
    <w:p w14:paraId="65494AEE" w14:textId="21E7E6EA" w:rsidR="00857399" w:rsidRDefault="00857399" w:rsidP="005C589E">
      <w:pPr>
        <w:rPr>
          <w:rFonts w:ascii="Arial" w:eastAsia="MS Mincho" w:hAnsi="Arial" w:cs="Arial"/>
          <w:bCs/>
          <w:color w:val="000000"/>
          <w:u w:val="single"/>
          <w:lang w:eastAsia="en-GB"/>
        </w:rPr>
      </w:pPr>
      <w:r w:rsidRPr="00857399">
        <w:rPr>
          <w:rFonts w:ascii="Arial" w:eastAsia="MS Mincho" w:hAnsi="Arial" w:cs="Arial"/>
          <w:bCs/>
          <w:color w:val="000000"/>
          <w:u w:val="single"/>
          <w:lang w:eastAsia="en-GB"/>
        </w:rPr>
        <w:lastRenderedPageBreak/>
        <w:t>Key variances in spend</w:t>
      </w:r>
    </w:p>
    <w:p w14:paraId="7C7B788D" w14:textId="747B36A7" w:rsidR="001C551E" w:rsidRPr="00E076A9" w:rsidRDefault="00E076A9" w:rsidP="005C589E">
      <w:pPr>
        <w:pStyle w:val="ListParagraph"/>
        <w:numPr>
          <w:ilvl w:val="0"/>
          <w:numId w:val="31"/>
        </w:numPr>
        <w:rPr>
          <w:rFonts w:ascii="Arial" w:eastAsia="MS Mincho" w:hAnsi="Arial" w:cs="Arial"/>
          <w:bCs/>
          <w:color w:val="000000"/>
          <w:u w:val="single"/>
          <w:lang w:eastAsia="en-GB"/>
        </w:rPr>
      </w:pPr>
      <w:r>
        <w:rPr>
          <w:rFonts w:ascii="Arial" w:eastAsia="MS Mincho" w:hAnsi="Arial" w:cs="Arial"/>
          <w:bCs/>
          <w:color w:val="000000"/>
          <w:lang w:eastAsia="en-GB"/>
        </w:rPr>
        <w:t>Spend again</w:t>
      </w:r>
      <w:r w:rsidR="005643DE" w:rsidRPr="00857399">
        <w:rPr>
          <w:rFonts w:ascii="Arial" w:eastAsia="MS Mincho" w:hAnsi="Arial" w:cs="Arial"/>
          <w:bCs/>
          <w:color w:val="000000"/>
          <w:lang w:eastAsia="en-GB"/>
        </w:rPr>
        <w:t xml:space="preserve">st primary care transformation funding </w:t>
      </w:r>
      <w:r w:rsidR="00DF7875" w:rsidRPr="00857399">
        <w:rPr>
          <w:rFonts w:ascii="Arial" w:eastAsia="MS Mincho" w:hAnsi="Arial" w:cs="Arial"/>
          <w:bCs/>
          <w:color w:val="000000"/>
          <w:lang w:eastAsia="en-GB"/>
        </w:rPr>
        <w:t>relating to the first</w:t>
      </w:r>
      <w:r w:rsidR="005643DE" w:rsidRPr="00857399">
        <w:rPr>
          <w:rFonts w:ascii="Arial" w:eastAsia="MS Mincho" w:hAnsi="Arial" w:cs="Arial"/>
          <w:bCs/>
          <w:color w:val="000000"/>
          <w:lang w:eastAsia="en-GB"/>
        </w:rPr>
        <w:t xml:space="preserve"> 5 months of the</w:t>
      </w:r>
      <w:r w:rsidR="00DF7875" w:rsidRPr="00857399">
        <w:rPr>
          <w:rFonts w:ascii="Arial" w:eastAsia="MS Mincho" w:hAnsi="Arial" w:cs="Arial"/>
          <w:bCs/>
          <w:color w:val="000000"/>
          <w:lang w:eastAsia="en-GB"/>
        </w:rPr>
        <w:t xml:space="preserve"> financial</w:t>
      </w:r>
      <w:r w:rsidR="005643DE" w:rsidRPr="00857399">
        <w:rPr>
          <w:rFonts w:ascii="Arial" w:eastAsia="MS Mincho" w:hAnsi="Arial" w:cs="Arial"/>
          <w:bCs/>
          <w:color w:val="000000"/>
          <w:lang w:eastAsia="en-GB"/>
        </w:rPr>
        <w:t xml:space="preserve"> year </w:t>
      </w:r>
      <w:r>
        <w:rPr>
          <w:rFonts w:ascii="Arial" w:eastAsia="MS Mincho" w:hAnsi="Arial" w:cs="Arial"/>
          <w:bCs/>
          <w:color w:val="000000"/>
          <w:lang w:eastAsia="en-GB"/>
        </w:rPr>
        <w:t>has been forecast in August</w:t>
      </w:r>
      <w:r w:rsidR="005643DE" w:rsidRPr="00857399">
        <w:rPr>
          <w:rFonts w:ascii="Arial" w:eastAsia="MS Mincho" w:hAnsi="Arial" w:cs="Arial"/>
          <w:bCs/>
          <w:color w:val="000000"/>
          <w:lang w:eastAsia="en-GB"/>
        </w:rPr>
        <w:t>.</w:t>
      </w:r>
      <w:r w:rsidR="00FF131A" w:rsidRPr="00857399">
        <w:rPr>
          <w:rFonts w:ascii="Arial" w:eastAsia="MS Mincho" w:hAnsi="Arial" w:cs="Arial"/>
          <w:bCs/>
          <w:color w:val="000000"/>
          <w:lang w:eastAsia="en-GB"/>
        </w:rPr>
        <w:t xml:space="preserve">  We have not yet been informed of our fair share allocation of the transformation </w:t>
      </w:r>
      <w:r w:rsidRPr="00857399">
        <w:rPr>
          <w:rFonts w:ascii="Arial" w:eastAsia="MS Mincho" w:hAnsi="Arial" w:cs="Arial"/>
          <w:bCs/>
          <w:color w:val="000000"/>
          <w:lang w:eastAsia="en-GB"/>
        </w:rPr>
        <w:t>funding,</w:t>
      </w:r>
      <w:r w:rsidR="00FF131A" w:rsidRPr="00857399">
        <w:rPr>
          <w:rFonts w:ascii="Arial" w:eastAsia="MS Mincho" w:hAnsi="Arial" w:cs="Arial"/>
          <w:bCs/>
          <w:color w:val="000000"/>
          <w:lang w:eastAsia="en-GB"/>
        </w:rPr>
        <w:t xml:space="preserve"> so </w:t>
      </w:r>
      <w:r>
        <w:rPr>
          <w:rFonts w:ascii="Arial" w:eastAsia="MS Mincho" w:hAnsi="Arial" w:cs="Arial"/>
          <w:bCs/>
          <w:color w:val="000000"/>
          <w:lang w:eastAsia="en-GB"/>
        </w:rPr>
        <w:t>an</w:t>
      </w:r>
      <w:r w:rsidR="00FF131A" w:rsidRPr="00857399">
        <w:rPr>
          <w:rFonts w:ascii="Arial" w:eastAsia="MS Mincho" w:hAnsi="Arial" w:cs="Arial"/>
          <w:bCs/>
          <w:color w:val="000000"/>
          <w:lang w:eastAsia="en-GB"/>
        </w:rPr>
        <w:t xml:space="preserve"> estimat</w:t>
      </w:r>
      <w:r>
        <w:rPr>
          <w:rFonts w:ascii="Arial" w:eastAsia="MS Mincho" w:hAnsi="Arial" w:cs="Arial"/>
          <w:bCs/>
          <w:color w:val="000000"/>
          <w:lang w:eastAsia="en-GB"/>
        </w:rPr>
        <w:t>e has been made of</w:t>
      </w:r>
      <w:r w:rsidR="00FF131A" w:rsidRPr="00857399">
        <w:rPr>
          <w:rFonts w:ascii="Arial" w:eastAsia="MS Mincho" w:hAnsi="Arial" w:cs="Arial"/>
          <w:bCs/>
          <w:color w:val="000000"/>
          <w:lang w:eastAsia="en-GB"/>
        </w:rPr>
        <w:t xml:space="preserve"> what we are expecting to receive.  Once we receive notification of the </w:t>
      </w:r>
      <w:r w:rsidR="001A4F1F" w:rsidRPr="00857399">
        <w:rPr>
          <w:rFonts w:ascii="Arial" w:eastAsia="MS Mincho" w:hAnsi="Arial" w:cs="Arial"/>
          <w:bCs/>
          <w:color w:val="000000"/>
          <w:lang w:eastAsia="en-GB"/>
        </w:rPr>
        <w:t>confirmed</w:t>
      </w:r>
      <w:r w:rsidR="00FF131A" w:rsidRPr="00857399">
        <w:rPr>
          <w:rFonts w:ascii="Arial" w:eastAsia="MS Mincho" w:hAnsi="Arial" w:cs="Arial"/>
          <w:bCs/>
          <w:color w:val="000000"/>
          <w:lang w:eastAsia="en-GB"/>
        </w:rPr>
        <w:t xml:space="preserve"> amount, we will update the financial position as appropriate.  </w:t>
      </w:r>
    </w:p>
    <w:p w14:paraId="359F2113" w14:textId="77777777" w:rsidR="00E076A9" w:rsidRPr="00857399" w:rsidRDefault="00E076A9" w:rsidP="00E076A9">
      <w:pPr>
        <w:pStyle w:val="ListParagraph"/>
        <w:rPr>
          <w:rFonts w:ascii="Arial" w:eastAsia="MS Mincho" w:hAnsi="Arial" w:cs="Arial"/>
          <w:bCs/>
          <w:color w:val="000000"/>
          <w:u w:val="single"/>
          <w:lang w:eastAsia="en-GB"/>
        </w:rPr>
      </w:pPr>
    </w:p>
    <w:p w14:paraId="38B15686" w14:textId="77777777" w:rsidR="001C551E" w:rsidRDefault="001C551E" w:rsidP="005C589E">
      <w:pPr>
        <w:rPr>
          <w:rFonts w:ascii="Arial" w:eastAsia="MS Mincho" w:hAnsi="Arial" w:cs="Arial"/>
          <w:bCs/>
          <w:color w:val="000000"/>
          <w:lang w:eastAsia="en-GB"/>
        </w:rPr>
      </w:pPr>
    </w:p>
    <w:p w14:paraId="2F026D63" w14:textId="77777777" w:rsidR="005C589E" w:rsidRPr="005C589E" w:rsidRDefault="005C589E" w:rsidP="005C589E">
      <w:pPr>
        <w:rPr>
          <w:rFonts w:ascii="Arial" w:eastAsia="MS Mincho" w:hAnsi="Arial" w:cs="Arial"/>
          <w:b/>
          <w:color w:val="000000"/>
          <w:u w:val="single"/>
          <w:lang w:eastAsia="en-GB"/>
        </w:rPr>
      </w:pPr>
      <w:r w:rsidRPr="005C589E">
        <w:rPr>
          <w:rFonts w:ascii="Arial" w:eastAsia="MS Mincho" w:hAnsi="Arial" w:cs="Arial"/>
          <w:b/>
          <w:color w:val="000000"/>
          <w:u w:val="single"/>
          <w:lang w:eastAsia="en-GB"/>
        </w:rPr>
        <w:t>NELC Commissioned Schemes</w:t>
      </w:r>
    </w:p>
    <w:p w14:paraId="0B2B32DA" w14:textId="77777777" w:rsidR="005C589E" w:rsidRPr="005C589E" w:rsidRDefault="005C589E" w:rsidP="005C589E">
      <w:pPr>
        <w:pStyle w:val="ListParagraph"/>
        <w:ind w:left="763"/>
        <w:rPr>
          <w:rFonts w:ascii="Arial" w:eastAsia="MS Mincho" w:hAnsi="Arial" w:cs="Arial"/>
          <w:b/>
          <w:color w:val="000000"/>
          <w:u w:val="single"/>
          <w:lang w:eastAsia="en-GB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5220"/>
        <w:gridCol w:w="1154"/>
        <w:gridCol w:w="1276"/>
        <w:gridCol w:w="1276"/>
      </w:tblGrid>
      <w:tr w:rsidR="005C589E" w:rsidRPr="005C589E" w14:paraId="6ADF1020" w14:textId="77777777" w:rsidTr="006B05F8">
        <w:trPr>
          <w:trHeight w:val="1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4A9E67" w14:textId="77777777" w:rsidR="005C589E" w:rsidRPr="006B05F8" w:rsidRDefault="005C589E" w:rsidP="00B92FE0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>NORTH EAST LINCOLNSHIRE COUNCIL COMMISSIONED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AB9AA7" w14:textId="51CE714E" w:rsidR="005C589E" w:rsidRPr="006B05F8" w:rsidRDefault="005C589E" w:rsidP="00B92FE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Annual Budget as </w:t>
            </w:r>
            <w:proofErr w:type="gramStart"/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>at</w:t>
            </w:r>
            <w:proofErr w:type="gramEnd"/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DF7875"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>August</w:t>
            </w:r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20 £'000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58CC37" w14:textId="0E03B7EA" w:rsidR="005C589E" w:rsidRPr="006B05F8" w:rsidRDefault="005C589E" w:rsidP="00B92FE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YTD Variance as </w:t>
            </w:r>
            <w:proofErr w:type="gramStart"/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>at</w:t>
            </w:r>
            <w:proofErr w:type="gramEnd"/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DF7875"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>August</w:t>
            </w:r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20 £'000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9F21C3" w14:textId="2B85D3C4" w:rsidR="005C589E" w:rsidRPr="006B05F8" w:rsidRDefault="005C589E" w:rsidP="00B92FE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Forecast out-turn variance as </w:t>
            </w:r>
            <w:proofErr w:type="gramStart"/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>at</w:t>
            </w:r>
            <w:proofErr w:type="gramEnd"/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DF7875"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>August</w:t>
            </w:r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20 £'000</w:t>
            </w:r>
          </w:p>
        </w:tc>
      </w:tr>
      <w:tr w:rsidR="005C589E" w:rsidRPr="005C589E" w14:paraId="260AD288" w14:textId="77777777" w:rsidTr="006B05F8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971C" w14:textId="77777777" w:rsidR="005C589E" w:rsidRPr="006B05F8" w:rsidRDefault="005C589E" w:rsidP="00B92FE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LARC fits and removals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CDD6" w14:textId="77777777" w:rsidR="005C589E" w:rsidRPr="006B05F8" w:rsidRDefault="005C589E" w:rsidP="00B92FE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5B37" w14:textId="107898B7" w:rsidR="005C589E" w:rsidRPr="006B05F8" w:rsidRDefault="005643DE" w:rsidP="00B92FE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-25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29F7" w14:textId="77777777" w:rsidR="005C589E" w:rsidRPr="006B05F8" w:rsidRDefault="005C589E" w:rsidP="00B92FE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</w:tr>
      <w:tr w:rsidR="005C589E" w:rsidRPr="005C589E" w14:paraId="0A89D931" w14:textId="77777777" w:rsidTr="006B05F8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712B" w14:textId="77777777" w:rsidR="005C589E" w:rsidRPr="006B05F8" w:rsidRDefault="005C589E" w:rsidP="00B92FE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Health checks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637" w14:textId="77777777" w:rsidR="005C589E" w:rsidRPr="006B05F8" w:rsidRDefault="005C589E" w:rsidP="00B92FE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D3A3" w14:textId="4B68CDA2" w:rsidR="005C589E" w:rsidRPr="006B05F8" w:rsidRDefault="005643DE" w:rsidP="00B92FE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1790" w14:textId="77777777" w:rsidR="005C589E" w:rsidRPr="006B05F8" w:rsidRDefault="005C589E" w:rsidP="00B92FE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</w:tr>
      <w:tr w:rsidR="005C589E" w:rsidRPr="005C589E" w14:paraId="73A1C016" w14:textId="77777777" w:rsidTr="006B05F8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D32A" w14:textId="77777777" w:rsidR="005C589E" w:rsidRPr="006B05F8" w:rsidRDefault="005C589E" w:rsidP="00B92FE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Stop smoking service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CC18" w14:textId="77777777" w:rsidR="005C589E" w:rsidRPr="006B05F8" w:rsidRDefault="005C589E" w:rsidP="00B92FE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CC2" w14:textId="03871BA6" w:rsidR="005C589E" w:rsidRPr="006B05F8" w:rsidRDefault="005643DE" w:rsidP="00B92FE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4181" w14:textId="77777777" w:rsidR="005C589E" w:rsidRPr="006B05F8" w:rsidRDefault="005C589E" w:rsidP="00B92FE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</w:tr>
      <w:tr w:rsidR="005C589E" w:rsidRPr="005C589E" w14:paraId="1177885A" w14:textId="77777777" w:rsidTr="006B05F8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FE1C" w14:textId="77777777" w:rsidR="005C589E" w:rsidRPr="006B05F8" w:rsidRDefault="005C589E" w:rsidP="00B92FE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Substance misuse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4439" w14:textId="77777777" w:rsidR="005C589E" w:rsidRPr="006B05F8" w:rsidRDefault="005C589E" w:rsidP="00B92FE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268F" w14:textId="552DBACC" w:rsidR="005C589E" w:rsidRPr="006B05F8" w:rsidRDefault="005643DE" w:rsidP="00B92FE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-52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0C59" w14:textId="77777777" w:rsidR="005C589E" w:rsidRPr="006B05F8" w:rsidRDefault="005C589E" w:rsidP="00B92FE0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</w:tr>
      <w:tr w:rsidR="005C589E" w:rsidRPr="005C589E" w14:paraId="5981B583" w14:textId="77777777" w:rsidTr="006B05F8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6AC41" w14:textId="77777777" w:rsidR="005C589E" w:rsidRPr="006B05F8" w:rsidRDefault="005C589E" w:rsidP="00B92FE0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>NELC COMMISSIONED TOTAL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AFEFF" w14:textId="77777777" w:rsidR="005C589E" w:rsidRPr="006B05F8" w:rsidRDefault="005C589E" w:rsidP="00B92FE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55E1F" w14:textId="2A408C07" w:rsidR="005C589E" w:rsidRPr="006B05F8" w:rsidRDefault="005643DE" w:rsidP="00B92FE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>-88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88ACD" w14:textId="77777777" w:rsidR="005C589E" w:rsidRPr="006B05F8" w:rsidRDefault="005C589E" w:rsidP="00B92FE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6B05F8">
              <w:rPr>
                <w:rFonts w:ascii="Arial" w:hAnsi="Arial" w:cs="Arial"/>
                <w:b/>
                <w:bCs/>
                <w:color w:val="000000"/>
                <w:lang w:eastAsia="en-GB"/>
              </w:rPr>
              <w:t>0</w:t>
            </w:r>
          </w:p>
        </w:tc>
      </w:tr>
    </w:tbl>
    <w:p w14:paraId="601D47AB" w14:textId="77777777" w:rsidR="005C589E" w:rsidRPr="005C589E" w:rsidRDefault="005C589E" w:rsidP="005C589E">
      <w:pPr>
        <w:rPr>
          <w:rFonts w:ascii="Arial" w:eastAsia="MS Mincho" w:hAnsi="Arial" w:cs="Arial"/>
          <w:b/>
          <w:color w:val="000000"/>
          <w:u w:val="single"/>
          <w:lang w:eastAsia="en-GB"/>
        </w:rPr>
      </w:pPr>
    </w:p>
    <w:p w14:paraId="5E53463B" w14:textId="77777777" w:rsidR="005C589E" w:rsidRPr="005C589E" w:rsidRDefault="005C589E" w:rsidP="005C589E">
      <w:pPr>
        <w:rPr>
          <w:rFonts w:ascii="Arial" w:eastAsia="MS Mincho" w:hAnsi="Arial" w:cs="Arial"/>
          <w:bCs/>
          <w:color w:val="000000"/>
          <w:lang w:eastAsia="en-GB"/>
        </w:rPr>
      </w:pPr>
      <w:r w:rsidRPr="005C589E">
        <w:rPr>
          <w:rFonts w:ascii="Arial" w:eastAsia="MS Mincho" w:hAnsi="Arial" w:cs="Arial"/>
          <w:bCs/>
          <w:color w:val="000000"/>
          <w:lang w:eastAsia="en-GB"/>
        </w:rPr>
        <w:t>To note the YTD variance on the Substance Misuse scheme is due to the phasing of the budget.</w:t>
      </w:r>
    </w:p>
    <w:p w14:paraId="3BBA40D7" w14:textId="77777777" w:rsidR="005C589E" w:rsidRPr="005C589E" w:rsidRDefault="005C589E" w:rsidP="005C589E">
      <w:pPr>
        <w:rPr>
          <w:rFonts w:ascii="Arial" w:eastAsia="MS Mincho" w:hAnsi="Arial" w:cs="Arial"/>
          <w:b/>
          <w:color w:val="000000"/>
          <w:u w:val="single"/>
          <w:lang w:eastAsia="en-GB"/>
        </w:rPr>
      </w:pPr>
    </w:p>
    <w:p w14:paraId="055B79CA" w14:textId="68A7C7E6" w:rsidR="005C589E" w:rsidRPr="005C589E" w:rsidRDefault="005C589E" w:rsidP="005C589E">
      <w:pPr>
        <w:rPr>
          <w:rFonts w:ascii="Arial" w:hAnsi="Arial" w:cs="Arial"/>
        </w:rPr>
      </w:pPr>
    </w:p>
    <w:p w14:paraId="72CAB732" w14:textId="77777777" w:rsidR="00DB7724" w:rsidRPr="00DB7724" w:rsidRDefault="00DB7724" w:rsidP="007A35A7">
      <w:pPr>
        <w:rPr>
          <w:rFonts w:ascii="Arial" w:hAnsi="Arial" w:cs="Arial"/>
        </w:rPr>
      </w:pPr>
    </w:p>
    <w:sectPr w:rsidR="00DB7724" w:rsidRPr="00DB7724" w:rsidSect="00EA53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67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3D696" w14:textId="77777777" w:rsidR="00B92FE0" w:rsidRDefault="00B92FE0" w:rsidP="007A35A7">
      <w:r>
        <w:separator/>
      </w:r>
    </w:p>
  </w:endnote>
  <w:endnote w:type="continuationSeparator" w:id="0">
    <w:p w14:paraId="63F48156" w14:textId="77777777" w:rsidR="00B92FE0" w:rsidRDefault="00B92FE0" w:rsidP="007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32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20DE" w14:textId="467C37FB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B511" w14:textId="77777777" w:rsidR="00FD18FF" w:rsidRDefault="00FD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380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B8CAE" w14:textId="0F98D0D4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88A5A" w14:textId="77777777" w:rsidR="00FD18FF" w:rsidRDefault="00FD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77CC4" w14:textId="77777777" w:rsidR="00B92FE0" w:rsidRDefault="00B92FE0" w:rsidP="007A35A7">
      <w:r>
        <w:separator/>
      </w:r>
    </w:p>
  </w:footnote>
  <w:footnote w:type="continuationSeparator" w:id="0">
    <w:p w14:paraId="6B60EF60" w14:textId="77777777" w:rsidR="00B92FE0" w:rsidRDefault="00B92FE0" w:rsidP="007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E842" w14:textId="589F4FBD" w:rsidR="007A35A7" w:rsidRDefault="007A35A7" w:rsidP="007A35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9971" w14:textId="72C2EF4F" w:rsidR="00DB7724" w:rsidRDefault="00DB7724" w:rsidP="00DB7724">
    <w:pPr>
      <w:pStyle w:val="Header"/>
      <w:jc w:val="right"/>
    </w:pPr>
    <w:r w:rsidRPr="00765D2D">
      <w:rPr>
        <w:rFonts w:ascii="Arial" w:hAnsi="Arial" w:cs="Arial"/>
        <w:noProof/>
        <w:szCs w:val="24"/>
        <w:lang w:eastAsia="en-GB"/>
      </w:rPr>
      <w:drawing>
        <wp:inline distT="0" distB="0" distL="0" distR="0" wp14:anchorId="3B639EE3" wp14:editId="5F9B600F">
          <wp:extent cx="1556362" cy="546695"/>
          <wp:effectExtent l="0" t="0" r="6350" b="6350"/>
          <wp:docPr id="1" name="Picture 1" title="Logo of North East Lincolnshir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5" t="14782" r="7152" b="24957"/>
                  <a:stretch/>
                </pic:blipFill>
                <pic:spPr bwMode="auto">
                  <a:xfrm>
                    <a:off x="0" y="0"/>
                    <a:ext cx="1694066" cy="595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672877"/>
    <w:multiLevelType w:val="hybridMultilevel"/>
    <w:tmpl w:val="2226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A05AC"/>
    <w:multiLevelType w:val="hybridMultilevel"/>
    <w:tmpl w:val="70F4BF48"/>
    <w:lvl w:ilvl="0" w:tplc="688AE026">
      <w:numFmt w:val="bullet"/>
      <w:lvlText w:val="-"/>
      <w:lvlJc w:val="left"/>
      <w:pPr>
        <w:ind w:left="763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500717"/>
    <w:multiLevelType w:val="hybridMultilevel"/>
    <w:tmpl w:val="3B66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7932F1"/>
    <w:multiLevelType w:val="hybridMultilevel"/>
    <w:tmpl w:val="FE1A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BD4DF2"/>
    <w:multiLevelType w:val="hybridMultilevel"/>
    <w:tmpl w:val="9B10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6BC0533"/>
    <w:multiLevelType w:val="hybridMultilevel"/>
    <w:tmpl w:val="B69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250785"/>
    <w:multiLevelType w:val="hybridMultilevel"/>
    <w:tmpl w:val="5A5CD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8D08B9"/>
    <w:multiLevelType w:val="hybridMultilevel"/>
    <w:tmpl w:val="B7E2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28"/>
  </w:num>
  <w:num w:numId="5">
    <w:abstractNumId w:val="16"/>
  </w:num>
  <w:num w:numId="6">
    <w:abstractNumId w:val="22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6"/>
  </w:num>
  <w:num w:numId="21">
    <w:abstractNumId w:val="23"/>
  </w:num>
  <w:num w:numId="22">
    <w:abstractNumId w:val="13"/>
  </w:num>
  <w:num w:numId="23">
    <w:abstractNumId w:val="30"/>
  </w:num>
  <w:num w:numId="24">
    <w:abstractNumId w:val="18"/>
  </w:num>
  <w:num w:numId="25">
    <w:abstractNumId w:val="21"/>
  </w:num>
  <w:num w:numId="26">
    <w:abstractNumId w:val="17"/>
  </w:num>
  <w:num w:numId="27">
    <w:abstractNumId w:val="27"/>
  </w:num>
  <w:num w:numId="28">
    <w:abstractNumId w:val="29"/>
  </w:num>
  <w:num w:numId="29">
    <w:abstractNumId w:val="15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7"/>
    <w:rsid w:val="00017200"/>
    <w:rsid w:val="000575C2"/>
    <w:rsid w:val="000732DD"/>
    <w:rsid w:val="000949D1"/>
    <w:rsid w:val="000A0C49"/>
    <w:rsid w:val="000A6EBC"/>
    <w:rsid w:val="000D6DC8"/>
    <w:rsid w:val="001712C0"/>
    <w:rsid w:val="001A4F1F"/>
    <w:rsid w:val="001B2872"/>
    <w:rsid w:val="001C551E"/>
    <w:rsid w:val="00204AF6"/>
    <w:rsid w:val="00205F01"/>
    <w:rsid w:val="002B6BC8"/>
    <w:rsid w:val="002B7673"/>
    <w:rsid w:val="00301E85"/>
    <w:rsid w:val="00390FEA"/>
    <w:rsid w:val="003F1101"/>
    <w:rsid w:val="00452A03"/>
    <w:rsid w:val="00465B88"/>
    <w:rsid w:val="00481002"/>
    <w:rsid w:val="00485586"/>
    <w:rsid w:val="005051F9"/>
    <w:rsid w:val="005643DE"/>
    <w:rsid w:val="005C589E"/>
    <w:rsid w:val="00614C77"/>
    <w:rsid w:val="00622500"/>
    <w:rsid w:val="0063327E"/>
    <w:rsid w:val="00643CCE"/>
    <w:rsid w:val="00645252"/>
    <w:rsid w:val="006B05F8"/>
    <w:rsid w:val="006D3D74"/>
    <w:rsid w:val="007139D0"/>
    <w:rsid w:val="0071521B"/>
    <w:rsid w:val="00761230"/>
    <w:rsid w:val="0077046E"/>
    <w:rsid w:val="007A35A7"/>
    <w:rsid w:val="007C6D38"/>
    <w:rsid w:val="00805C57"/>
    <w:rsid w:val="008167A7"/>
    <w:rsid w:val="0083569A"/>
    <w:rsid w:val="00857399"/>
    <w:rsid w:val="00953F75"/>
    <w:rsid w:val="00985504"/>
    <w:rsid w:val="00987905"/>
    <w:rsid w:val="009A4E82"/>
    <w:rsid w:val="009D2B9B"/>
    <w:rsid w:val="00A9204E"/>
    <w:rsid w:val="00B85815"/>
    <w:rsid w:val="00B86B77"/>
    <w:rsid w:val="00B92FE0"/>
    <w:rsid w:val="00BA5D5A"/>
    <w:rsid w:val="00BB7DA8"/>
    <w:rsid w:val="00BD3CB7"/>
    <w:rsid w:val="00C31B72"/>
    <w:rsid w:val="00C51F00"/>
    <w:rsid w:val="00C73FD3"/>
    <w:rsid w:val="00D060B6"/>
    <w:rsid w:val="00D431DE"/>
    <w:rsid w:val="00D448E3"/>
    <w:rsid w:val="00DB4920"/>
    <w:rsid w:val="00DB6FBE"/>
    <w:rsid w:val="00DB7724"/>
    <w:rsid w:val="00DC534F"/>
    <w:rsid w:val="00DE79E3"/>
    <w:rsid w:val="00DF7875"/>
    <w:rsid w:val="00E076A9"/>
    <w:rsid w:val="00E22203"/>
    <w:rsid w:val="00E511D7"/>
    <w:rsid w:val="00EA53C2"/>
    <w:rsid w:val="00F47E31"/>
    <w:rsid w:val="00F570A0"/>
    <w:rsid w:val="00F65ABE"/>
    <w:rsid w:val="00F869EB"/>
    <w:rsid w:val="00F9181E"/>
    <w:rsid w:val="00FB3009"/>
    <w:rsid w:val="00FD18FF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581"/>
  <w15:chartTrackingRefBased/>
  <w15:docId w15:val="{A5CEA282-C023-46BF-9767-E2726276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0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7A3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A35A7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8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J5\AppData\Local\Microsoft\Office\16.0\DTS\en-US%7bBCB908DC-9128-4C9F-A409-C9AA144CD498%7d\%7b11CCCE69-B87D-444B-9824-7F1173814B1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E3F1C1AFDB400C90EA33449E0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A692-FC63-4027-9206-95A12D9A857C}"/>
      </w:docPartPr>
      <w:docPartBody>
        <w:p w:rsidR="00A5572D" w:rsidRDefault="00757CB1" w:rsidP="00757CB1">
          <w:pPr>
            <w:pStyle w:val="C8E3F1C1AFDB400C90EA33449E09AFA6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713A34ABA3402595EFB98FF197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8411-F174-49AE-A1F7-24F0AEDCDAA4}"/>
      </w:docPartPr>
      <w:docPartBody>
        <w:p w:rsidR="00A5572D" w:rsidRDefault="00757CB1" w:rsidP="00757CB1">
          <w:pPr>
            <w:pStyle w:val="81713A34ABA3402595EFB98FF1974702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727D40B76644512A075B1DBB362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59F-0EA0-4754-8C62-CE1D1753FFFE}"/>
      </w:docPartPr>
      <w:docPartBody>
        <w:p w:rsidR="00A5572D" w:rsidRDefault="00757CB1" w:rsidP="00757CB1">
          <w:pPr>
            <w:pStyle w:val="7727D40B76644512A075B1DBB362B328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2BEDB5797074CA08F74570156FE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FB0-57C5-4055-BFF4-C68EF2574BA5}"/>
      </w:docPartPr>
      <w:docPartBody>
        <w:p w:rsidR="00A5572D" w:rsidRDefault="00757CB1" w:rsidP="00757CB1">
          <w:pPr>
            <w:pStyle w:val="B2BEDB5797074CA08F74570156FE8720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DCC51E42DE48BEA42B869E4A8B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FA3-EDD1-4272-8BA8-FA8A0E706AE8}"/>
      </w:docPartPr>
      <w:docPartBody>
        <w:p w:rsidR="00A5572D" w:rsidRDefault="00757CB1" w:rsidP="00757CB1">
          <w:pPr>
            <w:pStyle w:val="17DCC51E42DE48BEA42B869E4A8B032A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67A05DCAA14B36AA4AA6B43430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AE6D-D4DB-4042-8D64-4F5A5D414E9A}"/>
      </w:docPartPr>
      <w:docPartBody>
        <w:p w:rsidR="00A5572D" w:rsidRDefault="00757CB1" w:rsidP="00757CB1">
          <w:pPr>
            <w:pStyle w:val="8067A05DCAA14B36AA4AA6B43430B3A4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1"/>
    <w:rsid w:val="0001164D"/>
    <w:rsid w:val="001A1BAE"/>
    <w:rsid w:val="003C444A"/>
    <w:rsid w:val="00476E05"/>
    <w:rsid w:val="005617F1"/>
    <w:rsid w:val="00757CB1"/>
    <w:rsid w:val="008C7EE9"/>
    <w:rsid w:val="00A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B1"/>
    <w:rPr>
      <w:color w:val="3B3838" w:themeColor="background2" w:themeShade="40"/>
    </w:rPr>
  </w:style>
  <w:style w:type="paragraph" w:customStyle="1" w:styleId="C8E3F1C1AFDB400C90EA33449E09AFA6">
    <w:name w:val="C8E3F1C1AFDB400C90EA33449E09AFA6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713A34ABA3402595EFB98FF1974702">
    <w:name w:val="81713A34ABA3402595EFB98FF1974702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D40B76644512A075B1DBB362B328">
    <w:name w:val="7727D40B76644512A075B1DBB362B328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EDB5797074CA08F74570156FE8720">
    <w:name w:val="B2BEDB5797074CA08F74570156FE8720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DCC51E42DE48BEA42B869E4A8B032A">
    <w:name w:val="17DCC51E42DE48BEA42B869E4A8B032A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67A05DCAA14B36AA4AA6B43430B3A4">
    <w:name w:val="8067A05DCAA14B36AA4AA6B43430B3A4"/>
    <w:rsid w:val="00757CB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{11CCCE69-B87D-444B-9824-7F1173814B1E}tf02786999_win32</Template>
  <TotalTime>690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 (CCG)</dc:creator>
  <cp:keywords/>
  <dc:description/>
  <cp:lastModifiedBy>Jo Horsfall (CCG)</cp:lastModifiedBy>
  <cp:revision>6</cp:revision>
  <dcterms:created xsi:type="dcterms:W3CDTF">2020-09-10T09:20:00Z</dcterms:created>
  <dcterms:modified xsi:type="dcterms:W3CDTF">2020-09-23T15:28:00Z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