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124D1940"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2A4C49">
        <w:rPr>
          <w:rFonts w:ascii="Arial" w:hAnsi="Arial" w:cs="Arial"/>
          <w:b/>
          <w:bCs/>
        </w:rPr>
        <w:t>11a</w:t>
      </w:r>
    </w:p>
    <w:p w14:paraId="22258ED1" w14:textId="15E4ADD6" w:rsidR="007A35A7" w:rsidRDefault="007A35A7" w:rsidP="007A35A7">
      <w:pPr>
        <w:rPr>
          <w:rFonts w:ascii="Arial" w:hAnsi="Arial" w:cs="Arial"/>
        </w:rPr>
      </w:pPr>
    </w:p>
    <w:p w14:paraId="00EDB048" w14:textId="5A463918"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78752904"/>
          <w:placeholder>
            <w:docPart w:val="C8E3F1C1AFDB400C90EA33449E09AFA6"/>
          </w:placeholder>
          <w:text/>
        </w:sdtPr>
        <w:sdtEndPr/>
        <w:sdtContent>
          <w:r w:rsidR="00D060B6">
            <w:rPr>
              <w:rFonts w:ascii="Arial" w:hAnsi="Arial" w:cs="Arial"/>
              <w:b/>
              <w:bCs/>
            </w:rPr>
            <w:t>Primary Care Co-Commissioning Committee</w:t>
          </w:r>
        </w:sdtContent>
      </w:sdt>
    </w:p>
    <w:p w14:paraId="16DEF567" w14:textId="02228675"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06-08T00:00:00Z">
            <w:dateFormat w:val="dd/MM/yyyy"/>
            <w:lid w:val="en-GB"/>
            <w:storeMappedDataAs w:val="dateTime"/>
            <w:calendar w:val="gregorian"/>
          </w:date>
        </w:sdtPr>
        <w:sdtEndPr/>
        <w:sdtContent>
          <w:r w:rsidR="00706186">
            <w:rPr>
              <w:rFonts w:ascii="Arial" w:hAnsi="Arial" w:cs="Arial"/>
              <w:b/>
              <w:bCs/>
              <w:lang w:val="en-GB"/>
            </w:rPr>
            <w:t>08/06/2021</w:t>
          </w:r>
        </w:sdtContent>
      </w:sdt>
    </w:p>
    <w:p w14:paraId="5693DC73" w14:textId="5E76AE2F"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06-01T00:00:00Z">
            <w:dateFormat w:val="dd/MM/yyyy"/>
            <w:lid w:val="en-GB"/>
            <w:storeMappedDataAs w:val="dateTime"/>
            <w:calendar w:val="gregorian"/>
          </w:date>
        </w:sdtPr>
        <w:sdtEndPr/>
        <w:sdtContent>
          <w:r w:rsidR="008910D6">
            <w:rPr>
              <w:rFonts w:ascii="Arial" w:hAnsi="Arial" w:cs="Arial"/>
              <w:b/>
              <w:bCs/>
              <w:lang w:val="en-GB"/>
            </w:rPr>
            <w:t>0</w:t>
          </w:r>
          <w:r w:rsidR="00706186">
            <w:rPr>
              <w:rFonts w:ascii="Arial" w:hAnsi="Arial" w:cs="Arial"/>
              <w:b/>
              <w:bCs/>
              <w:lang w:val="en-GB"/>
            </w:rPr>
            <w:t>1</w:t>
          </w:r>
          <w:r w:rsidR="008910D6">
            <w:rPr>
              <w:rFonts w:ascii="Arial" w:hAnsi="Arial" w:cs="Arial"/>
              <w:b/>
              <w:bCs/>
              <w:lang w:val="en-GB"/>
            </w:rPr>
            <w:t>/06/2021</w:t>
          </w:r>
        </w:sdtContent>
      </w:sdt>
    </w:p>
    <w:p w14:paraId="559C3671" w14:textId="1AD082BF"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D060B6">
            <w:rPr>
              <w:rFonts w:ascii="Arial" w:hAnsi="Arial" w:cs="Arial"/>
              <w:b/>
              <w:bCs/>
            </w:rPr>
            <w:t>Primary Care Commissioning Finance Report</w:t>
          </w:r>
        </w:sdtContent>
      </w:sdt>
    </w:p>
    <w:p w14:paraId="69070772" w14:textId="1415C601"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D060B6">
            <w:rPr>
              <w:rFonts w:ascii="Arial" w:hAnsi="Arial" w:cs="Arial"/>
              <w:b/>
              <w:bCs/>
            </w:rPr>
            <w:t>Jo Horsfall</w:t>
          </w:r>
        </w:sdtContent>
      </w:sdt>
    </w:p>
    <w:p w14:paraId="50602481" w14:textId="26452AC8"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D060B6">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56F3AAF8" w:rsidR="007A35A7" w:rsidRPr="00752E3F" w:rsidRDefault="007A35A7" w:rsidP="007A35A7">
                            <w:pPr>
                              <w:rPr>
                                <w:rFonts w:cstheme="minorHAnsi"/>
                                <w:b/>
                              </w:rPr>
                            </w:pPr>
                            <w:r w:rsidRPr="00752E3F">
                              <w:rPr>
                                <w:rFonts w:cstheme="minorHAnsi"/>
                                <w:b/>
                              </w:rPr>
                              <w:t xml:space="preserve">STATUS OF THE REPORT </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145D362A"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p>
                          <w:p w14:paraId="1C8DFFBD" w14:textId="6B00A181"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C31B72">
                                  <w:rPr>
                                    <w:rFonts w:ascii="MS Gothic" w:eastAsia="MS Gothic" w:hAnsi="MS Gothic" w:cstheme="minorHAnsi" w:hint="eastAsia"/>
                                  </w:rPr>
                                  <w:t>☒</w:t>
                                </w:r>
                              </w:sdtContent>
                            </w:sdt>
                          </w:p>
                          <w:p w14:paraId="0E98AE76" w14:textId="4466FD9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BB7DA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56F3AAF8" w:rsidR="007A35A7" w:rsidRPr="00752E3F" w:rsidRDefault="007A35A7" w:rsidP="007A35A7">
                      <w:pPr>
                        <w:rPr>
                          <w:rFonts w:cstheme="minorHAnsi"/>
                          <w:b/>
                        </w:rPr>
                      </w:pPr>
                      <w:r w:rsidRPr="00752E3F">
                        <w:rPr>
                          <w:rFonts w:cstheme="minorHAnsi"/>
                          <w:b/>
                        </w:rPr>
                        <w:t xml:space="preserve">STATUS OF THE REPORT </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145D362A"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p>
                    <w:p w14:paraId="1C8DFFBD" w14:textId="6B00A181"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C31B72">
                            <w:rPr>
                              <w:rFonts w:ascii="MS Gothic" w:eastAsia="MS Gothic" w:hAnsi="MS Gothic" w:cstheme="minorHAnsi" w:hint="eastAsia"/>
                            </w:rPr>
                            <w:t>☒</w:t>
                          </w:r>
                        </w:sdtContent>
                      </w:sdt>
                    </w:p>
                    <w:p w14:paraId="0E98AE76" w14:textId="4466FD9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BB7DA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4C503621" w:rsidR="003F1101" w:rsidRPr="008910D6" w:rsidRDefault="008910D6" w:rsidP="003F1101">
            <w:pPr>
              <w:pStyle w:val="Default"/>
              <w:jc w:val="both"/>
              <w:rPr>
                <w:sz w:val="20"/>
                <w:szCs w:val="20"/>
              </w:rPr>
            </w:pPr>
            <w:r w:rsidRPr="008910D6">
              <w:rPr>
                <w:sz w:val="20"/>
                <w:szCs w:val="20"/>
              </w:rPr>
              <w:t xml:space="preserve">To provide an update of the 20-21 closing position of the budgets within the scope of Primary Care for both NEL CCG &amp; NELC &amp; also to provide a summary of the budgets for the 6-month period </w:t>
            </w:r>
            <w:r>
              <w:rPr>
                <w:sz w:val="20"/>
                <w:szCs w:val="20"/>
              </w:rPr>
              <w:t>covering</w:t>
            </w:r>
            <w:r w:rsidRPr="008910D6">
              <w:rPr>
                <w:sz w:val="20"/>
                <w:szCs w:val="20"/>
              </w:rPr>
              <w:t xml:space="preserve"> April 21 to September 21.</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0C8C1E0E" w:rsidR="005C589E" w:rsidRPr="008910D6" w:rsidRDefault="008910D6" w:rsidP="00BB7DA8">
            <w:pPr>
              <w:pStyle w:val="Default"/>
              <w:jc w:val="both"/>
              <w:rPr>
                <w:sz w:val="20"/>
                <w:szCs w:val="20"/>
              </w:rPr>
            </w:pPr>
            <w:r w:rsidRPr="008910D6">
              <w:rPr>
                <w:sz w:val="20"/>
                <w:szCs w:val="20"/>
              </w:rPr>
              <w:t>To note both the closing 20-21 financial position &amp; the budgets for the first 6 months of 21-22 (April 21 to September 21)</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66D0CBFA" w:rsidR="003F1101" w:rsidRPr="003D21AC" w:rsidRDefault="003F1101" w:rsidP="003F1101">
            <w:pPr>
              <w:pStyle w:val="Default"/>
              <w:jc w:val="both"/>
              <w:rPr>
                <w:color w:val="auto"/>
                <w:sz w:val="20"/>
                <w:szCs w:val="20"/>
              </w:rPr>
            </w:pPr>
          </w:p>
          <w:p w14:paraId="43645EB0" w14:textId="3B3CF78C" w:rsidR="003F1101" w:rsidRPr="003D21AC" w:rsidRDefault="005C589E" w:rsidP="003F1101">
            <w:pPr>
              <w:pStyle w:val="Default"/>
              <w:jc w:val="both"/>
              <w:rPr>
                <w:color w:val="auto"/>
                <w:sz w:val="20"/>
                <w:szCs w:val="20"/>
              </w:rPr>
            </w:pPr>
            <w:r w:rsidRPr="003D21AC">
              <w:rPr>
                <w:color w:val="auto"/>
                <w:sz w:val="20"/>
                <w:szCs w:val="20"/>
              </w:rPr>
              <w:t>N/A</w:t>
            </w: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57FAC8B5" w:rsidR="003F1101" w:rsidRPr="003D21AC" w:rsidRDefault="003F1101" w:rsidP="003F1101">
            <w:pPr>
              <w:pStyle w:val="Default"/>
              <w:jc w:val="both"/>
              <w:rPr>
                <w:color w:val="auto"/>
                <w:sz w:val="20"/>
                <w:szCs w:val="20"/>
              </w:rPr>
            </w:pPr>
          </w:p>
          <w:p w14:paraId="67A585CE" w14:textId="42073CFA" w:rsidR="003F1101" w:rsidRPr="003D21AC" w:rsidRDefault="005C589E" w:rsidP="003F1101">
            <w:pPr>
              <w:pStyle w:val="Default"/>
              <w:jc w:val="both"/>
              <w:rPr>
                <w:sz w:val="20"/>
                <w:szCs w:val="20"/>
              </w:rPr>
            </w:pPr>
            <w:r w:rsidRPr="003D21AC">
              <w:rPr>
                <w:sz w:val="20"/>
                <w:szCs w:val="20"/>
              </w:rPr>
              <w:t>N/A</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594921C2" w:rsidR="003F1101" w:rsidRPr="003D21AC" w:rsidRDefault="005C589E" w:rsidP="003F1101">
            <w:pPr>
              <w:pStyle w:val="Default"/>
              <w:jc w:val="both"/>
              <w:rPr>
                <w:sz w:val="20"/>
                <w:szCs w:val="20"/>
              </w:rPr>
            </w:pPr>
            <w:r w:rsidRPr="003D21AC">
              <w:rPr>
                <w:sz w:val="20"/>
                <w:szCs w:val="20"/>
              </w:rPr>
              <w:t>N/A</w:t>
            </w:r>
            <w:r w:rsidR="003F1101" w:rsidRPr="003D21AC">
              <w:rPr>
                <w:sz w:val="20"/>
                <w:szCs w:val="20"/>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Sustainable services</w:t>
            </w:r>
          </w:p>
          <w:p w14:paraId="67B3174A" w14:textId="3D4A098A" w:rsidR="00DE79E3"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Empowering people</w:t>
            </w:r>
          </w:p>
        </w:tc>
        <w:tc>
          <w:tcPr>
            <w:tcW w:w="567" w:type="dxa"/>
          </w:tcPr>
          <w:sdt>
            <w:sdtPr>
              <w:rPr>
                <w:rFonts w:ascii="Arial" w:hAnsi="Arial" w:cs="Arial"/>
                <w:sz w:val="20"/>
                <w:szCs w:val="20"/>
              </w:rPr>
              <w:id w:val="-130403509"/>
              <w14:checkbox>
                <w14:checked w14:val="1"/>
                <w14:checkedState w14:val="2612" w14:font="MS Gothic"/>
                <w14:uncheckedState w14:val="2610" w14:font="MS Gothic"/>
              </w14:checkbox>
            </w:sdtPr>
            <w:sdtEndPr/>
            <w:sdtContent>
              <w:p w14:paraId="22680E32" w14:textId="52B6BD3C" w:rsidR="001712C0" w:rsidRPr="003D21AC" w:rsidRDefault="00BB7DA8" w:rsidP="007A35A7">
                <w:pPr>
                  <w:rPr>
                    <w:rFonts w:ascii="Arial" w:hAnsi="Arial" w:cs="Arial"/>
                    <w:sz w:val="20"/>
                    <w:szCs w:val="20"/>
                  </w:rPr>
                </w:pPr>
                <w:r w:rsidRPr="003D21AC">
                  <w:rPr>
                    <w:rFonts w:ascii="MS Gothic" w:eastAsia="MS Gothic" w:hAnsi="MS Gothic" w:cs="Arial" w:hint="eastAsia"/>
                    <w:sz w:val="20"/>
                    <w:szCs w:val="20"/>
                  </w:rPr>
                  <w:t>☒</w:t>
                </w:r>
              </w:p>
            </w:sdtContent>
          </w:sdt>
          <w:sdt>
            <w:sdtPr>
              <w:rPr>
                <w:rFonts w:ascii="Arial" w:hAnsi="Arial" w:cs="Arial"/>
                <w:sz w:val="20"/>
                <w:szCs w:val="20"/>
              </w:rPr>
              <w:id w:val="572699765"/>
              <w14:checkbox>
                <w14:checked w14:val="0"/>
                <w14:checkedState w14:val="2612" w14:font="MS Gothic"/>
                <w14:uncheckedState w14:val="2610" w14:font="MS Gothic"/>
              </w14:checkbox>
            </w:sdtPr>
            <w:sdtEndPr/>
            <w:sdtContent>
              <w:p w14:paraId="5C915011" w14:textId="30265BB8" w:rsidR="00DE79E3" w:rsidRPr="003D21AC" w:rsidRDefault="00DE79E3" w:rsidP="007A35A7">
                <w:pPr>
                  <w:rPr>
                    <w:rFonts w:ascii="Arial" w:hAnsi="Arial" w:cs="Arial"/>
                    <w:sz w:val="20"/>
                    <w:szCs w:val="20"/>
                  </w:rPr>
                </w:pPr>
                <w:r w:rsidRPr="003D21AC">
                  <w:rPr>
                    <w:rFonts w:ascii="MS Gothic" w:eastAsia="MS Gothic" w:hAnsi="MS Gothic" w:cs="Arial" w:hint="eastAsia"/>
                    <w:sz w:val="20"/>
                    <w:szCs w:val="20"/>
                  </w:rPr>
                  <w:t>☐</w:t>
                </w:r>
              </w:p>
            </w:sdtContent>
          </w:sdt>
        </w:tc>
        <w:tc>
          <w:tcPr>
            <w:tcW w:w="4253" w:type="dxa"/>
          </w:tcPr>
          <w:p w14:paraId="497F9167" w14:textId="77777777" w:rsidR="001712C0"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Supporting communities</w:t>
            </w:r>
          </w:p>
          <w:p w14:paraId="4DB98261" w14:textId="2D035985" w:rsidR="00DE79E3"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Fit for purpose organisation</w:t>
            </w:r>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4938CB74" w:rsidR="00DE79E3" w:rsidRPr="001712C0" w:rsidRDefault="00BB7DA8"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Legal</w:t>
            </w:r>
          </w:p>
          <w:p w14:paraId="38F4EA1E" w14:textId="20AE0C31" w:rsidR="00DE79E3"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Finance</w:t>
            </w:r>
          </w:p>
          <w:p w14:paraId="26722752" w14:textId="3AA86D68" w:rsidR="00DE79E3"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Quality</w:t>
            </w:r>
          </w:p>
          <w:p w14:paraId="1B6413ED" w14:textId="413DD160" w:rsidR="00DE79E3" w:rsidRPr="003D21AC" w:rsidRDefault="00622500" w:rsidP="00DE79E3">
            <w:pPr>
              <w:pStyle w:val="ListParagraph"/>
              <w:numPr>
                <w:ilvl w:val="0"/>
                <w:numId w:val="28"/>
              </w:numPr>
              <w:rPr>
                <w:rFonts w:ascii="Arial" w:hAnsi="Arial" w:cs="Arial"/>
                <w:sz w:val="20"/>
                <w:szCs w:val="20"/>
              </w:rPr>
            </w:pPr>
            <w:r w:rsidRPr="003D21AC">
              <w:rPr>
                <w:rFonts w:ascii="Arial" w:hAnsi="Arial" w:cs="Arial"/>
                <w:sz w:val="20"/>
                <w:szCs w:val="20"/>
              </w:rPr>
              <w:t>E</w:t>
            </w:r>
            <w:r w:rsidR="00DE79E3" w:rsidRPr="003D21AC">
              <w:rPr>
                <w:rFonts w:ascii="Arial" w:hAnsi="Arial" w:cs="Arial"/>
                <w:sz w:val="20"/>
                <w:szCs w:val="20"/>
              </w:rPr>
              <w:t>quality</w:t>
            </w:r>
            <w:r w:rsidR="007139D0" w:rsidRPr="003D21AC">
              <w:rPr>
                <w:rFonts w:ascii="Arial" w:hAnsi="Arial" w:cs="Arial"/>
                <w:sz w:val="20"/>
                <w:szCs w:val="20"/>
              </w:rPr>
              <w:t xml:space="preserve"> analysis </w:t>
            </w:r>
            <w:r w:rsidR="00E22203" w:rsidRPr="003D21AC">
              <w:rPr>
                <w:rFonts w:ascii="Arial" w:hAnsi="Arial" w:cs="Arial"/>
                <w:sz w:val="20"/>
                <w:szCs w:val="20"/>
              </w:rPr>
              <w:t>(</w:t>
            </w:r>
            <w:r w:rsidR="007139D0" w:rsidRPr="003D21AC">
              <w:rPr>
                <w:rFonts w:ascii="Arial" w:hAnsi="Arial" w:cs="Arial"/>
                <w:sz w:val="20"/>
                <w:szCs w:val="20"/>
              </w:rPr>
              <w:t>and Due Regard Duty)</w:t>
            </w:r>
          </w:p>
        </w:tc>
        <w:tc>
          <w:tcPr>
            <w:tcW w:w="567" w:type="dxa"/>
          </w:tcPr>
          <w:sdt>
            <w:sdtPr>
              <w:rPr>
                <w:rFonts w:ascii="Arial" w:hAnsi="Arial" w:cs="Arial"/>
                <w:sz w:val="20"/>
                <w:szCs w:val="20"/>
              </w:rPr>
              <w:id w:val="1821080845"/>
              <w14:checkbox>
                <w14:checked w14:val="0"/>
                <w14:checkedState w14:val="2612" w14:font="MS Gothic"/>
                <w14:uncheckedState w14:val="2610" w14:font="MS Gothic"/>
              </w14:checkbox>
            </w:sdtPr>
            <w:sdtEndPr/>
            <w:sdtContent>
              <w:p w14:paraId="3983DC5E" w14:textId="77777777" w:rsidR="001712C0" w:rsidRPr="003D21AC" w:rsidRDefault="00DE79E3" w:rsidP="007A35A7">
                <w:pPr>
                  <w:rPr>
                    <w:rFonts w:ascii="Arial" w:hAnsi="Arial" w:cs="Arial"/>
                    <w:sz w:val="20"/>
                    <w:szCs w:val="20"/>
                  </w:rPr>
                </w:pPr>
                <w:r w:rsidRPr="003D21AC">
                  <w:rPr>
                    <w:rFonts w:ascii="MS Gothic" w:eastAsia="MS Gothic" w:hAnsi="MS Gothic" w:cs="Arial" w:hint="eastAsia"/>
                    <w:sz w:val="20"/>
                    <w:szCs w:val="20"/>
                  </w:rPr>
                  <w:t>☐</w:t>
                </w:r>
              </w:p>
            </w:sdtContent>
          </w:sdt>
          <w:sdt>
            <w:sdtPr>
              <w:rPr>
                <w:rFonts w:ascii="Arial" w:hAnsi="Arial" w:cs="Arial"/>
                <w:sz w:val="20"/>
                <w:szCs w:val="20"/>
              </w:rPr>
              <w:id w:val="-145361822"/>
              <w14:checkbox>
                <w14:checked w14:val="1"/>
                <w14:checkedState w14:val="2612" w14:font="MS Gothic"/>
                <w14:uncheckedState w14:val="2610" w14:font="MS Gothic"/>
              </w14:checkbox>
            </w:sdtPr>
            <w:sdtEndPr/>
            <w:sdtContent>
              <w:p w14:paraId="5FEA6376" w14:textId="04387A02" w:rsidR="00DE79E3" w:rsidRPr="003D21AC" w:rsidRDefault="00A514D9" w:rsidP="007A35A7">
                <w:pPr>
                  <w:rPr>
                    <w:rFonts w:ascii="Arial" w:hAnsi="Arial" w:cs="Arial"/>
                    <w:sz w:val="20"/>
                    <w:szCs w:val="20"/>
                  </w:rPr>
                </w:pPr>
                <w:r>
                  <w:rPr>
                    <w:rFonts w:ascii="MS Gothic" w:eastAsia="MS Gothic" w:hAnsi="MS Gothic" w:cs="Arial" w:hint="eastAsia"/>
                    <w:sz w:val="20"/>
                    <w:szCs w:val="20"/>
                  </w:rPr>
                  <w:t>☒</w:t>
                </w:r>
              </w:p>
            </w:sdtContent>
          </w:sdt>
          <w:sdt>
            <w:sdtPr>
              <w:rPr>
                <w:rFonts w:ascii="Arial" w:hAnsi="Arial" w:cs="Arial"/>
                <w:sz w:val="20"/>
                <w:szCs w:val="20"/>
              </w:rPr>
              <w:id w:val="1258870169"/>
              <w14:checkbox>
                <w14:checked w14:val="0"/>
                <w14:checkedState w14:val="2612" w14:font="MS Gothic"/>
                <w14:uncheckedState w14:val="2610" w14:font="MS Gothic"/>
              </w14:checkbox>
            </w:sdtPr>
            <w:sdtEndPr/>
            <w:sdtContent>
              <w:p w14:paraId="0D7AAD58" w14:textId="77777777" w:rsidR="00DE79E3" w:rsidRPr="003D21AC" w:rsidRDefault="00DE79E3" w:rsidP="007A35A7">
                <w:pPr>
                  <w:rPr>
                    <w:rFonts w:ascii="Arial" w:hAnsi="Arial" w:cs="Arial"/>
                    <w:sz w:val="20"/>
                    <w:szCs w:val="20"/>
                  </w:rPr>
                </w:pPr>
                <w:r w:rsidRPr="003D21AC">
                  <w:rPr>
                    <w:rFonts w:ascii="MS Gothic" w:eastAsia="MS Gothic" w:hAnsi="MS Gothic" w:cs="Arial" w:hint="eastAsia"/>
                    <w:sz w:val="20"/>
                    <w:szCs w:val="20"/>
                  </w:rPr>
                  <w:t>☐</w:t>
                </w:r>
              </w:p>
            </w:sdtContent>
          </w:sdt>
          <w:sdt>
            <w:sdtPr>
              <w:rPr>
                <w:rFonts w:ascii="Arial" w:hAnsi="Arial" w:cs="Arial"/>
                <w:sz w:val="20"/>
                <w:szCs w:val="20"/>
              </w:rPr>
              <w:id w:val="-1743941911"/>
              <w14:checkbox>
                <w14:checked w14:val="0"/>
                <w14:checkedState w14:val="2612" w14:font="MS Gothic"/>
                <w14:uncheckedState w14:val="2610" w14:font="MS Gothic"/>
              </w14:checkbox>
            </w:sdtPr>
            <w:sdtEndPr/>
            <w:sdtContent>
              <w:p w14:paraId="695D2624" w14:textId="6FCFAC08" w:rsidR="00DE79E3" w:rsidRPr="003D21AC" w:rsidRDefault="00DE79E3" w:rsidP="007A35A7">
                <w:pPr>
                  <w:rPr>
                    <w:rFonts w:ascii="Arial" w:hAnsi="Arial" w:cs="Arial"/>
                    <w:sz w:val="20"/>
                    <w:szCs w:val="20"/>
                  </w:rPr>
                </w:pPr>
                <w:r w:rsidRPr="003D21AC">
                  <w:rPr>
                    <w:rFonts w:ascii="MS Gothic" w:eastAsia="MS Gothic" w:hAnsi="MS Gothic" w:cs="Arial" w:hint="eastAsia"/>
                    <w:sz w:val="20"/>
                    <w:szCs w:val="20"/>
                  </w:rPr>
                  <w:t>☐</w:t>
                </w:r>
              </w:p>
            </w:sdtContent>
          </w:sdt>
        </w:tc>
        <w:tc>
          <w:tcPr>
            <w:tcW w:w="4253" w:type="dxa"/>
          </w:tcPr>
          <w:p w14:paraId="660E5885" w14:textId="77777777" w:rsidR="001712C0"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Data protection</w:t>
            </w:r>
          </w:p>
          <w:p w14:paraId="3B20BA69" w14:textId="0F4F195E" w:rsidR="00DE79E3"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Performance</w:t>
            </w:r>
          </w:p>
          <w:p w14:paraId="358D1203" w14:textId="740489C9" w:rsidR="00DE79E3" w:rsidRPr="003D21AC" w:rsidRDefault="00DE79E3" w:rsidP="00DE79E3">
            <w:pPr>
              <w:pStyle w:val="ListParagraph"/>
              <w:numPr>
                <w:ilvl w:val="0"/>
                <w:numId w:val="28"/>
              </w:numPr>
              <w:rPr>
                <w:rFonts w:ascii="Arial" w:hAnsi="Arial" w:cs="Arial"/>
                <w:sz w:val="20"/>
                <w:szCs w:val="20"/>
              </w:rPr>
            </w:pPr>
            <w:r w:rsidRPr="003D21AC">
              <w:rPr>
                <w:rFonts w:ascii="Arial" w:hAnsi="Arial" w:cs="Arial"/>
                <w:sz w:val="20"/>
                <w:szCs w:val="20"/>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pPr w:leftFromText="180" w:rightFromText="180" w:vertAnchor="text" w:horzAnchor="margin" w:tblpY="226"/>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5C589E" w14:paraId="4E2B3321" w14:textId="77777777" w:rsidTr="005C589E">
        <w:trPr>
          <w:trHeight w:val="1692"/>
        </w:trPr>
        <w:tc>
          <w:tcPr>
            <w:tcW w:w="11096" w:type="dxa"/>
          </w:tcPr>
          <w:p w14:paraId="1E376505" w14:textId="16807A91" w:rsidR="005C589E" w:rsidRDefault="00A514D9" w:rsidP="005C589E">
            <w:pPr>
              <w:rPr>
                <w:rFonts w:ascii="Arial" w:hAnsi="Arial" w:cs="Arial"/>
              </w:rPr>
            </w:pPr>
            <w:r>
              <w:rPr>
                <w:rFonts w:ascii="Arial" w:hAnsi="Arial" w:cs="Arial"/>
              </w:rPr>
              <w:t xml:space="preserve">Ability to recruit to staff where funding is available for new roles.  If we do manage to recruit in full there is shortfall in the additional funding available to be drawdown from the </w:t>
            </w:r>
            <w:r w:rsidR="00727CF8">
              <w:rPr>
                <w:rFonts w:ascii="Arial" w:hAnsi="Arial" w:cs="Arial"/>
              </w:rPr>
              <w:t>center</w:t>
            </w:r>
            <w:r>
              <w:rPr>
                <w:rFonts w:ascii="Arial" w:hAnsi="Arial" w:cs="Arial"/>
              </w:rPr>
              <w:t xml:space="preserve"> (further detail in executive summary).</w:t>
            </w:r>
          </w:p>
        </w:tc>
      </w:tr>
    </w:tbl>
    <w:p w14:paraId="20EB5295" w14:textId="77777777" w:rsidR="00B321D7" w:rsidRDefault="00B321D7" w:rsidP="005C589E">
      <w:pPr>
        <w:pStyle w:val="Default"/>
        <w:jc w:val="both"/>
        <w:rPr>
          <w:b/>
          <w:sz w:val="22"/>
          <w:szCs w:val="22"/>
          <w:u w:val="single"/>
        </w:rPr>
      </w:pPr>
    </w:p>
    <w:p w14:paraId="0DE5002F" w14:textId="0195A30D" w:rsidR="00BB7DA8" w:rsidRPr="003D21AC" w:rsidRDefault="00BB7DA8" w:rsidP="005C589E">
      <w:pPr>
        <w:pStyle w:val="Default"/>
        <w:jc w:val="both"/>
        <w:rPr>
          <w:b/>
          <w:sz w:val="20"/>
          <w:szCs w:val="20"/>
          <w:u w:val="single"/>
        </w:rPr>
      </w:pPr>
      <w:r w:rsidRPr="003D21AC">
        <w:rPr>
          <w:b/>
          <w:sz w:val="20"/>
          <w:szCs w:val="20"/>
          <w:u w:val="single"/>
        </w:rPr>
        <w:lastRenderedPageBreak/>
        <w:t>Executive Summary</w:t>
      </w:r>
      <w:r w:rsidR="00521113">
        <w:rPr>
          <w:b/>
          <w:sz w:val="20"/>
          <w:szCs w:val="20"/>
          <w:u w:val="single"/>
        </w:rPr>
        <w:t xml:space="preserve"> 20-21 out-turn position</w:t>
      </w:r>
    </w:p>
    <w:p w14:paraId="215BE5B2" w14:textId="5FD91FB9" w:rsidR="005C589E" w:rsidRPr="003D21AC" w:rsidRDefault="005C589E" w:rsidP="005C589E">
      <w:pPr>
        <w:pStyle w:val="Default"/>
        <w:jc w:val="both"/>
        <w:rPr>
          <w:b/>
          <w:sz w:val="20"/>
          <w:szCs w:val="20"/>
          <w:u w:val="single"/>
        </w:rPr>
      </w:pPr>
    </w:p>
    <w:p w14:paraId="03D33C28" w14:textId="2CF38CE6" w:rsidR="0067540C" w:rsidRDefault="008910D6" w:rsidP="00105A15">
      <w:pPr>
        <w:pStyle w:val="Default"/>
        <w:jc w:val="both"/>
        <w:rPr>
          <w:sz w:val="20"/>
          <w:szCs w:val="20"/>
        </w:rPr>
      </w:pPr>
      <w:r>
        <w:rPr>
          <w:sz w:val="20"/>
          <w:szCs w:val="20"/>
        </w:rPr>
        <w:t xml:space="preserve">The tables below </w:t>
      </w:r>
      <w:r w:rsidR="006511A3">
        <w:rPr>
          <w:sz w:val="20"/>
          <w:szCs w:val="20"/>
        </w:rPr>
        <w:t>summarise</w:t>
      </w:r>
      <w:r>
        <w:rPr>
          <w:sz w:val="20"/>
          <w:szCs w:val="20"/>
        </w:rPr>
        <w:t xml:space="preserve"> the closing position for 20-21</w:t>
      </w:r>
      <w:r w:rsidR="006511A3">
        <w:rPr>
          <w:sz w:val="20"/>
          <w:szCs w:val="20"/>
        </w:rPr>
        <w:t xml:space="preserve"> and show the movements from the previously reported forecast out-turn position</w:t>
      </w:r>
      <w:r>
        <w:rPr>
          <w:sz w:val="20"/>
          <w:szCs w:val="20"/>
        </w:rPr>
        <w:t>.</w:t>
      </w:r>
      <w:r w:rsidR="006511A3">
        <w:rPr>
          <w:sz w:val="20"/>
          <w:szCs w:val="20"/>
        </w:rPr>
        <w:t xml:space="preserve">  In total across both areas the underspend position</w:t>
      </w:r>
      <w:r w:rsidR="00727CF8">
        <w:rPr>
          <w:sz w:val="20"/>
          <w:szCs w:val="20"/>
        </w:rPr>
        <w:t xml:space="preserve"> </w:t>
      </w:r>
      <w:r w:rsidR="006511A3">
        <w:rPr>
          <w:sz w:val="20"/>
          <w:szCs w:val="20"/>
        </w:rPr>
        <w:t>increased by £103K</w:t>
      </w:r>
    </w:p>
    <w:p w14:paraId="71B16A24" w14:textId="354E7A08" w:rsidR="0067540C" w:rsidRDefault="0067540C" w:rsidP="0067540C">
      <w:pPr>
        <w:pStyle w:val="Default"/>
        <w:numPr>
          <w:ilvl w:val="0"/>
          <w:numId w:val="35"/>
        </w:numPr>
        <w:jc w:val="both"/>
        <w:rPr>
          <w:sz w:val="20"/>
          <w:szCs w:val="20"/>
        </w:rPr>
      </w:pPr>
      <w:r>
        <w:rPr>
          <w:sz w:val="20"/>
          <w:szCs w:val="20"/>
        </w:rPr>
        <w:t xml:space="preserve">Co-commissioning </w:t>
      </w:r>
      <w:r w:rsidR="006511A3">
        <w:rPr>
          <w:sz w:val="20"/>
          <w:szCs w:val="20"/>
        </w:rPr>
        <w:t>out-turn position of -£</w:t>
      </w:r>
      <w:r>
        <w:rPr>
          <w:sz w:val="20"/>
          <w:szCs w:val="20"/>
        </w:rPr>
        <w:t>105K</w:t>
      </w:r>
      <w:r w:rsidR="00E6411E">
        <w:rPr>
          <w:sz w:val="20"/>
          <w:szCs w:val="20"/>
        </w:rPr>
        <w:t xml:space="preserve">.  The main </w:t>
      </w:r>
      <w:r w:rsidR="00D00389">
        <w:rPr>
          <w:sz w:val="20"/>
          <w:szCs w:val="20"/>
        </w:rPr>
        <w:t>movements</w:t>
      </w:r>
      <w:r w:rsidR="00E6411E">
        <w:rPr>
          <w:sz w:val="20"/>
          <w:szCs w:val="20"/>
        </w:rPr>
        <w:t xml:space="preserve"> to note are:</w:t>
      </w:r>
    </w:p>
    <w:p w14:paraId="0103740B" w14:textId="67E70D8D" w:rsidR="00E6411E" w:rsidRPr="00451CCC" w:rsidRDefault="00CE1F32" w:rsidP="00CE1F32">
      <w:pPr>
        <w:pStyle w:val="Default"/>
        <w:numPr>
          <w:ilvl w:val="1"/>
          <w:numId w:val="35"/>
        </w:numPr>
        <w:jc w:val="both"/>
        <w:rPr>
          <w:sz w:val="20"/>
          <w:szCs w:val="20"/>
        </w:rPr>
      </w:pPr>
      <w:r w:rsidRPr="00451CCC">
        <w:rPr>
          <w:sz w:val="20"/>
          <w:szCs w:val="20"/>
        </w:rPr>
        <w:t xml:space="preserve">ARRS FOT slightly lower than anticipated due to appointments not happening as planned – the impact of this feeds into </w:t>
      </w:r>
      <w:r w:rsidR="00451CCC">
        <w:rPr>
          <w:sz w:val="20"/>
          <w:szCs w:val="20"/>
        </w:rPr>
        <w:t>o</w:t>
      </w:r>
      <w:r w:rsidRPr="00451CCC">
        <w:rPr>
          <w:sz w:val="20"/>
          <w:szCs w:val="20"/>
        </w:rPr>
        <w:t>ther list</w:t>
      </w:r>
      <w:r w:rsidR="00A95427">
        <w:rPr>
          <w:sz w:val="20"/>
          <w:szCs w:val="20"/>
        </w:rPr>
        <w:t>-</w:t>
      </w:r>
      <w:r w:rsidRPr="00451CCC">
        <w:rPr>
          <w:sz w:val="20"/>
          <w:szCs w:val="20"/>
        </w:rPr>
        <w:t>based</w:t>
      </w:r>
      <w:r w:rsidR="00451CCC" w:rsidRPr="00451CCC">
        <w:rPr>
          <w:sz w:val="20"/>
          <w:szCs w:val="20"/>
        </w:rPr>
        <w:t xml:space="preserve"> services</w:t>
      </w:r>
      <w:r w:rsidRPr="00451CCC">
        <w:rPr>
          <w:sz w:val="20"/>
          <w:szCs w:val="20"/>
        </w:rPr>
        <w:t xml:space="preserve"> &amp; </w:t>
      </w:r>
      <w:r w:rsidR="00451CCC">
        <w:rPr>
          <w:sz w:val="20"/>
          <w:szCs w:val="20"/>
        </w:rPr>
        <w:t>g</w:t>
      </w:r>
      <w:r w:rsidR="00451CCC" w:rsidRPr="00451CCC">
        <w:rPr>
          <w:sz w:val="20"/>
          <w:szCs w:val="20"/>
        </w:rPr>
        <w:t xml:space="preserve">eneral </w:t>
      </w:r>
      <w:r w:rsidR="00451CCC">
        <w:rPr>
          <w:sz w:val="20"/>
          <w:szCs w:val="20"/>
        </w:rPr>
        <w:t>p</w:t>
      </w:r>
      <w:r w:rsidR="00451CCC" w:rsidRPr="00451CCC">
        <w:rPr>
          <w:sz w:val="20"/>
          <w:szCs w:val="20"/>
        </w:rPr>
        <w:t>ractice</w:t>
      </w:r>
      <w:r w:rsidRPr="00451CCC">
        <w:rPr>
          <w:sz w:val="20"/>
          <w:szCs w:val="20"/>
        </w:rPr>
        <w:t>-PMS</w:t>
      </w:r>
    </w:p>
    <w:p w14:paraId="2322D249" w14:textId="4585A67D" w:rsidR="00CE1F32" w:rsidRPr="00451CCC" w:rsidRDefault="00CE1F32" w:rsidP="00CE1F32">
      <w:pPr>
        <w:pStyle w:val="Default"/>
        <w:numPr>
          <w:ilvl w:val="1"/>
          <w:numId w:val="35"/>
        </w:numPr>
        <w:jc w:val="both"/>
        <w:rPr>
          <w:sz w:val="20"/>
          <w:szCs w:val="20"/>
        </w:rPr>
      </w:pPr>
      <w:r w:rsidRPr="00451CCC">
        <w:rPr>
          <w:sz w:val="20"/>
          <w:szCs w:val="20"/>
        </w:rPr>
        <w:t xml:space="preserve">Premises costs – increase in out-turn </w:t>
      </w:r>
      <w:r w:rsidR="001C4447" w:rsidRPr="00451CCC">
        <w:rPr>
          <w:sz w:val="20"/>
          <w:szCs w:val="20"/>
        </w:rPr>
        <w:t xml:space="preserve">relates to NHS PS charges, for prudence we have accrued for </w:t>
      </w:r>
      <w:r w:rsidR="00451CCC" w:rsidRPr="00451CCC">
        <w:rPr>
          <w:sz w:val="20"/>
          <w:szCs w:val="20"/>
        </w:rPr>
        <w:t>these</w:t>
      </w:r>
      <w:r w:rsidR="001C4447" w:rsidRPr="00451CCC">
        <w:rPr>
          <w:sz w:val="20"/>
          <w:szCs w:val="20"/>
        </w:rPr>
        <w:t xml:space="preserve"> </w:t>
      </w:r>
      <w:r w:rsidR="00451CCC" w:rsidRPr="00451CCC">
        <w:rPr>
          <w:sz w:val="20"/>
          <w:szCs w:val="20"/>
        </w:rPr>
        <w:t>a</w:t>
      </w:r>
      <w:r w:rsidR="001C4447" w:rsidRPr="00451CCC">
        <w:rPr>
          <w:sz w:val="20"/>
          <w:szCs w:val="20"/>
        </w:rPr>
        <w:t>t 100% but we will be continuing to challenge their validity.</w:t>
      </w:r>
    </w:p>
    <w:p w14:paraId="788C76CE" w14:textId="3B6229AA" w:rsidR="005269D9" w:rsidRDefault="005269D9" w:rsidP="00727CF8">
      <w:pPr>
        <w:pStyle w:val="Default"/>
        <w:numPr>
          <w:ilvl w:val="0"/>
          <w:numId w:val="36"/>
        </w:numPr>
        <w:jc w:val="both"/>
        <w:rPr>
          <w:sz w:val="20"/>
          <w:szCs w:val="20"/>
        </w:rPr>
      </w:pPr>
      <w:r>
        <w:rPr>
          <w:sz w:val="20"/>
          <w:szCs w:val="20"/>
        </w:rPr>
        <w:t xml:space="preserve">Core Primary Care </w:t>
      </w:r>
      <w:r w:rsidR="006511A3">
        <w:rPr>
          <w:sz w:val="20"/>
          <w:szCs w:val="20"/>
        </w:rPr>
        <w:t xml:space="preserve">out-turn position </w:t>
      </w:r>
      <w:r>
        <w:rPr>
          <w:sz w:val="20"/>
          <w:szCs w:val="20"/>
        </w:rPr>
        <w:t xml:space="preserve">of </w:t>
      </w:r>
      <w:r w:rsidR="006511A3">
        <w:rPr>
          <w:sz w:val="20"/>
          <w:szCs w:val="20"/>
        </w:rPr>
        <w:t>-</w:t>
      </w:r>
      <w:r>
        <w:rPr>
          <w:sz w:val="20"/>
          <w:szCs w:val="20"/>
        </w:rPr>
        <w:t>£451K</w:t>
      </w:r>
      <w:r w:rsidR="006511A3">
        <w:rPr>
          <w:sz w:val="20"/>
          <w:szCs w:val="20"/>
        </w:rPr>
        <w:t xml:space="preserve">.  The movement </w:t>
      </w:r>
      <w:r w:rsidR="00502440">
        <w:rPr>
          <w:sz w:val="20"/>
          <w:szCs w:val="20"/>
        </w:rPr>
        <w:t>against ‘Community based services’ is due to:</w:t>
      </w:r>
    </w:p>
    <w:p w14:paraId="54C934D0" w14:textId="3277AC4F" w:rsidR="001C4447" w:rsidRDefault="001C4447" w:rsidP="001C4447">
      <w:pPr>
        <w:pStyle w:val="Default"/>
        <w:numPr>
          <w:ilvl w:val="1"/>
          <w:numId w:val="35"/>
        </w:numPr>
        <w:jc w:val="both"/>
        <w:rPr>
          <w:sz w:val="20"/>
          <w:szCs w:val="20"/>
        </w:rPr>
      </w:pPr>
      <w:r>
        <w:rPr>
          <w:sz w:val="20"/>
          <w:szCs w:val="20"/>
        </w:rPr>
        <w:t xml:space="preserve">HC&amp;V digital schemes (NEL are the co-ordinating CCG for all of HC&amp;V as such </w:t>
      </w:r>
      <w:r w:rsidR="00451CCC">
        <w:rPr>
          <w:sz w:val="20"/>
          <w:szCs w:val="20"/>
        </w:rPr>
        <w:t>all</w:t>
      </w:r>
      <w:r>
        <w:rPr>
          <w:sz w:val="20"/>
          <w:szCs w:val="20"/>
        </w:rPr>
        <w:t xml:space="preserve"> allocation for the ICS is passported through NEL CCG)</w:t>
      </w:r>
      <w:r w:rsidR="00451CCC">
        <w:rPr>
          <w:sz w:val="20"/>
          <w:szCs w:val="20"/>
        </w:rPr>
        <w:t>.</w:t>
      </w:r>
      <w:r>
        <w:rPr>
          <w:sz w:val="20"/>
          <w:szCs w:val="20"/>
        </w:rPr>
        <w:t xml:space="preserve"> Due to the timing of funding being agreed, not </w:t>
      </w:r>
      <w:r w:rsidR="00451CCC">
        <w:rPr>
          <w:sz w:val="20"/>
          <w:szCs w:val="20"/>
        </w:rPr>
        <w:t>all</w:t>
      </w:r>
      <w:r>
        <w:rPr>
          <w:sz w:val="20"/>
          <w:szCs w:val="20"/>
        </w:rPr>
        <w:t xml:space="preserve"> the allocation was spent in 20-21 (£156K), however £156k funding has been protected by the system to be available to use in 21-22.</w:t>
      </w:r>
    </w:p>
    <w:p w14:paraId="203ADE5D" w14:textId="275C9595" w:rsidR="00502440" w:rsidRDefault="00502440" w:rsidP="00DF6A6E">
      <w:pPr>
        <w:pStyle w:val="Default"/>
        <w:ind w:left="1440"/>
        <w:jc w:val="both"/>
        <w:rPr>
          <w:sz w:val="20"/>
          <w:szCs w:val="20"/>
        </w:rPr>
      </w:pPr>
    </w:p>
    <w:p w14:paraId="38C5CAE5" w14:textId="4F4EF34E" w:rsidR="008910D6" w:rsidRPr="00DF6A6E" w:rsidRDefault="0074202B" w:rsidP="00105A15">
      <w:pPr>
        <w:pStyle w:val="Default"/>
        <w:jc w:val="both"/>
        <w:rPr>
          <w:b/>
          <w:bCs/>
          <w:sz w:val="20"/>
          <w:szCs w:val="20"/>
        </w:rPr>
      </w:pPr>
      <w:r w:rsidRPr="00DF6A6E">
        <w:rPr>
          <w:b/>
          <w:bCs/>
          <w:sz w:val="20"/>
          <w:szCs w:val="20"/>
        </w:rPr>
        <w:t>Co-commissioning</w:t>
      </w:r>
    </w:p>
    <w:tbl>
      <w:tblPr>
        <w:tblW w:w="7860" w:type="dxa"/>
        <w:tblLook w:val="04A0" w:firstRow="1" w:lastRow="0" w:firstColumn="1" w:lastColumn="0" w:noHBand="0" w:noVBand="1"/>
      </w:tblPr>
      <w:tblGrid>
        <w:gridCol w:w="2800"/>
        <w:gridCol w:w="960"/>
        <w:gridCol w:w="960"/>
        <w:gridCol w:w="960"/>
        <w:gridCol w:w="257"/>
        <w:gridCol w:w="1000"/>
        <w:gridCol w:w="1032"/>
      </w:tblGrid>
      <w:tr w:rsidR="00DF6A6E" w:rsidRPr="00D00389" w14:paraId="17FD0C68" w14:textId="77777777" w:rsidTr="00D00389">
        <w:trPr>
          <w:trHeight w:val="720"/>
        </w:trPr>
        <w:tc>
          <w:tcPr>
            <w:tcW w:w="2800" w:type="dxa"/>
            <w:tcBorders>
              <w:top w:val="single" w:sz="4" w:space="0" w:color="auto"/>
              <w:left w:val="single" w:sz="4" w:space="0" w:color="auto"/>
              <w:bottom w:val="single" w:sz="4" w:space="0" w:color="auto"/>
              <w:right w:val="nil"/>
            </w:tcBorders>
            <w:shd w:val="clear" w:color="000000" w:fill="D9D9D9"/>
            <w:noWrap/>
            <w:vAlign w:val="center"/>
            <w:hideMark/>
          </w:tcPr>
          <w:p w14:paraId="1F2EBB05" w14:textId="77777777" w:rsidR="00D00389" w:rsidRPr="00D00389" w:rsidRDefault="00D00389" w:rsidP="00D00389">
            <w:pP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 </w:t>
            </w:r>
          </w:p>
        </w:tc>
        <w:tc>
          <w:tcPr>
            <w:tcW w:w="960" w:type="dxa"/>
            <w:tcBorders>
              <w:top w:val="single" w:sz="4" w:space="0" w:color="auto"/>
              <w:left w:val="single" w:sz="4" w:space="0" w:color="auto"/>
              <w:bottom w:val="single" w:sz="4" w:space="0" w:color="auto"/>
              <w:right w:val="nil"/>
            </w:tcBorders>
            <w:shd w:val="clear" w:color="000000" w:fill="D9D9D9"/>
            <w:vAlign w:val="center"/>
            <w:hideMark/>
          </w:tcPr>
          <w:p w14:paraId="5EC976F9" w14:textId="77777777" w:rsidR="00D00389" w:rsidRPr="00D00389" w:rsidRDefault="00D00389" w:rsidP="00D00389">
            <w:pPr>
              <w:jc w:val="cente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Annual budget (£'000)</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E60539" w14:textId="6FA107C9" w:rsidR="00D00389" w:rsidRPr="00D00389" w:rsidRDefault="00D00389" w:rsidP="00D00389">
            <w:pPr>
              <w:jc w:val="center"/>
              <w:rPr>
                <w:rFonts w:ascii="Calibri" w:eastAsia="Times New Roman" w:hAnsi="Calibri" w:cs="Calibri"/>
                <w:b/>
                <w:bCs/>
                <w:sz w:val="18"/>
                <w:szCs w:val="18"/>
                <w:lang w:val="en-GB" w:eastAsia="en-GB"/>
              </w:rPr>
            </w:pPr>
            <w:r>
              <w:rPr>
                <w:rFonts w:ascii="Calibri" w:eastAsia="Times New Roman" w:hAnsi="Calibri" w:cs="Calibri"/>
                <w:b/>
                <w:bCs/>
                <w:sz w:val="18"/>
                <w:szCs w:val="18"/>
                <w:lang w:val="en-GB" w:eastAsia="en-GB"/>
              </w:rPr>
              <w:t>M12</w:t>
            </w:r>
            <w:r w:rsidRPr="00D00389">
              <w:rPr>
                <w:rFonts w:ascii="Calibri" w:eastAsia="Times New Roman" w:hAnsi="Calibri" w:cs="Calibri"/>
                <w:b/>
                <w:bCs/>
                <w:sz w:val="18"/>
                <w:szCs w:val="18"/>
                <w:lang w:val="en-GB" w:eastAsia="en-GB"/>
              </w:rPr>
              <w:t xml:space="preserve"> actual (£'000)</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0634296" w14:textId="13BA423B" w:rsidR="00D00389" w:rsidRPr="00D00389" w:rsidRDefault="00D00389" w:rsidP="00D00389">
            <w:pPr>
              <w:jc w:val="center"/>
              <w:rPr>
                <w:rFonts w:ascii="Calibri" w:eastAsia="Times New Roman" w:hAnsi="Calibri" w:cs="Calibri"/>
                <w:b/>
                <w:bCs/>
                <w:sz w:val="18"/>
                <w:szCs w:val="18"/>
                <w:lang w:val="en-GB" w:eastAsia="en-GB"/>
              </w:rPr>
            </w:pPr>
            <w:r>
              <w:rPr>
                <w:rFonts w:ascii="Calibri" w:eastAsia="Times New Roman" w:hAnsi="Calibri" w:cs="Calibri"/>
                <w:b/>
                <w:bCs/>
                <w:sz w:val="18"/>
                <w:szCs w:val="18"/>
                <w:lang w:val="en-GB" w:eastAsia="en-GB"/>
              </w:rPr>
              <w:t>M12</w:t>
            </w:r>
            <w:r w:rsidRPr="00D00389">
              <w:rPr>
                <w:rFonts w:ascii="Calibri" w:eastAsia="Times New Roman" w:hAnsi="Calibri" w:cs="Calibri"/>
                <w:b/>
                <w:bCs/>
                <w:sz w:val="18"/>
                <w:szCs w:val="18"/>
                <w:lang w:val="en-GB" w:eastAsia="en-GB"/>
              </w:rPr>
              <w:t xml:space="preserve"> variance (£'000)</w:t>
            </w:r>
          </w:p>
        </w:tc>
        <w:tc>
          <w:tcPr>
            <w:tcW w:w="220" w:type="dxa"/>
            <w:tcBorders>
              <w:top w:val="single" w:sz="4" w:space="0" w:color="auto"/>
              <w:left w:val="nil"/>
              <w:bottom w:val="single" w:sz="4" w:space="0" w:color="auto"/>
              <w:right w:val="single" w:sz="4" w:space="0" w:color="auto"/>
            </w:tcBorders>
            <w:shd w:val="clear" w:color="000000" w:fill="D9D9D9"/>
            <w:vAlign w:val="center"/>
            <w:hideMark/>
          </w:tcPr>
          <w:p w14:paraId="1AFE371B" w14:textId="77777777" w:rsidR="00D00389" w:rsidRPr="00D00389" w:rsidRDefault="00D00389" w:rsidP="00D00389">
            <w:pPr>
              <w:jc w:val="cente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 </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14:paraId="2594CCA5" w14:textId="77777777" w:rsidR="00D00389" w:rsidRPr="00D00389" w:rsidRDefault="00D00389" w:rsidP="00D00389">
            <w:pPr>
              <w:jc w:val="cente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M11 FOT variance (£'000)</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87B9481" w14:textId="0481CAB5" w:rsidR="00D00389" w:rsidRPr="00D00389" w:rsidRDefault="00256B26" w:rsidP="00D00389">
            <w:pPr>
              <w:jc w:val="center"/>
              <w:rPr>
                <w:rFonts w:ascii="Calibri" w:eastAsia="Times New Roman" w:hAnsi="Calibri" w:cs="Calibri"/>
                <w:b/>
                <w:bCs/>
                <w:sz w:val="18"/>
                <w:szCs w:val="18"/>
                <w:lang w:val="en-GB" w:eastAsia="en-GB"/>
              </w:rPr>
            </w:pPr>
            <w:r>
              <w:rPr>
                <w:rFonts w:ascii="Calibri" w:eastAsia="Times New Roman" w:hAnsi="Calibri" w:cs="Calibri"/>
                <w:b/>
                <w:bCs/>
                <w:sz w:val="18"/>
                <w:szCs w:val="18"/>
                <w:lang w:val="en-GB" w:eastAsia="en-GB"/>
              </w:rPr>
              <w:t>Variance</w:t>
            </w:r>
            <w:r w:rsidR="00DF6A6E">
              <w:rPr>
                <w:rFonts w:ascii="Calibri" w:eastAsia="Times New Roman" w:hAnsi="Calibri" w:cs="Calibri"/>
                <w:b/>
                <w:bCs/>
                <w:sz w:val="18"/>
                <w:szCs w:val="18"/>
                <w:lang w:val="en-GB" w:eastAsia="en-GB"/>
              </w:rPr>
              <w:t xml:space="preserve"> m</w:t>
            </w:r>
            <w:r w:rsidR="00D00389" w:rsidRPr="00D00389">
              <w:rPr>
                <w:rFonts w:ascii="Calibri" w:eastAsia="Times New Roman" w:hAnsi="Calibri" w:cs="Calibri"/>
                <w:b/>
                <w:bCs/>
                <w:sz w:val="18"/>
                <w:szCs w:val="18"/>
                <w:lang w:val="en-GB" w:eastAsia="en-GB"/>
              </w:rPr>
              <w:t>ovement (£'000)</w:t>
            </w:r>
          </w:p>
        </w:tc>
      </w:tr>
      <w:tr w:rsidR="00D00389" w:rsidRPr="00D00389" w14:paraId="3039A490"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61D1A8B4"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Other - GP Services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41E0B3"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508</w:t>
            </w:r>
          </w:p>
        </w:tc>
        <w:tc>
          <w:tcPr>
            <w:tcW w:w="960" w:type="dxa"/>
            <w:tcBorders>
              <w:top w:val="nil"/>
              <w:left w:val="nil"/>
              <w:bottom w:val="single" w:sz="4" w:space="0" w:color="auto"/>
              <w:right w:val="single" w:sz="4" w:space="0" w:color="auto"/>
            </w:tcBorders>
            <w:shd w:val="clear" w:color="auto" w:fill="auto"/>
            <w:noWrap/>
            <w:vAlign w:val="center"/>
            <w:hideMark/>
          </w:tcPr>
          <w:p w14:paraId="51560EAA"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414</w:t>
            </w:r>
          </w:p>
        </w:tc>
        <w:tc>
          <w:tcPr>
            <w:tcW w:w="960" w:type="dxa"/>
            <w:tcBorders>
              <w:top w:val="nil"/>
              <w:left w:val="nil"/>
              <w:bottom w:val="single" w:sz="4" w:space="0" w:color="auto"/>
              <w:right w:val="single" w:sz="4" w:space="0" w:color="auto"/>
            </w:tcBorders>
            <w:shd w:val="clear" w:color="auto" w:fill="auto"/>
            <w:noWrap/>
            <w:vAlign w:val="center"/>
            <w:hideMark/>
          </w:tcPr>
          <w:p w14:paraId="6D7D6F37"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-94</w:t>
            </w:r>
          </w:p>
        </w:tc>
        <w:tc>
          <w:tcPr>
            <w:tcW w:w="220" w:type="dxa"/>
            <w:tcBorders>
              <w:top w:val="nil"/>
              <w:left w:val="nil"/>
              <w:bottom w:val="single" w:sz="4" w:space="0" w:color="auto"/>
              <w:right w:val="single" w:sz="4" w:space="0" w:color="auto"/>
            </w:tcBorders>
            <w:shd w:val="clear" w:color="auto" w:fill="auto"/>
            <w:noWrap/>
            <w:vAlign w:val="center"/>
            <w:hideMark/>
          </w:tcPr>
          <w:p w14:paraId="00207A8F"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790A70E0"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-111</w:t>
            </w:r>
          </w:p>
        </w:tc>
        <w:tc>
          <w:tcPr>
            <w:tcW w:w="960" w:type="dxa"/>
            <w:tcBorders>
              <w:top w:val="nil"/>
              <w:left w:val="nil"/>
              <w:bottom w:val="single" w:sz="4" w:space="0" w:color="auto"/>
              <w:right w:val="single" w:sz="4" w:space="0" w:color="auto"/>
            </w:tcBorders>
            <w:shd w:val="clear" w:color="auto" w:fill="auto"/>
            <w:noWrap/>
            <w:vAlign w:val="center"/>
            <w:hideMark/>
          </w:tcPr>
          <w:p w14:paraId="209932A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17</w:t>
            </w:r>
          </w:p>
        </w:tc>
      </w:tr>
      <w:tr w:rsidR="00D00389" w:rsidRPr="00D00389" w14:paraId="4E9C7FC3" w14:textId="77777777" w:rsidTr="00D00389">
        <w:trPr>
          <w:trHeight w:val="495"/>
        </w:trPr>
        <w:tc>
          <w:tcPr>
            <w:tcW w:w="2800" w:type="dxa"/>
            <w:tcBorders>
              <w:top w:val="nil"/>
              <w:left w:val="single" w:sz="4" w:space="0" w:color="auto"/>
              <w:bottom w:val="single" w:sz="4" w:space="0" w:color="auto"/>
              <w:right w:val="nil"/>
            </w:tcBorders>
            <w:shd w:val="clear" w:color="auto" w:fill="auto"/>
            <w:vAlign w:val="bottom"/>
            <w:hideMark/>
          </w:tcPr>
          <w:p w14:paraId="2E6AE501"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Other List-Based Services (APMS incl.)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E03626"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1,853</w:t>
            </w:r>
          </w:p>
        </w:tc>
        <w:tc>
          <w:tcPr>
            <w:tcW w:w="960" w:type="dxa"/>
            <w:tcBorders>
              <w:top w:val="nil"/>
              <w:left w:val="nil"/>
              <w:bottom w:val="single" w:sz="4" w:space="0" w:color="auto"/>
              <w:right w:val="single" w:sz="4" w:space="0" w:color="auto"/>
            </w:tcBorders>
            <w:shd w:val="clear" w:color="auto" w:fill="auto"/>
            <w:noWrap/>
            <w:vAlign w:val="center"/>
            <w:hideMark/>
          </w:tcPr>
          <w:p w14:paraId="158A2108"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1,905</w:t>
            </w:r>
          </w:p>
        </w:tc>
        <w:tc>
          <w:tcPr>
            <w:tcW w:w="960" w:type="dxa"/>
            <w:tcBorders>
              <w:top w:val="nil"/>
              <w:left w:val="nil"/>
              <w:bottom w:val="single" w:sz="4" w:space="0" w:color="auto"/>
              <w:right w:val="single" w:sz="4" w:space="0" w:color="auto"/>
            </w:tcBorders>
            <w:shd w:val="clear" w:color="auto" w:fill="auto"/>
            <w:noWrap/>
            <w:vAlign w:val="center"/>
            <w:hideMark/>
          </w:tcPr>
          <w:p w14:paraId="6F21DF7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52</w:t>
            </w:r>
          </w:p>
        </w:tc>
        <w:tc>
          <w:tcPr>
            <w:tcW w:w="220" w:type="dxa"/>
            <w:tcBorders>
              <w:top w:val="nil"/>
              <w:left w:val="nil"/>
              <w:bottom w:val="single" w:sz="4" w:space="0" w:color="auto"/>
              <w:right w:val="single" w:sz="4" w:space="0" w:color="auto"/>
            </w:tcBorders>
            <w:shd w:val="clear" w:color="auto" w:fill="auto"/>
            <w:noWrap/>
            <w:vAlign w:val="center"/>
            <w:hideMark/>
          </w:tcPr>
          <w:p w14:paraId="01877F01"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1FECA8"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83</w:t>
            </w:r>
          </w:p>
        </w:tc>
        <w:tc>
          <w:tcPr>
            <w:tcW w:w="960" w:type="dxa"/>
            <w:tcBorders>
              <w:top w:val="nil"/>
              <w:left w:val="nil"/>
              <w:bottom w:val="single" w:sz="4" w:space="0" w:color="auto"/>
              <w:right w:val="single" w:sz="4" w:space="0" w:color="auto"/>
            </w:tcBorders>
            <w:shd w:val="clear" w:color="auto" w:fill="auto"/>
            <w:noWrap/>
            <w:vAlign w:val="center"/>
            <w:hideMark/>
          </w:tcPr>
          <w:p w14:paraId="51C6B1B6"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-31</w:t>
            </w:r>
          </w:p>
        </w:tc>
      </w:tr>
      <w:tr w:rsidR="00D00389" w:rsidRPr="00D00389" w14:paraId="499C51D6"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64DE4437"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Premises cost reimbursements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EBCCCB"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6,036</w:t>
            </w:r>
          </w:p>
        </w:tc>
        <w:tc>
          <w:tcPr>
            <w:tcW w:w="960" w:type="dxa"/>
            <w:tcBorders>
              <w:top w:val="nil"/>
              <w:left w:val="nil"/>
              <w:bottom w:val="single" w:sz="4" w:space="0" w:color="auto"/>
              <w:right w:val="single" w:sz="4" w:space="0" w:color="auto"/>
            </w:tcBorders>
            <w:shd w:val="clear" w:color="auto" w:fill="auto"/>
            <w:noWrap/>
            <w:vAlign w:val="center"/>
            <w:hideMark/>
          </w:tcPr>
          <w:p w14:paraId="1A1C6748"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6,152</w:t>
            </w:r>
          </w:p>
        </w:tc>
        <w:tc>
          <w:tcPr>
            <w:tcW w:w="960" w:type="dxa"/>
            <w:tcBorders>
              <w:top w:val="nil"/>
              <w:left w:val="nil"/>
              <w:bottom w:val="single" w:sz="4" w:space="0" w:color="auto"/>
              <w:right w:val="single" w:sz="4" w:space="0" w:color="auto"/>
            </w:tcBorders>
            <w:shd w:val="clear" w:color="auto" w:fill="auto"/>
            <w:noWrap/>
            <w:vAlign w:val="center"/>
            <w:hideMark/>
          </w:tcPr>
          <w:p w14:paraId="4EB2FF56"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116</w:t>
            </w:r>
          </w:p>
        </w:tc>
        <w:tc>
          <w:tcPr>
            <w:tcW w:w="220" w:type="dxa"/>
            <w:tcBorders>
              <w:top w:val="nil"/>
              <w:left w:val="nil"/>
              <w:bottom w:val="single" w:sz="4" w:space="0" w:color="auto"/>
              <w:right w:val="single" w:sz="4" w:space="0" w:color="auto"/>
            </w:tcBorders>
            <w:shd w:val="clear" w:color="auto" w:fill="auto"/>
            <w:noWrap/>
            <w:vAlign w:val="center"/>
            <w:hideMark/>
          </w:tcPr>
          <w:p w14:paraId="43FA5956"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764222F0"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47</w:t>
            </w:r>
          </w:p>
        </w:tc>
        <w:tc>
          <w:tcPr>
            <w:tcW w:w="960" w:type="dxa"/>
            <w:tcBorders>
              <w:top w:val="nil"/>
              <w:left w:val="nil"/>
              <w:bottom w:val="single" w:sz="4" w:space="0" w:color="auto"/>
              <w:right w:val="single" w:sz="4" w:space="0" w:color="auto"/>
            </w:tcBorders>
            <w:shd w:val="clear" w:color="auto" w:fill="auto"/>
            <w:noWrap/>
            <w:vAlign w:val="center"/>
            <w:hideMark/>
          </w:tcPr>
          <w:p w14:paraId="62434433"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69</w:t>
            </w:r>
          </w:p>
        </w:tc>
      </w:tr>
      <w:tr w:rsidR="00D00389" w:rsidRPr="00D00389" w14:paraId="60DCC4A1"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0CFC5B82"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Other premises costs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4F38C2"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57</w:t>
            </w:r>
          </w:p>
        </w:tc>
        <w:tc>
          <w:tcPr>
            <w:tcW w:w="960" w:type="dxa"/>
            <w:tcBorders>
              <w:top w:val="nil"/>
              <w:left w:val="nil"/>
              <w:bottom w:val="single" w:sz="4" w:space="0" w:color="auto"/>
              <w:right w:val="single" w:sz="4" w:space="0" w:color="auto"/>
            </w:tcBorders>
            <w:shd w:val="clear" w:color="auto" w:fill="auto"/>
            <w:noWrap/>
            <w:vAlign w:val="center"/>
            <w:hideMark/>
          </w:tcPr>
          <w:p w14:paraId="22413C9A"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54</w:t>
            </w:r>
          </w:p>
        </w:tc>
        <w:tc>
          <w:tcPr>
            <w:tcW w:w="960" w:type="dxa"/>
            <w:tcBorders>
              <w:top w:val="nil"/>
              <w:left w:val="nil"/>
              <w:bottom w:val="single" w:sz="4" w:space="0" w:color="auto"/>
              <w:right w:val="single" w:sz="4" w:space="0" w:color="auto"/>
            </w:tcBorders>
            <w:shd w:val="clear" w:color="auto" w:fill="auto"/>
            <w:noWrap/>
            <w:vAlign w:val="center"/>
            <w:hideMark/>
          </w:tcPr>
          <w:p w14:paraId="3BBE966B"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-3</w:t>
            </w:r>
          </w:p>
        </w:tc>
        <w:tc>
          <w:tcPr>
            <w:tcW w:w="220" w:type="dxa"/>
            <w:tcBorders>
              <w:top w:val="nil"/>
              <w:left w:val="nil"/>
              <w:bottom w:val="single" w:sz="4" w:space="0" w:color="auto"/>
              <w:right w:val="single" w:sz="4" w:space="0" w:color="auto"/>
            </w:tcBorders>
            <w:shd w:val="clear" w:color="auto" w:fill="auto"/>
            <w:noWrap/>
            <w:vAlign w:val="center"/>
            <w:hideMark/>
          </w:tcPr>
          <w:p w14:paraId="199D62B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45E1944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7A0304D1"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w:t>
            </w:r>
          </w:p>
        </w:tc>
      </w:tr>
      <w:tr w:rsidR="00D00389" w:rsidRPr="00D00389" w14:paraId="529C5A09"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10703453"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General Practice - PMS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413D8"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16,765</w:t>
            </w:r>
          </w:p>
        </w:tc>
        <w:tc>
          <w:tcPr>
            <w:tcW w:w="960" w:type="dxa"/>
            <w:tcBorders>
              <w:top w:val="nil"/>
              <w:left w:val="nil"/>
              <w:bottom w:val="single" w:sz="4" w:space="0" w:color="auto"/>
              <w:right w:val="single" w:sz="4" w:space="0" w:color="auto"/>
            </w:tcBorders>
            <w:shd w:val="clear" w:color="auto" w:fill="auto"/>
            <w:noWrap/>
            <w:vAlign w:val="center"/>
            <w:hideMark/>
          </w:tcPr>
          <w:p w14:paraId="3ACA0815"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16,480</w:t>
            </w:r>
          </w:p>
        </w:tc>
        <w:tc>
          <w:tcPr>
            <w:tcW w:w="960" w:type="dxa"/>
            <w:tcBorders>
              <w:top w:val="nil"/>
              <w:left w:val="nil"/>
              <w:bottom w:val="single" w:sz="4" w:space="0" w:color="auto"/>
              <w:right w:val="single" w:sz="4" w:space="0" w:color="auto"/>
            </w:tcBorders>
            <w:shd w:val="clear" w:color="auto" w:fill="auto"/>
            <w:noWrap/>
            <w:vAlign w:val="center"/>
            <w:hideMark/>
          </w:tcPr>
          <w:p w14:paraId="73A4D376"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-286</w:t>
            </w:r>
          </w:p>
        </w:tc>
        <w:tc>
          <w:tcPr>
            <w:tcW w:w="220" w:type="dxa"/>
            <w:tcBorders>
              <w:top w:val="nil"/>
              <w:left w:val="nil"/>
              <w:bottom w:val="single" w:sz="4" w:space="0" w:color="auto"/>
              <w:right w:val="single" w:sz="4" w:space="0" w:color="auto"/>
            </w:tcBorders>
            <w:shd w:val="clear" w:color="auto" w:fill="auto"/>
            <w:noWrap/>
            <w:vAlign w:val="center"/>
            <w:hideMark/>
          </w:tcPr>
          <w:p w14:paraId="15513AC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6849715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-313</w:t>
            </w:r>
          </w:p>
        </w:tc>
        <w:tc>
          <w:tcPr>
            <w:tcW w:w="960" w:type="dxa"/>
            <w:tcBorders>
              <w:top w:val="nil"/>
              <w:left w:val="nil"/>
              <w:bottom w:val="single" w:sz="4" w:space="0" w:color="auto"/>
              <w:right w:val="single" w:sz="4" w:space="0" w:color="auto"/>
            </w:tcBorders>
            <w:shd w:val="clear" w:color="auto" w:fill="auto"/>
            <w:noWrap/>
            <w:vAlign w:val="center"/>
            <w:hideMark/>
          </w:tcPr>
          <w:p w14:paraId="648EBAAD"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27</w:t>
            </w:r>
          </w:p>
        </w:tc>
      </w:tr>
      <w:tr w:rsidR="00D00389" w:rsidRPr="00D00389" w14:paraId="362CE236"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5336E748"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Community Base Services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539117"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2CF21AB0"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5EF6AB2D"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220" w:type="dxa"/>
            <w:tcBorders>
              <w:top w:val="nil"/>
              <w:left w:val="nil"/>
              <w:bottom w:val="single" w:sz="4" w:space="0" w:color="auto"/>
              <w:right w:val="single" w:sz="4" w:space="0" w:color="auto"/>
            </w:tcBorders>
            <w:shd w:val="clear" w:color="auto" w:fill="auto"/>
            <w:noWrap/>
            <w:vAlign w:val="center"/>
            <w:hideMark/>
          </w:tcPr>
          <w:p w14:paraId="3811C400"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1C9907FF"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5D48CDE"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r>
      <w:tr w:rsidR="00D00389" w:rsidRPr="00D00389" w14:paraId="1EF63186"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72EF08FB"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QOF</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387D71"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2,339</w:t>
            </w:r>
          </w:p>
        </w:tc>
        <w:tc>
          <w:tcPr>
            <w:tcW w:w="960" w:type="dxa"/>
            <w:tcBorders>
              <w:top w:val="nil"/>
              <w:left w:val="nil"/>
              <w:bottom w:val="single" w:sz="4" w:space="0" w:color="auto"/>
              <w:right w:val="single" w:sz="4" w:space="0" w:color="auto"/>
            </w:tcBorders>
            <w:shd w:val="clear" w:color="auto" w:fill="auto"/>
            <w:noWrap/>
            <w:vAlign w:val="center"/>
            <w:hideMark/>
          </w:tcPr>
          <w:p w14:paraId="2D31466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2,399</w:t>
            </w:r>
          </w:p>
        </w:tc>
        <w:tc>
          <w:tcPr>
            <w:tcW w:w="960" w:type="dxa"/>
            <w:tcBorders>
              <w:top w:val="nil"/>
              <w:left w:val="nil"/>
              <w:bottom w:val="single" w:sz="4" w:space="0" w:color="auto"/>
              <w:right w:val="single" w:sz="4" w:space="0" w:color="auto"/>
            </w:tcBorders>
            <w:shd w:val="clear" w:color="auto" w:fill="auto"/>
            <w:noWrap/>
            <w:vAlign w:val="center"/>
            <w:hideMark/>
          </w:tcPr>
          <w:p w14:paraId="56676610"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60</w:t>
            </w:r>
          </w:p>
        </w:tc>
        <w:tc>
          <w:tcPr>
            <w:tcW w:w="220" w:type="dxa"/>
            <w:tcBorders>
              <w:top w:val="nil"/>
              <w:left w:val="nil"/>
              <w:bottom w:val="single" w:sz="4" w:space="0" w:color="auto"/>
              <w:right w:val="single" w:sz="4" w:space="0" w:color="auto"/>
            </w:tcBorders>
            <w:shd w:val="clear" w:color="auto" w:fill="auto"/>
            <w:noWrap/>
            <w:vAlign w:val="center"/>
            <w:hideMark/>
          </w:tcPr>
          <w:p w14:paraId="57C362EE"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7DB72C9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60</w:t>
            </w:r>
          </w:p>
        </w:tc>
        <w:tc>
          <w:tcPr>
            <w:tcW w:w="960" w:type="dxa"/>
            <w:tcBorders>
              <w:top w:val="nil"/>
              <w:left w:val="nil"/>
              <w:bottom w:val="single" w:sz="4" w:space="0" w:color="auto"/>
              <w:right w:val="single" w:sz="4" w:space="0" w:color="auto"/>
            </w:tcBorders>
            <w:shd w:val="clear" w:color="auto" w:fill="auto"/>
            <w:noWrap/>
            <w:vAlign w:val="center"/>
            <w:hideMark/>
          </w:tcPr>
          <w:p w14:paraId="773748F1"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r>
      <w:tr w:rsidR="00D00389" w:rsidRPr="00D00389" w14:paraId="7099818D"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65D6B1C7"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Enhanced services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EFFC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417</w:t>
            </w:r>
          </w:p>
        </w:tc>
        <w:tc>
          <w:tcPr>
            <w:tcW w:w="960" w:type="dxa"/>
            <w:tcBorders>
              <w:top w:val="nil"/>
              <w:left w:val="nil"/>
              <w:bottom w:val="single" w:sz="4" w:space="0" w:color="auto"/>
              <w:right w:val="single" w:sz="4" w:space="0" w:color="auto"/>
            </w:tcBorders>
            <w:shd w:val="clear" w:color="auto" w:fill="auto"/>
            <w:noWrap/>
            <w:vAlign w:val="center"/>
            <w:hideMark/>
          </w:tcPr>
          <w:p w14:paraId="55583383"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467</w:t>
            </w:r>
          </w:p>
        </w:tc>
        <w:tc>
          <w:tcPr>
            <w:tcW w:w="960" w:type="dxa"/>
            <w:tcBorders>
              <w:top w:val="nil"/>
              <w:left w:val="nil"/>
              <w:bottom w:val="single" w:sz="4" w:space="0" w:color="auto"/>
              <w:right w:val="single" w:sz="4" w:space="0" w:color="auto"/>
            </w:tcBorders>
            <w:shd w:val="clear" w:color="auto" w:fill="auto"/>
            <w:noWrap/>
            <w:vAlign w:val="center"/>
            <w:hideMark/>
          </w:tcPr>
          <w:p w14:paraId="33BD12EA"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51</w:t>
            </w:r>
          </w:p>
        </w:tc>
        <w:tc>
          <w:tcPr>
            <w:tcW w:w="220" w:type="dxa"/>
            <w:tcBorders>
              <w:top w:val="nil"/>
              <w:left w:val="nil"/>
              <w:bottom w:val="single" w:sz="4" w:space="0" w:color="auto"/>
              <w:right w:val="single" w:sz="4" w:space="0" w:color="auto"/>
            </w:tcBorders>
            <w:shd w:val="clear" w:color="auto" w:fill="auto"/>
            <w:noWrap/>
            <w:vAlign w:val="center"/>
            <w:hideMark/>
          </w:tcPr>
          <w:p w14:paraId="778B6B2E"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3A9BAB30"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51</w:t>
            </w:r>
          </w:p>
        </w:tc>
        <w:tc>
          <w:tcPr>
            <w:tcW w:w="960" w:type="dxa"/>
            <w:tcBorders>
              <w:top w:val="nil"/>
              <w:left w:val="nil"/>
              <w:bottom w:val="single" w:sz="4" w:space="0" w:color="auto"/>
              <w:right w:val="single" w:sz="4" w:space="0" w:color="auto"/>
            </w:tcBorders>
            <w:shd w:val="clear" w:color="auto" w:fill="auto"/>
            <w:noWrap/>
            <w:vAlign w:val="center"/>
            <w:hideMark/>
          </w:tcPr>
          <w:p w14:paraId="01032470"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r>
      <w:tr w:rsidR="00D00389" w:rsidRPr="00D00389" w14:paraId="7BA92C33" w14:textId="77777777" w:rsidTr="00D00389">
        <w:trPr>
          <w:trHeight w:val="300"/>
        </w:trPr>
        <w:tc>
          <w:tcPr>
            <w:tcW w:w="2800" w:type="dxa"/>
            <w:tcBorders>
              <w:top w:val="nil"/>
              <w:left w:val="single" w:sz="4" w:space="0" w:color="auto"/>
              <w:bottom w:val="single" w:sz="4" w:space="0" w:color="auto"/>
              <w:right w:val="nil"/>
            </w:tcBorders>
            <w:shd w:val="clear" w:color="000000" w:fill="D9D9D9"/>
            <w:noWrap/>
            <w:vAlign w:val="bottom"/>
            <w:hideMark/>
          </w:tcPr>
          <w:p w14:paraId="4C0BE626" w14:textId="77777777" w:rsidR="00D00389" w:rsidRPr="00D00389" w:rsidRDefault="00D00389" w:rsidP="00D00389">
            <w:pP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TOTAL</w:t>
            </w:r>
          </w:p>
        </w:tc>
        <w:tc>
          <w:tcPr>
            <w:tcW w:w="960" w:type="dxa"/>
            <w:tcBorders>
              <w:top w:val="nil"/>
              <w:left w:val="single" w:sz="4" w:space="0" w:color="auto"/>
              <w:bottom w:val="single" w:sz="4" w:space="0" w:color="auto"/>
              <w:right w:val="nil"/>
            </w:tcBorders>
            <w:shd w:val="clear" w:color="000000" w:fill="D9D9D9"/>
            <w:noWrap/>
            <w:vAlign w:val="bottom"/>
            <w:hideMark/>
          </w:tcPr>
          <w:p w14:paraId="7F8922C8"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27,975</w:t>
            </w:r>
          </w:p>
        </w:tc>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4B0850D6"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27,870</w:t>
            </w:r>
          </w:p>
        </w:tc>
        <w:tc>
          <w:tcPr>
            <w:tcW w:w="960" w:type="dxa"/>
            <w:tcBorders>
              <w:top w:val="nil"/>
              <w:left w:val="nil"/>
              <w:bottom w:val="single" w:sz="4" w:space="0" w:color="auto"/>
              <w:right w:val="single" w:sz="4" w:space="0" w:color="auto"/>
            </w:tcBorders>
            <w:shd w:val="clear" w:color="000000" w:fill="D9D9D9"/>
            <w:noWrap/>
            <w:vAlign w:val="center"/>
            <w:hideMark/>
          </w:tcPr>
          <w:p w14:paraId="1911F717"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-105</w:t>
            </w:r>
          </w:p>
        </w:tc>
        <w:tc>
          <w:tcPr>
            <w:tcW w:w="220" w:type="dxa"/>
            <w:tcBorders>
              <w:top w:val="nil"/>
              <w:left w:val="nil"/>
              <w:bottom w:val="single" w:sz="4" w:space="0" w:color="auto"/>
              <w:right w:val="single" w:sz="4" w:space="0" w:color="auto"/>
            </w:tcBorders>
            <w:shd w:val="clear" w:color="000000" w:fill="D9D9D9"/>
            <w:noWrap/>
            <w:vAlign w:val="center"/>
            <w:hideMark/>
          </w:tcPr>
          <w:p w14:paraId="6140DC8F"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 </w:t>
            </w:r>
          </w:p>
        </w:tc>
        <w:tc>
          <w:tcPr>
            <w:tcW w:w="1000" w:type="dxa"/>
            <w:tcBorders>
              <w:top w:val="nil"/>
              <w:left w:val="nil"/>
              <w:bottom w:val="single" w:sz="4" w:space="0" w:color="auto"/>
              <w:right w:val="single" w:sz="4" w:space="0" w:color="auto"/>
            </w:tcBorders>
            <w:shd w:val="clear" w:color="000000" w:fill="D9D9D9"/>
            <w:noWrap/>
            <w:vAlign w:val="center"/>
            <w:hideMark/>
          </w:tcPr>
          <w:p w14:paraId="105A446D"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-187</w:t>
            </w:r>
          </w:p>
        </w:tc>
        <w:tc>
          <w:tcPr>
            <w:tcW w:w="960" w:type="dxa"/>
            <w:tcBorders>
              <w:top w:val="nil"/>
              <w:left w:val="nil"/>
              <w:bottom w:val="single" w:sz="4" w:space="0" w:color="auto"/>
              <w:right w:val="single" w:sz="4" w:space="0" w:color="auto"/>
            </w:tcBorders>
            <w:shd w:val="clear" w:color="000000" w:fill="D9D9D9"/>
            <w:noWrap/>
            <w:vAlign w:val="center"/>
            <w:hideMark/>
          </w:tcPr>
          <w:p w14:paraId="71FFC157"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82</w:t>
            </w:r>
          </w:p>
        </w:tc>
      </w:tr>
    </w:tbl>
    <w:p w14:paraId="47E6E146" w14:textId="7F5D0654" w:rsidR="008910D6" w:rsidRDefault="008910D6" w:rsidP="00105A15">
      <w:pPr>
        <w:pStyle w:val="Default"/>
        <w:jc w:val="both"/>
        <w:rPr>
          <w:sz w:val="20"/>
          <w:szCs w:val="20"/>
          <w:u w:val="single"/>
        </w:rPr>
      </w:pPr>
    </w:p>
    <w:p w14:paraId="2EC8C4CB" w14:textId="22D8D1C7" w:rsidR="008910D6" w:rsidRPr="00DF6A6E" w:rsidRDefault="008910D6" w:rsidP="00105A15">
      <w:pPr>
        <w:pStyle w:val="Default"/>
        <w:jc w:val="both"/>
        <w:rPr>
          <w:b/>
          <w:bCs/>
          <w:sz w:val="20"/>
          <w:szCs w:val="20"/>
        </w:rPr>
      </w:pPr>
      <w:r w:rsidRPr="00DF6A6E">
        <w:rPr>
          <w:b/>
          <w:bCs/>
          <w:sz w:val="20"/>
          <w:szCs w:val="20"/>
        </w:rPr>
        <w:t>Core Primary Care</w:t>
      </w:r>
    </w:p>
    <w:tbl>
      <w:tblPr>
        <w:tblW w:w="7860" w:type="dxa"/>
        <w:tblLook w:val="04A0" w:firstRow="1" w:lastRow="0" w:firstColumn="1" w:lastColumn="0" w:noHBand="0" w:noVBand="1"/>
      </w:tblPr>
      <w:tblGrid>
        <w:gridCol w:w="2800"/>
        <w:gridCol w:w="960"/>
        <w:gridCol w:w="960"/>
        <w:gridCol w:w="960"/>
        <w:gridCol w:w="257"/>
        <w:gridCol w:w="1000"/>
        <w:gridCol w:w="1032"/>
      </w:tblGrid>
      <w:tr w:rsidR="00DF6A6E" w:rsidRPr="00D00389" w14:paraId="58ED5C3A" w14:textId="77777777" w:rsidTr="00D00389">
        <w:trPr>
          <w:trHeight w:val="720"/>
        </w:trPr>
        <w:tc>
          <w:tcPr>
            <w:tcW w:w="2800" w:type="dxa"/>
            <w:tcBorders>
              <w:top w:val="single" w:sz="4" w:space="0" w:color="auto"/>
              <w:left w:val="single" w:sz="4" w:space="0" w:color="auto"/>
              <w:bottom w:val="single" w:sz="4" w:space="0" w:color="auto"/>
              <w:right w:val="nil"/>
            </w:tcBorders>
            <w:shd w:val="clear" w:color="000000" w:fill="D9D9D9"/>
            <w:noWrap/>
            <w:vAlign w:val="center"/>
            <w:hideMark/>
          </w:tcPr>
          <w:p w14:paraId="52C68425" w14:textId="77777777" w:rsidR="00D00389" w:rsidRPr="00D00389" w:rsidRDefault="00D00389" w:rsidP="00D00389">
            <w:pP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 </w:t>
            </w:r>
          </w:p>
        </w:tc>
        <w:tc>
          <w:tcPr>
            <w:tcW w:w="960" w:type="dxa"/>
            <w:tcBorders>
              <w:top w:val="single" w:sz="4" w:space="0" w:color="auto"/>
              <w:left w:val="single" w:sz="4" w:space="0" w:color="auto"/>
              <w:bottom w:val="single" w:sz="4" w:space="0" w:color="auto"/>
              <w:right w:val="nil"/>
            </w:tcBorders>
            <w:shd w:val="clear" w:color="000000" w:fill="D9D9D9"/>
            <w:vAlign w:val="center"/>
            <w:hideMark/>
          </w:tcPr>
          <w:p w14:paraId="24C866C5" w14:textId="77777777" w:rsidR="00D00389" w:rsidRPr="00D00389" w:rsidRDefault="00D00389" w:rsidP="00D00389">
            <w:pPr>
              <w:jc w:val="cente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Annual budget (£'000)</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1B598D" w14:textId="363A016F" w:rsidR="00D00389" w:rsidRPr="00D00389" w:rsidRDefault="00D00389" w:rsidP="00D00389">
            <w:pPr>
              <w:jc w:val="center"/>
              <w:rPr>
                <w:rFonts w:ascii="Calibri" w:eastAsia="Times New Roman" w:hAnsi="Calibri" w:cs="Calibri"/>
                <w:b/>
                <w:bCs/>
                <w:sz w:val="18"/>
                <w:szCs w:val="18"/>
                <w:lang w:val="en-GB" w:eastAsia="en-GB"/>
              </w:rPr>
            </w:pPr>
            <w:r>
              <w:rPr>
                <w:rFonts w:ascii="Calibri" w:eastAsia="Times New Roman" w:hAnsi="Calibri" w:cs="Calibri"/>
                <w:b/>
                <w:bCs/>
                <w:sz w:val="18"/>
                <w:szCs w:val="18"/>
                <w:lang w:val="en-GB" w:eastAsia="en-GB"/>
              </w:rPr>
              <w:t>M12</w:t>
            </w:r>
            <w:r w:rsidRPr="00D00389">
              <w:rPr>
                <w:rFonts w:ascii="Calibri" w:eastAsia="Times New Roman" w:hAnsi="Calibri" w:cs="Calibri"/>
                <w:b/>
                <w:bCs/>
                <w:sz w:val="18"/>
                <w:szCs w:val="18"/>
                <w:lang w:val="en-GB" w:eastAsia="en-GB"/>
              </w:rPr>
              <w:t xml:space="preserve"> actual (£'000)</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F4742BA" w14:textId="1800B5B7" w:rsidR="00D00389" w:rsidRPr="00D00389" w:rsidRDefault="00D00389" w:rsidP="00D00389">
            <w:pPr>
              <w:jc w:val="center"/>
              <w:rPr>
                <w:rFonts w:ascii="Calibri" w:eastAsia="Times New Roman" w:hAnsi="Calibri" w:cs="Calibri"/>
                <w:b/>
                <w:bCs/>
                <w:sz w:val="18"/>
                <w:szCs w:val="18"/>
                <w:lang w:val="en-GB" w:eastAsia="en-GB"/>
              </w:rPr>
            </w:pPr>
            <w:r>
              <w:rPr>
                <w:rFonts w:ascii="Calibri" w:eastAsia="Times New Roman" w:hAnsi="Calibri" w:cs="Calibri"/>
                <w:b/>
                <w:bCs/>
                <w:sz w:val="18"/>
                <w:szCs w:val="18"/>
                <w:lang w:val="en-GB" w:eastAsia="en-GB"/>
              </w:rPr>
              <w:t>M12</w:t>
            </w:r>
            <w:r w:rsidRPr="00D00389">
              <w:rPr>
                <w:rFonts w:ascii="Calibri" w:eastAsia="Times New Roman" w:hAnsi="Calibri" w:cs="Calibri"/>
                <w:b/>
                <w:bCs/>
                <w:sz w:val="18"/>
                <w:szCs w:val="18"/>
                <w:lang w:val="en-GB" w:eastAsia="en-GB"/>
              </w:rPr>
              <w:t xml:space="preserve"> variance (£'000)</w:t>
            </w:r>
          </w:p>
        </w:tc>
        <w:tc>
          <w:tcPr>
            <w:tcW w:w="220" w:type="dxa"/>
            <w:tcBorders>
              <w:top w:val="single" w:sz="4" w:space="0" w:color="auto"/>
              <w:left w:val="nil"/>
              <w:bottom w:val="single" w:sz="4" w:space="0" w:color="auto"/>
              <w:right w:val="single" w:sz="4" w:space="0" w:color="auto"/>
            </w:tcBorders>
            <w:shd w:val="clear" w:color="000000" w:fill="D9D9D9"/>
            <w:vAlign w:val="center"/>
            <w:hideMark/>
          </w:tcPr>
          <w:p w14:paraId="5BD79E81" w14:textId="77777777" w:rsidR="00D00389" w:rsidRPr="00D00389" w:rsidRDefault="00D00389" w:rsidP="00D00389">
            <w:pPr>
              <w:jc w:val="cente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 </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14:paraId="79E898E5" w14:textId="77777777" w:rsidR="00D00389" w:rsidRPr="00D00389" w:rsidRDefault="00D00389" w:rsidP="00D00389">
            <w:pPr>
              <w:jc w:val="center"/>
              <w:rPr>
                <w:rFonts w:ascii="Calibri" w:eastAsia="Times New Roman" w:hAnsi="Calibri" w:cs="Calibri"/>
                <w:b/>
                <w:bCs/>
                <w:sz w:val="18"/>
                <w:szCs w:val="18"/>
                <w:lang w:val="en-GB" w:eastAsia="en-GB"/>
              </w:rPr>
            </w:pPr>
            <w:r w:rsidRPr="00D00389">
              <w:rPr>
                <w:rFonts w:ascii="Calibri" w:eastAsia="Times New Roman" w:hAnsi="Calibri" w:cs="Calibri"/>
                <w:b/>
                <w:bCs/>
                <w:sz w:val="18"/>
                <w:szCs w:val="18"/>
                <w:lang w:val="en-GB" w:eastAsia="en-GB"/>
              </w:rPr>
              <w:t>M11 FOT variance (£'000)</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6B3E87D1" w14:textId="342AB9A4" w:rsidR="00D00389" w:rsidRPr="00D00389" w:rsidRDefault="00256B26" w:rsidP="00D00389">
            <w:pPr>
              <w:jc w:val="center"/>
              <w:rPr>
                <w:rFonts w:ascii="Calibri" w:eastAsia="Times New Roman" w:hAnsi="Calibri" w:cs="Calibri"/>
                <w:b/>
                <w:bCs/>
                <w:sz w:val="18"/>
                <w:szCs w:val="18"/>
                <w:lang w:val="en-GB" w:eastAsia="en-GB"/>
              </w:rPr>
            </w:pPr>
            <w:r>
              <w:rPr>
                <w:rFonts w:ascii="Calibri" w:eastAsia="Times New Roman" w:hAnsi="Calibri" w:cs="Calibri"/>
                <w:b/>
                <w:bCs/>
                <w:sz w:val="18"/>
                <w:szCs w:val="18"/>
                <w:lang w:val="en-GB" w:eastAsia="en-GB"/>
              </w:rPr>
              <w:t>Variance</w:t>
            </w:r>
            <w:r w:rsidR="00DF6A6E">
              <w:rPr>
                <w:rFonts w:ascii="Calibri" w:eastAsia="Times New Roman" w:hAnsi="Calibri" w:cs="Calibri"/>
                <w:b/>
                <w:bCs/>
                <w:sz w:val="18"/>
                <w:szCs w:val="18"/>
                <w:lang w:val="en-GB" w:eastAsia="en-GB"/>
              </w:rPr>
              <w:t xml:space="preserve"> m</w:t>
            </w:r>
            <w:r w:rsidR="00D00389" w:rsidRPr="00D00389">
              <w:rPr>
                <w:rFonts w:ascii="Calibri" w:eastAsia="Times New Roman" w:hAnsi="Calibri" w:cs="Calibri"/>
                <w:b/>
                <w:bCs/>
                <w:sz w:val="18"/>
                <w:szCs w:val="18"/>
                <w:lang w:val="en-GB" w:eastAsia="en-GB"/>
              </w:rPr>
              <w:t>ovement (£'000)</w:t>
            </w:r>
          </w:p>
        </w:tc>
      </w:tr>
      <w:tr w:rsidR="00D00389" w:rsidRPr="00D00389" w14:paraId="28141587" w14:textId="77777777" w:rsidTr="00D00389">
        <w:trPr>
          <w:trHeight w:val="495"/>
        </w:trPr>
        <w:tc>
          <w:tcPr>
            <w:tcW w:w="2800" w:type="dxa"/>
            <w:tcBorders>
              <w:top w:val="nil"/>
              <w:left w:val="single" w:sz="4" w:space="0" w:color="auto"/>
              <w:bottom w:val="single" w:sz="4" w:space="0" w:color="auto"/>
              <w:right w:val="nil"/>
            </w:tcBorders>
            <w:shd w:val="clear" w:color="auto" w:fill="auto"/>
            <w:vAlign w:val="bottom"/>
            <w:hideMark/>
          </w:tcPr>
          <w:p w14:paraId="24F80E4A"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£1.50 per head PCN Development Investment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48F1F7"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255</w:t>
            </w:r>
          </w:p>
        </w:tc>
        <w:tc>
          <w:tcPr>
            <w:tcW w:w="960" w:type="dxa"/>
            <w:tcBorders>
              <w:top w:val="nil"/>
              <w:left w:val="nil"/>
              <w:bottom w:val="single" w:sz="4" w:space="0" w:color="auto"/>
              <w:right w:val="single" w:sz="4" w:space="0" w:color="auto"/>
            </w:tcBorders>
            <w:shd w:val="clear" w:color="auto" w:fill="auto"/>
            <w:noWrap/>
            <w:vAlign w:val="center"/>
            <w:hideMark/>
          </w:tcPr>
          <w:p w14:paraId="18777CB4"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255</w:t>
            </w:r>
          </w:p>
        </w:tc>
        <w:tc>
          <w:tcPr>
            <w:tcW w:w="960" w:type="dxa"/>
            <w:tcBorders>
              <w:top w:val="nil"/>
              <w:left w:val="nil"/>
              <w:bottom w:val="single" w:sz="4" w:space="0" w:color="auto"/>
              <w:right w:val="single" w:sz="4" w:space="0" w:color="auto"/>
            </w:tcBorders>
            <w:shd w:val="clear" w:color="auto" w:fill="auto"/>
            <w:noWrap/>
            <w:vAlign w:val="center"/>
            <w:hideMark/>
          </w:tcPr>
          <w:p w14:paraId="3AF7D56A"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220" w:type="dxa"/>
            <w:tcBorders>
              <w:top w:val="nil"/>
              <w:left w:val="nil"/>
              <w:bottom w:val="single" w:sz="4" w:space="0" w:color="auto"/>
              <w:right w:val="single" w:sz="4" w:space="0" w:color="auto"/>
            </w:tcBorders>
            <w:shd w:val="clear" w:color="auto" w:fill="auto"/>
            <w:noWrap/>
            <w:vAlign w:val="center"/>
            <w:hideMark/>
          </w:tcPr>
          <w:p w14:paraId="50C31D0C"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683E3185"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4FEA531"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r>
      <w:tr w:rsidR="00D00389" w:rsidRPr="00D00389" w14:paraId="4DBB20C8"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258AB5E2"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Community Base Services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070C6"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7,760</w:t>
            </w:r>
          </w:p>
        </w:tc>
        <w:tc>
          <w:tcPr>
            <w:tcW w:w="960" w:type="dxa"/>
            <w:tcBorders>
              <w:top w:val="nil"/>
              <w:left w:val="nil"/>
              <w:bottom w:val="single" w:sz="4" w:space="0" w:color="auto"/>
              <w:right w:val="single" w:sz="4" w:space="0" w:color="auto"/>
            </w:tcBorders>
            <w:shd w:val="clear" w:color="auto" w:fill="auto"/>
            <w:noWrap/>
            <w:vAlign w:val="center"/>
            <w:hideMark/>
          </w:tcPr>
          <w:p w14:paraId="55A33551"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7,363</w:t>
            </w:r>
          </w:p>
        </w:tc>
        <w:tc>
          <w:tcPr>
            <w:tcW w:w="960" w:type="dxa"/>
            <w:tcBorders>
              <w:top w:val="nil"/>
              <w:left w:val="nil"/>
              <w:bottom w:val="single" w:sz="4" w:space="0" w:color="auto"/>
              <w:right w:val="single" w:sz="4" w:space="0" w:color="auto"/>
            </w:tcBorders>
            <w:shd w:val="clear" w:color="auto" w:fill="auto"/>
            <w:noWrap/>
            <w:vAlign w:val="center"/>
            <w:hideMark/>
          </w:tcPr>
          <w:p w14:paraId="71415903"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-397</w:t>
            </w:r>
          </w:p>
        </w:tc>
        <w:tc>
          <w:tcPr>
            <w:tcW w:w="220" w:type="dxa"/>
            <w:tcBorders>
              <w:top w:val="nil"/>
              <w:left w:val="nil"/>
              <w:bottom w:val="single" w:sz="4" w:space="0" w:color="auto"/>
              <w:right w:val="single" w:sz="4" w:space="0" w:color="auto"/>
            </w:tcBorders>
            <w:shd w:val="clear" w:color="auto" w:fill="auto"/>
            <w:noWrap/>
            <w:vAlign w:val="center"/>
            <w:hideMark/>
          </w:tcPr>
          <w:p w14:paraId="7300BA34"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7DF44F4D"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-206</w:t>
            </w:r>
          </w:p>
        </w:tc>
        <w:tc>
          <w:tcPr>
            <w:tcW w:w="960" w:type="dxa"/>
            <w:tcBorders>
              <w:top w:val="nil"/>
              <w:left w:val="nil"/>
              <w:bottom w:val="single" w:sz="4" w:space="0" w:color="auto"/>
              <w:right w:val="single" w:sz="4" w:space="0" w:color="auto"/>
            </w:tcBorders>
            <w:shd w:val="clear" w:color="auto" w:fill="auto"/>
            <w:noWrap/>
            <w:vAlign w:val="center"/>
            <w:hideMark/>
          </w:tcPr>
          <w:p w14:paraId="20934B44"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-191</w:t>
            </w:r>
          </w:p>
        </w:tc>
      </w:tr>
      <w:tr w:rsidR="00D00389" w:rsidRPr="00D00389" w14:paraId="77CBFAD2"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1EE57186"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GP IT Costs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40E57D"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913</w:t>
            </w:r>
          </w:p>
        </w:tc>
        <w:tc>
          <w:tcPr>
            <w:tcW w:w="960" w:type="dxa"/>
            <w:tcBorders>
              <w:top w:val="nil"/>
              <w:left w:val="nil"/>
              <w:bottom w:val="single" w:sz="4" w:space="0" w:color="auto"/>
              <w:right w:val="single" w:sz="4" w:space="0" w:color="auto"/>
            </w:tcBorders>
            <w:shd w:val="clear" w:color="auto" w:fill="auto"/>
            <w:noWrap/>
            <w:vAlign w:val="center"/>
            <w:hideMark/>
          </w:tcPr>
          <w:p w14:paraId="4BB0D502"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859</w:t>
            </w:r>
          </w:p>
        </w:tc>
        <w:tc>
          <w:tcPr>
            <w:tcW w:w="960" w:type="dxa"/>
            <w:tcBorders>
              <w:top w:val="nil"/>
              <w:left w:val="nil"/>
              <w:bottom w:val="single" w:sz="4" w:space="0" w:color="auto"/>
              <w:right w:val="single" w:sz="4" w:space="0" w:color="auto"/>
            </w:tcBorders>
            <w:shd w:val="clear" w:color="auto" w:fill="auto"/>
            <w:noWrap/>
            <w:vAlign w:val="center"/>
            <w:hideMark/>
          </w:tcPr>
          <w:p w14:paraId="59E89D72"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-54</w:t>
            </w:r>
          </w:p>
        </w:tc>
        <w:tc>
          <w:tcPr>
            <w:tcW w:w="220" w:type="dxa"/>
            <w:tcBorders>
              <w:top w:val="nil"/>
              <w:left w:val="nil"/>
              <w:bottom w:val="single" w:sz="4" w:space="0" w:color="auto"/>
              <w:right w:val="single" w:sz="4" w:space="0" w:color="auto"/>
            </w:tcBorders>
            <w:shd w:val="clear" w:color="auto" w:fill="auto"/>
            <w:noWrap/>
            <w:vAlign w:val="center"/>
            <w:hideMark/>
          </w:tcPr>
          <w:p w14:paraId="4BECF196"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5BFCD2CB"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-60</w:t>
            </w:r>
          </w:p>
        </w:tc>
        <w:tc>
          <w:tcPr>
            <w:tcW w:w="960" w:type="dxa"/>
            <w:tcBorders>
              <w:top w:val="nil"/>
              <w:left w:val="nil"/>
              <w:bottom w:val="single" w:sz="4" w:space="0" w:color="auto"/>
              <w:right w:val="single" w:sz="4" w:space="0" w:color="auto"/>
            </w:tcBorders>
            <w:shd w:val="clear" w:color="auto" w:fill="auto"/>
            <w:noWrap/>
            <w:vAlign w:val="center"/>
            <w:hideMark/>
          </w:tcPr>
          <w:p w14:paraId="0D2FA4A5"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6</w:t>
            </w:r>
          </w:p>
        </w:tc>
      </w:tr>
      <w:tr w:rsidR="00D00389" w:rsidRPr="00D00389" w14:paraId="7369EB1D" w14:textId="77777777" w:rsidTr="00D00389">
        <w:trPr>
          <w:trHeight w:val="300"/>
        </w:trPr>
        <w:tc>
          <w:tcPr>
            <w:tcW w:w="2800" w:type="dxa"/>
            <w:tcBorders>
              <w:top w:val="nil"/>
              <w:left w:val="single" w:sz="4" w:space="0" w:color="auto"/>
              <w:bottom w:val="single" w:sz="4" w:space="0" w:color="auto"/>
              <w:right w:val="nil"/>
            </w:tcBorders>
            <w:shd w:val="clear" w:color="auto" w:fill="auto"/>
            <w:vAlign w:val="bottom"/>
            <w:hideMark/>
          </w:tcPr>
          <w:p w14:paraId="676242EC" w14:textId="77777777" w:rsidR="00D00389" w:rsidRPr="00D00389" w:rsidRDefault="00D00389" w:rsidP="00D00389">
            <w:pP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PC - Other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AE42A8"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1B400897"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02964F5E"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220" w:type="dxa"/>
            <w:tcBorders>
              <w:top w:val="nil"/>
              <w:left w:val="nil"/>
              <w:bottom w:val="single" w:sz="4" w:space="0" w:color="auto"/>
              <w:right w:val="single" w:sz="4" w:space="0" w:color="auto"/>
            </w:tcBorders>
            <w:shd w:val="clear" w:color="auto" w:fill="auto"/>
            <w:noWrap/>
            <w:vAlign w:val="center"/>
            <w:hideMark/>
          </w:tcPr>
          <w:p w14:paraId="5B6F79B3"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5E9CBCD7"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E057BC4" w14:textId="77777777" w:rsidR="00D00389" w:rsidRPr="00D00389" w:rsidRDefault="00D00389" w:rsidP="00D00389">
            <w:pPr>
              <w:jc w:val="center"/>
              <w:rPr>
                <w:rFonts w:ascii="Calibri" w:eastAsia="Times New Roman" w:hAnsi="Calibri" w:cs="Calibri"/>
                <w:color w:val="000000"/>
                <w:sz w:val="18"/>
                <w:szCs w:val="18"/>
                <w:lang w:val="en-GB" w:eastAsia="en-GB"/>
              </w:rPr>
            </w:pPr>
            <w:r w:rsidRPr="00D00389">
              <w:rPr>
                <w:rFonts w:ascii="Calibri" w:eastAsia="Times New Roman" w:hAnsi="Calibri" w:cs="Calibri"/>
                <w:color w:val="000000"/>
                <w:sz w:val="18"/>
                <w:szCs w:val="18"/>
                <w:lang w:val="en-GB" w:eastAsia="en-GB"/>
              </w:rPr>
              <w:t>0</w:t>
            </w:r>
          </w:p>
        </w:tc>
      </w:tr>
      <w:tr w:rsidR="00D00389" w:rsidRPr="00D00389" w14:paraId="45AA0181" w14:textId="77777777" w:rsidTr="00D00389">
        <w:trPr>
          <w:trHeight w:val="300"/>
        </w:trPr>
        <w:tc>
          <w:tcPr>
            <w:tcW w:w="2800" w:type="dxa"/>
            <w:tcBorders>
              <w:top w:val="nil"/>
              <w:left w:val="single" w:sz="4" w:space="0" w:color="auto"/>
              <w:bottom w:val="single" w:sz="4" w:space="0" w:color="auto"/>
              <w:right w:val="nil"/>
            </w:tcBorders>
            <w:shd w:val="clear" w:color="000000" w:fill="D9D9D9"/>
            <w:noWrap/>
            <w:vAlign w:val="bottom"/>
            <w:hideMark/>
          </w:tcPr>
          <w:p w14:paraId="416D9A5E" w14:textId="77777777" w:rsidR="00D00389" w:rsidRPr="00D00389" w:rsidRDefault="00D00389" w:rsidP="00D00389">
            <w:pP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TOTAL</w:t>
            </w:r>
          </w:p>
        </w:tc>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4C7D21B"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8,928</w:t>
            </w:r>
          </w:p>
        </w:tc>
        <w:tc>
          <w:tcPr>
            <w:tcW w:w="960" w:type="dxa"/>
            <w:tcBorders>
              <w:top w:val="nil"/>
              <w:left w:val="nil"/>
              <w:bottom w:val="single" w:sz="4" w:space="0" w:color="auto"/>
              <w:right w:val="single" w:sz="4" w:space="0" w:color="auto"/>
            </w:tcBorders>
            <w:shd w:val="clear" w:color="000000" w:fill="D9D9D9"/>
            <w:noWrap/>
            <w:vAlign w:val="center"/>
            <w:hideMark/>
          </w:tcPr>
          <w:p w14:paraId="20D41400"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8,478</w:t>
            </w:r>
          </w:p>
        </w:tc>
        <w:tc>
          <w:tcPr>
            <w:tcW w:w="960" w:type="dxa"/>
            <w:tcBorders>
              <w:top w:val="nil"/>
              <w:left w:val="nil"/>
              <w:bottom w:val="single" w:sz="4" w:space="0" w:color="auto"/>
              <w:right w:val="single" w:sz="4" w:space="0" w:color="auto"/>
            </w:tcBorders>
            <w:shd w:val="clear" w:color="000000" w:fill="D9D9D9"/>
            <w:noWrap/>
            <w:vAlign w:val="center"/>
            <w:hideMark/>
          </w:tcPr>
          <w:p w14:paraId="031014B4"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-451</w:t>
            </w:r>
          </w:p>
        </w:tc>
        <w:tc>
          <w:tcPr>
            <w:tcW w:w="220" w:type="dxa"/>
            <w:tcBorders>
              <w:top w:val="nil"/>
              <w:left w:val="nil"/>
              <w:bottom w:val="single" w:sz="4" w:space="0" w:color="auto"/>
              <w:right w:val="single" w:sz="4" w:space="0" w:color="auto"/>
            </w:tcBorders>
            <w:shd w:val="clear" w:color="000000" w:fill="D9D9D9"/>
            <w:noWrap/>
            <w:vAlign w:val="center"/>
            <w:hideMark/>
          </w:tcPr>
          <w:p w14:paraId="1AF6E28F"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 </w:t>
            </w:r>
          </w:p>
        </w:tc>
        <w:tc>
          <w:tcPr>
            <w:tcW w:w="1000" w:type="dxa"/>
            <w:tcBorders>
              <w:top w:val="nil"/>
              <w:left w:val="nil"/>
              <w:bottom w:val="single" w:sz="4" w:space="0" w:color="auto"/>
              <w:right w:val="single" w:sz="4" w:space="0" w:color="auto"/>
            </w:tcBorders>
            <w:shd w:val="clear" w:color="000000" w:fill="D9D9D9"/>
            <w:noWrap/>
            <w:vAlign w:val="center"/>
            <w:hideMark/>
          </w:tcPr>
          <w:p w14:paraId="0C5E3F07"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-266</w:t>
            </w:r>
          </w:p>
        </w:tc>
        <w:tc>
          <w:tcPr>
            <w:tcW w:w="960" w:type="dxa"/>
            <w:tcBorders>
              <w:top w:val="nil"/>
              <w:left w:val="nil"/>
              <w:bottom w:val="single" w:sz="4" w:space="0" w:color="auto"/>
              <w:right w:val="single" w:sz="4" w:space="0" w:color="auto"/>
            </w:tcBorders>
            <w:shd w:val="clear" w:color="000000" w:fill="D9D9D9"/>
            <w:noWrap/>
            <w:vAlign w:val="center"/>
            <w:hideMark/>
          </w:tcPr>
          <w:p w14:paraId="16A4A711" w14:textId="77777777" w:rsidR="00D00389" w:rsidRPr="00D00389" w:rsidRDefault="00D00389" w:rsidP="00D00389">
            <w:pPr>
              <w:jc w:val="center"/>
              <w:rPr>
                <w:rFonts w:ascii="Calibri" w:eastAsia="Times New Roman" w:hAnsi="Calibri" w:cs="Calibri"/>
                <w:b/>
                <w:bCs/>
                <w:color w:val="000000"/>
                <w:sz w:val="18"/>
                <w:szCs w:val="18"/>
                <w:lang w:val="en-GB" w:eastAsia="en-GB"/>
              </w:rPr>
            </w:pPr>
            <w:r w:rsidRPr="00D00389">
              <w:rPr>
                <w:rFonts w:ascii="Calibri" w:eastAsia="Times New Roman" w:hAnsi="Calibri" w:cs="Calibri"/>
                <w:b/>
                <w:bCs/>
                <w:color w:val="000000"/>
                <w:sz w:val="18"/>
                <w:szCs w:val="18"/>
                <w:lang w:val="en-GB" w:eastAsia="en-GB"/>
              </w:rPr>
              <w:t>-185</w:t>
            </w:r>
          </w:p>
        </w:tc>
      </w:tr>
    </w:tbl>
    <w:p w14:paraId="7C6161E4" w14:textId="77777777" w:rsidR="008910D6" w:rsidRDefault="008910D6" w:rsidP="00105A15">
      <w:pPr>
        <w:pStyle w:val="Default"/>
        <w:jc w:val="both"/>
        <w:rPr>
          <w:sz w:val="20"/>
          <w:szCs w:val="20"/>
          <w:u w:val="single"/>
        </w:rPr>
      </w:pPr>
    </w:p>
    <w:p w14:paraId="0B2B32DA" w14:textId="25804C68" w:rsidR="005C589E" w:rsidRPr="00196FAD" w:rsidRDefault="005C589E" w:rsidP="00196FAD">
      <w:pPr>
        <w:pStyle w:val="Default"/>
        <w:jc w:val="both"/>
        <w:rPr>
          <w:b/>
          <w:bCs/>
          <w:sz w:val="20"/>
          <w:szCs w:val="20"/>
        </w:rPr>
      </w:pPr>
      <w:r w:rsidRPr="00196FAD">
        <w:rPr>
          <w:b/>
          <w:bCs/>
          <w:sz w:val="20"/>
          <w:szCs w:val="20"/>
        </w:rPr>
        <w:t>NELC Commissioned Scheme</w:t>
      </w:r>
    </w:p>
    <w:tbl>
      <w:tblPr>
        <w:tblW w:w="7860" w:type="dxa"/>
        <w:tblLook w:val="04A0" w:firstRow="1" w:lastRow="0" w:firstColumn="1" w:lastColumn="0" w:noHBand="0" w:noVBand="1"/>
      </w:tblPr>
      <w:tblGrid>
        <w:gridCol w:w="2800"/>
        <w:gridCol w:w="960"/>
        <w:gridCol w:w="960"/>
        <w:gridCol w:w="960"/>
        <w:gridCol w:w="257"/>
        <w:gridCol w:w="1000"/>
        <w:gridCol w:w="1042"/>
      </w:tblGrid>
      <w:tr w:rsidR="00C70EB5" w:rsidRPr="00C70EB5" w14:paraId="0FA41609" w14:textId="77777777" w:rsidTr="00C70EB5">
        <w:trPr>
          <w:trHeight w:val="720"/>
        </w:trPr>
        <w:tc>
          <w:tcPr>
            <w:tcW w:w="2800" w:type="dxa"/>
            <w:tcBorders>
              <w:top w:val="single" w:sz="4" w:space="0" w:color="auto"/>
              <w:left w:val="single" w:sz="4" w:space="0" w:color="auto"/>
              <w:bottom w:val="single" w:sz="4" w:space="0" w:color="auto"/>
              <w:right w:val="nil"/>
            </w:tcBorders>
            <w:shd w:val="clear" w:color="000000" w:fill="D9D9D9"/>
            <w:noWrap/>
            <w:vAlign w:val="center"/>
            <w:hideMark/>
          </w:tcPr>
          <w:p w14:paraId="55F3B6B1" w14:textId="77777777" w:rsidR="00C70EB5" w:rsidRPr="00C70EB5" w:rsidRDefault="00C70EB5" w:rsidP="00C70EB5">
            <w:pPr>
              <w:rPr>
                <w:rFonts w:ascii="Calibri" w:eastAsia="Times New Roman" w:hAnsi="Calibri" w:cs="Calibri"/>
                <w:b/>
                <w:bCs/>
                <w:sz w:val="18"/>
                <w:szCs w:val="18"/>
                <w:lang w:val="en-GB" w:eastAsia="en-GB"/>
              </w:rPr>
            </w:pPr>
            <w:r w:rsidRPr="00C70EB5">
              <w:rPr>
                <w:rFonts w:ascii="Calibri" w:eastAsia="Times New Roman" w:hAnsi="Calibri" w:cs="Calibri"/>
                <w:b/>
                <w:bCs/>
                <w:sz w:val="18"/>
                <w:szCs w:val="18"/>
                <w:lang w:val="en-GB" w:eastAsia="en-GB"/>
              </w:rPr>
              <w:t> </w:t>
            </w:r>
          </w:p>
        </w:tc>
        <w:tc>
          <w:tcPr>
            <w:tcW w:w="960" w:type="dxa"/>
            <w:tcBorders>
              <w:top w:val="single" w:sz="4" w:space="0" w:color="auto"/>
              <w:left w:val="single" w:sz="4" w:space="0" w:color="auto"/>
              <w:bottom w:val="single" w:sz="4" w:space="0" w:color="auto"/>
              <w:right w:val="nil"/>
            </w:tcBorders>
            <w:shd w:val="clear" w:color="000000" w:fill="D9D9D9"/>
            <w:vAlign w:val="center"/>
            <w:hideMark/>
          </w:tcPr>
          <w:p w14:paraId="01B48B2E" w14:textId="77777777" w:rsidR="00C70EB5" w:rsidRPr="00C70EB5" w:rsidRDefault="00C70EB5" w:rsidP="00C70EB5">
            <w:pPr>
              <w:jc w:val="center"/>
              <w:rPr>
                <w:rFonts w:ascii="Calibri" w:eastAsia="Times New Roman" w:hAnsi="Calibri" w:cs="Calibri"/>
                <w:b/>
                <w:bCs/>
                <w:sz w:val="18"/>
                <w:szCs w:val="18"/>
                <w:lang w:val="en-GB" w:eastAsia="en-GB"/>
              </w:rPr>
            </w:pPr>
            <w:r w:rsidRPr="00C70EB5">
              <w:rPr>
                <w:rFonts w:ascii="Calibri" w:eastAsia="Times New Roman" w:hAnsi="Calibri" w:cs="Calibri"/>
                <w:b/>
                <w:bCs/>
                <w:sz w:val="18"/>
                <w:szCs w:val="18"/>
                <w:lang w:val="en-GB" w:eastAsia="en-GB"/>
              </w:rPr>
              <w:t>Annual budget (£'000)</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4C2640" w14:textId="77777777" w:rsidR="00C70EB5" w:rsidRPr="00C70EB5" w:rsidRDefault="00C70EB5" w:rsidP="00C70EB5">
            <w:pPr>
              <w:jc w:val="center"/>
              <w:rPr>
                <w:rFonts w:ascii="Calibri" w:eastAsia="Times New Roman" w:hAnsi="Calibri" w:cs="Calibri"/>
                <w:b/>
                <w:bCs/>
                <w:sz w:val="18"/>
                <w:szCs w:val="18"/>
                <w:lang w:val="en-GB" w:eastAsia="en-GB"/>
              </w:rPr>
            </w:pPr>
            <w:r w:rsidRPr="00C70EB5">
              <w:rPr>
                <w:rFonts w:ascii="Calibri" w:eastAsia="Times New Roman" w:hAnsi="Calibri" w:cs="Calibri"/>
                <w:b/>
                <w:bCs/>
                <w:sz w:val="18"/>
                <w:szCs w:val="18"/>
                <w:lang w:val="en-GB" w:eastAsia="en-GB"/>
              </w:rPr>
              <w:t>M12 actual (£'000)</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264241E" w14:textId="77777777" w:rsidR="00C70EB5" w:rsidRPr="00C70EB5" w:rsidRDefault="00C70EB5" w:rsidP="00C70EB5">
            <w:pPr>
              <w:jc w:val="center"/>
              <w:rPr>
                <w:rFonts w:ascii="Calibri" w:eastAsia="Times New Roman" w:hAnsi="Calibri" w:cs="Calibri"/>
                <w:b/>
                <w:bCs/>
                <w:sz w:val="18"/>
                <w:szCs w:val="18"/>
                <w:lang w:val="en-GB" w:eastAsia="en-GB"/>
              </w:rPr>
            </w:pPr>
            <w:r w:rsidRPr="00C70EB5">
              <w:rPr>
                <w:rFonts w:ascii="Calibri" w:eastAsia="Times New Roman" w:hAnsi="Calibri" w:cs="Calibri"/>
                <w:b/>
                <w:bCs/>
                <w:sz w:val="18"/>
                <w:szCs w:val="18"/>
                <w:lang w:val="en-GB" w:eastAsia="en-GB"/>
              </w:rPr>
              <w:t>M12 variance (£'000)</w:t>
            </w:r>
          </w:p>
        </w:tc>
        <w:tc>
          <w:tcPr>
            <w:tcW w:w="220" w:type="dxa"/>
            <w:tcBorders>
              <w:top w:val="single" w:sz="4" w:space="0" w:color="auto"/>
              <w:left w:val="nil"/>
              <w:bottom w:val="single" w:sz="4" w:space="0" w:color="auto"/>
              <w:right w:val="single" w:sz="4" w:space="0" w:color="auto"/>
            </w:tcBorders>
            <w:shd w:val="clear" w:color="000000" w:fill="D9D9D9"/>
            <w:vAlign w:val="center"/>
            <w:hideMark/>
          </w:tcPr>
          <w:p w14:paraId="46CA6C94" w14:textId="77777777" w:rsidR="00C70EB5" w:rsidRPr="00C70EB5" w:rsidRDefault="00C70EB5" w:rsidP="00C70EB5">
            <w:pPr>
              <w:jc w:val="center"/>
              <w:rPr>
                <w:rFonts w:ascii="Calibri" w:eastAsia="Times New Roman" w:hAnsi="Calibri" w:cs="Calibri"/>
                <w:b/>
                <w:bCs/>
                <w:sz w:val="18"/>
                <w:szCs w:val="18"/>
                <w:lang w:val="en-GB" w:eastAsia="en-GB"/>
              </w:rPr>
            </w:pPr>
            <w:r w:rsidRPr="00C70EB5">
              <w:rPr>
                <w:rFonts w:ascii="Calibri" w:eastAsia="Times New Roman" w:hAnsi="Calibri" w:cs="Calibri"/>
                <w:b/>
                <w:bCs/>
                <w:sz w:val="18"/>
                <w:szCs w:val="18"/>
                <w:lang w:val="en-GB" w:eastAsia="en-GB"/>
              </w:rPr>
              <w:t> </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14:paraId="5EB4449D" w14:textId="77777777" w:rsidR="00C70EB5" w:rsidRPr="00C70EB5" w:rsidRDefault="00C70EB5" w:rsidP="00C70EB5">
            <w:pPr>
              <w:jc w:val="center"/>
              <w:rPr>
                <w:rFonts w:ascii="Calibri" w:eastAsia="Times New Roman" w:hAnsi="Calibri" w:cs="Calibri"/>
                <w:b/>
                <w:bCs/>
                <w:sz w:val="18"/>
                <w:szCs w:val="18"/>
                <w:lang w:val="en-GB" w:eastAsia="en-GB"/>
              </w:rPr>
            </w:pPr>
            <w:r w:rsidRPr="00C70EB5">
              <w:rPr>
                <w:rFonts w:ascii="Calibri" w:eastAsia="Times New Roman" w:hAnsi="Calibri" w:cs="Calibri"/>
                <w:b/>
                <w:bCs/>
                <w:sz w:val="18"/>
                <w:szCs w:val="18"/>
                <w:lang w:val="en-GB" w:eastAsia="en-GB"/>
              </w:rPr>
              <w:t>M11 FOT variance (£'000)</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44B93146" w14:textId="77777777" w:rsidR="00C70EB5" w:rsidRPr="00C70EB5" w:rsidRDefault="00C70EB5" w:rsidP="00C70EB5">
            <w:pPr>
              <w:jc w:val="center"/>
              <w:rPr>
                <w:rFonts w:ascii="Calibri" w:eastAsia="Times New Roman" w:hAnsi="Calibri" w:cs="Calibri"/>
                <w:b/>
                <w:bCs/>
                <w:sz w:val="18"/>
                <w:szCs w:val="18"/>
                <w:lang w:val="en-GB" w:eastAsia="en-GB"/>
              </w:rPr>
            </w:pPr>
            <w:r w:rsidRPr="00C70EB5">
              <w:rPr>
                <w:rFonts w:ascii="Calibri" w:eastAsia="Times New Roman" w:hAnsi="Calibri" w:cs="Calibri"/>
                <w:b/>
                <w:bCs/>
                <w:sz w:val="18"/>
                <w:szCs w:val="18"/>
                <w:lang w:val="en-GB" w:eastAsia="en-GB"/>
              </w:rPr>
              <w:t>Movement (£'000)</w:t>
            </w:r>
          </w:p>
        </w:tc>
      </w:tr>
      <w:tr w:rsidR="00C70EB5" w:rsidRPr="00C70EB5" w14:paraId="24EA3E3C" w14:textId="77777777" w:rsidTr="00C70EB5">
        <w:trPr>
          <w:trHeight w:val="300"/>
        </w:trPr>
        <w:tc>
          <w:tcPr>
            <w:tcW w:w="2800" w:type="dxa"/>
            <w:tcBorders>
              <w:top w:val="nil"/>
              <w:left w:val="single" w:sz="4" w:space="0" w:color="auto"/>
              <w:bottom w:val="single" w:sz="4" w:space="0" w:color="auto"/>
              <w:right w:val="nil"/>
            </w:tcBorders>
            <w:shd w:val="clear" w:color="auto" w:fill="auto"/>
            <w:vAlign w:val="bottom"/>
            <w:hideMark/>
          </w:tcPr>
          <w:p w14:paraId="24EE1550" w14:textId="77777777" w:rsidR="00C70EB5" w:rsidRPr="00C70EB5" w:rsidRDefault="00C70EB5" w:rsidP="00C70EB5">
            <w:pP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LARC fits and removals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B460D2"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74</w:t>
            </w:r>
          </w:p>
        </w:tc>
        <w:tc>
          <w:tcPr>
            <w:tcW w:w="960" w:type="dxa"/>
            <w:tcBorders>
              <w:top w:val="nil"/>
              <w:left w:val="nil"/>
              <w:bottom w:val="single" w:sz="4" w:space="0" w:color="auto"/>
              <w:right w:val="single" w:sz="4" w:space="0" w:color="auto"/>
            </w:tcBorders>
            <w:shd w:val="clear" w:color="auto" w:fill="auto"/>
            <w:noWrap/>
            <w:vAlign w:val="center"/>
            <w:hideMark/>
          </w:tcPr>
          <w:p w14:paraId="0EF3526D"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65</w:t>
            </w:r>
          </w:p>
        </w:tc>
        <w:tc>
          <w:tcPr>
            <w:tcW w:w="960" w:type="dxa"/>
            <w:tcBorders>
              <w:top w:val="nil"/>
              <w:left w:val="nil"/>
              <w:bottom w:val="single" w:sz="4" w:space="0" w:color="auto"/>
              <w:right w:val="single" w:sz="4" w:space="0" w:color="auto"/>
            </w:tcBorders>
            <w:shd w:val="clear" w:color="auto" w:fill="auto"/>
            <w:noWrap/>
            <w:vAlign w:val="center"/>
            <w:hideMark/>
          </w:tcPr>
          <w:p w14:paraId="27ADD5EC"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-9</w:t>
            </w:r>
          </w:p>
        </w:tc>
        <w:tc>
          <w:tcPr>
            <w:tcW w:w="220" w:type="dxa"/>
            <w:tcBorders>
              <w:top w:val="nil"/>
              <w:left w:val="nil"/>
              <w:bottom w:val="single" w:sz="4" w:space="0" w:color="auto"/>
              <w:right w:val="single" w:sz="4" w:space="0" w:color="auto"/>
            </w:tcBorders>
            <w:shd w:val="clear" w:color="auto" w:fill="auto"/>
            <w:noWrap/>
            <w:vAlign w:val="center"/>
            <w:hideMark/>
          </w:tcPr>
          <w:p w14:paraId="52F48CA9"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0AC505A4"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14:paraId="43761AAD"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10</w:t>
            </w:r>
          </w:p>
        </w:tc>
      </w:tr>
      <w:tr w:rsidR="00C70EB5" w:rsidRPr="00C70EB5" w14:paraId="5883A85A" w14:textId="77777777" w:rsidTr="00C70EB5">
        <w:trPr>
          <w:trHeight w:val="300"/>
        </w:trPr>
        <w:tc>
          <w:tcPr>
            <w:tcW w:w="2800" w:type="dxa"/>
            <w:tcBorders>
              <w:top w:val="nil"/>
              <w:left w:val="single" w:sz="4" w:space="0" w:color="auto"/>
              <w:bottom w:val="single" w:sz="4" w:space="0" w:color="auto"/>
              <w:right w:val="nil"/>
            </w:tcBorders>
            <w:shd w:val="clear" w:color="auto" w:fill="auto"/>
            <w:vAlign w:val="bottom"/>
            <w:hideMark/>
          </w:tcPr>
          <w:p w14:paraId="4962400A" w14:textId="77777777" w:rsidR="00C70EB5" w:rsidRPr="00C70EB5" w:rsidRDefault="00C70EB5" w:rsidP="00C70EB5">
            <w:pP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Health checks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3F9AF8"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14:paraId="7829060A"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14:paraId="58D9A7B1"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0</w:t>
            </w:r>
          </w:p>
        </w:tc>
        <w:tc>
          <w:tcPr>
            <w:tcW w:w="220" w:type="dxa"/>
            <w:tcBorders>
              <w:top w:val="nil"/>
              <w:left w:val="nil"/>
              <w:bottom w:val="single" w:sz="4" w:space="0" w:color="auto"/>
              <w:right w:val="single" w:sz="4" w:space="0" w:color="auto"/>
            </w:tcBorders>
            <w:shd w:val="clear" w:color="auto" w:fill="auto"/>
            <w:noWrap/>
            <w:vAlign w:val="center"/>
            <w:hideMark/>
          </w:tcPr>
          <w:p w14:paraId="31030718"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33FCBB"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-32</w:t>
            </w:r>
          </w:p>
        </w:tc>
        <w:tc>
          <w:tcPr>
            <w:tcW w:w="960" w:type="dxa"/>
            <w:tcBorders>
              <w:top w:val="nil"/>
              <w:left w:val="nil"/>
              <w:bottom w:val="single" w:sz="4" w:space="0" w:color="auto"/>
              <w:right w:val="single" w:sz="4" w:space="0" w:color="auto"/>
            </w:tcBorders>
            <w:shd w:val="clear" w:color="auto" w:fill="auto"/>
            <w:noWrap/>
            <w:vAlign w:val="center"/>
            <w:hideMark/>
          </w:tcPr>
          <w:p w14:paraId="51738A0B"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32</w:t>
            </w:r>
          </w:p>
        </w:tc>
      </w:tr>
      <w:tr w:rsidR="00C70EB5" w:rsidRPr="00C70EB5" w14:paraId="24F0D4D4" w14:textId="77777777" w:rsidTr="00C70EB5">
        <w:trPr>
          <w:trHeight w:val="300"/>
        </w:trPr>
        <w:tc>
          <w:tcPr>
            <w:tcW w:w="2800" w:type="dxa"/>
            <w:tcBorders>
              <w:top w:val="nil"/>
              <w:left w:val="single" w:sz="4" w:space="0" w:color="auto"/>
              <w:bottom w:val="single" w:sz="4" w:space="0" w:color="auto"/>
              <w:right w:val="nil"/>
            </w:tcBorders>
            <w:shd w:val="clear" w:color="auto" w:fill="auto"/>
            <w:vAlign w:val="bottom"/>
            <w:hideMark/>
          </w:tcPr>
          <w:p w14:paraId="4DDE752A" w14:textId="77777777" w:rsidR="00C70EB5" w:rsidRPr="00C70EB5" w:rsidRDefault="00C70EB5" w:rsidP="00C70EB5">
            <w:pP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Stop smoking service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19862"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14:paraId="717FD66B"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14:paraId="5051B983"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0</w:t>
            </w:r>
          </w:p>
        </w:tc>
        <w:tc>
          <w:tcPr>
            <w:tcW w:w="220" w:type="dxa"/>
            <w:tcBorders>
              <w:top w:val="nil"/>
              <w:left w:val="nil"/>
              <w:bottom w:val="single" w:sz="4" w:space="0" w:color="auto"/>
              <w:right w:val="single" w:sz="4" w:space="0" w:color="auto"/>
            </w:tcBorders>
            <w:shd w:val="clear" w:color="auto" w:fill="auto"/>
            <w:noWrap/>
            <w:vAlign w:val="center"/>
            <w:hideMark/>
          </w:tcPr>
          <w:p w14:paraId="6A46AD21"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346CC353"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4B8E160D"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w:t>
            </w:r>
          </w:p>
        </w:tc>
      </w:tr>
      <w:tr w:rsidR="00C70EB5" w:rsidRPr="00C70EB5" w14:paraId="3A2AA34A" w14:textId="77777777" w:rsidTr="00C70EB5">
        <w:trPr>
          <w:trHeight w:val="300"/>
        </w:trPr>
        <w:tc>
          <w:tcPr>
            <w:tcW w:w="2800" w:type="dxa"/>
            <w:tcBorders>
              <w:top w:val="nil"/>
              <w:left w:val="single" w:sz="4" w:space="0" w:color="auto"/>
              <w:bottom w:val="single" w:sz="4" w:space="0" w:color="auto"/>
              <w:right w:val="nil"/>
            </w:tcBorders>
            <w:shd w:val="clear" w:color="auto" w:fill="auto"/>
            <w:vAlign w:val="bottom"/>
            <w:hideMark/>
          </w:tcPr>
          <w:p w14:paraId="46219644" w14:textId="77777777" w:rsidR="00C70EB5" w:rsidRPr="00C70EB5" w:rsidRDefault="00C70EB5" w:rsidP="00C70EB5">
            <w:pP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Substance misuse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8E92F6"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125</w:t>
            </w:r>
          </w:p>
        </w:tc>
        <w:tc>
          <w:tcPr>
            <w:tcW w:w="960" w:type="dxa"/>
            <w:tcBorders>
              <w:top w:val="nil"/>
              <w:left w:val="nil"/>
              <w:bottom w:val="single" w:sz="4" w:space="0" w:color="auto"/>
              <w:right w:val="single" w:sz="4" w:space="0" w:color="auto"/>
            </w:tcBorders>
            <w:shd w:val="clear" w:color="auto" w:fill="auto"/>
            <w:noWrap/>
            <w:vAlign w:val="center"/>
            <w:hideMark/>
          </w:tcPr>
          <w:p w14:paraId="25A89C32"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125</w:t>
            </w:r>
          </w:p>
        </w:tc>
        <w:tc>
          <w:tcPr>
            <w:tcW w:w="960" w:type="dxa"/>
            <w:tcBorders>
              <w:top w:val="nil"/>
              <w:left w:val="nil"/>
              <w:bottom w:val="single" w:sz="4" w:space="0" w:color="auto"/>
              <w:right w:val="single" w:sz="4" w:space="0" w:color="auto"/>
            </w:tcBorders>
            <w:shd w:val="clear" w:color="auto" w:fill="auto"/>
            <w:noWrap/>
            <w:vAlign w:val="center"/>
            <w:hideMark/>
          </w:tcPr>
          <w:p w14:paraId="507CDFD0"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0</w:t>
            </w:r>
          </w:p>
        </w:tc>
        <w:tc>
          <w:tcPr>
            <w:tcW w:w="220" w:type="dxa"/>
            <w:tcBorders>
              <w:top w:val="nil"/>
              <w:left w:val="nil"/>
              <w:bottom w:val="single" w:sz="4" w:space="0" w:color="auto"/>
              <w:right w:val="single" w:sz="4" w:space="0" w:color="auto"/>
            </w:tcBorders>
            <w:shd w:val="clear" w:color="auto" w:fill="auto"/>
            <w:noWrap/>
            <w:vAlign w:val="center"/>
            <w:hideMark/>
          </w:tcPr>
          <w:p w14:paraId="61A30A7F"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D6A578"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0</w:t>
            </w:r>
          </w:p>
        </w:tc>
        <w:tc>
          <w:tcPr>
            <w:tcW w:w="960" w:type="dxa"/>
            <w:tcBorders>
              <w:top w:val="nil"/>
              <w:left w:val="nil"/>
              <w:bottom w:val="single" w:sz="4" w:space="0" w:color="auto"/>
              <w:right w:val="single" w:sz="4" w:space="0" w:color="auto"/>
            </w:tcBorders>
            <w:shd w:val="clear" w:color="auto" w:fill="auto"/>
            <w:noWrap/>
            <w:vAlign w:val="center"/>
            <w:hideMark/>
          </w:tcPr>
          <w:p w14:paraId="3396C5AF" w14:textId="77777777" w:rsidR="00C70EB5" w:rsidRPr="00C70EB5" w:rsidRDefault="00C70EB5" w:rsidP="00C70EB5">
            <w:pPr>
              <w:jc w:val="center"/>
              <w:rPr>
                <w:rFonts w:ascii="Calibri" w:eastAsia="Times New Roman" w:hAnsi="Calibri" w:cs="Calibri"/>
                <w:color w:val="000000"/>
                <w:sz w:val="18"/>
                <w:szCs w:val="18"/>
                <w:lang w:val="en-GB" w:eastAsia="en-GB"/>
              </w:rPr>
            </w:pPr>
            <w:r w:rsidRPr="00C70EB5">
              <w:rPr>
                <w:rFonts w:ascii="Calibri" w:eastAsia="Times New Roman" w:hAnsi="Calibri" w:cs="Calibri"/>
                <w:color w:val="000000"/>
                <w:sz w:val="18"/>
                <w:szCs w:val="18"/>
                <w:lang w:val="en-GB" w:eastAsia="en-GB"/>
              </w:rPr>
              <w:t>0</w:t>
            </w:r>
          </w:p>
        </w:tc>
      </w:tr>
      <w:tr w:rsidR="00C70EB5" w:rsidRPr="00C70EB5" w14:paraId="0F03E3DE" w14:textId="77777777" w:rsidTr="00C70EB5">
        <w:trPr>
          <w:trHeight w:val="300"/>
        </w:trPr>
        <w:tc>
          <w:tcPr>
            <w:tcW w:w="2800" w:type="dxa"/>
            <w:tcBorders>
              <w:top w:val="nil"/>
              <w:left w:val="single" w:sz="4" w:space="0" w:color="auto"/>
              <w:bottom w:val="single" w:sz="4" w:space="0" w:color="auto"/>
              <w:right w:val="nil"/>
            </w:tcBorders>
            <w:shd w:val="clear" w:color="000000" w:fill="D9D9D9"/>
            <w:noWrap/>
            <w:vAlign w:val="bottom"/>
            <w:hideMark/>
          </w:tcPr>
          <w:p w14:paraId="10C72A1F" w14:textId="77777777" w:rsidR="00C70EB5" w:rsidRPr="00C70EB5" w:rsidRDefault="00C70EB5" w:rsidP="00C70EB5">
            <w:pPr>
              <w:rPr>
                <w:rFonts w:ascii="Calibri" w:eastAsia="Times New Roman" w:hAnsi="Calibri" w:cs="Calibri"/>
                <w:b/>
                <w:bCs/>
                <w:color w:val="000000"/>
                <w:sz w:val="18"/>
                <w:szCs w:val="18"/>
                <w:lang w:val="en-GB" w:eastAsia="en-GB"/>
              </w:rPr>
            </w:pPr>
            <w:r w:rsidRPr="00C70EB5">
              <w:rPr>
                <w:rFonts w:ascii="Calibri" w:eastAsia="Times New Roman" w:hAnsi="Calibri" w:cs="Calibri"/>
                <w:b/>
                <w:bCs/>
                <w:color w:val="000000"/>
                <w:sz w:val="18"/>
                <w:szCs w:val="18"/>
                <w:lang w:val="en-GB" w:eastAsia="en-GB"/>
              </w:rPr>
              <w:t>TOTAL</w:t>
            </w:r>
          </w:p>
        </w:tc>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43A7B1BE" w14:textId="77777777" w:rsidR="00C70EB5" w:rsidRPr="00C70EB5" w:rsidRDefault="00C70EB5" w:rsidP="00C70EB5">
            <w:pPr>
              <w:jc w:val="center"/>
              <w:rPr>
                <w:rFonts w:ascii="Calibri" w:eastAsia="Times New Roman" w:hAnsi="Calibri" w:cs="Calibri"/>
                <w:b/>
                <w:bCs/>
                <w:color w:val="000000"/>
                <w:sz w:val="18"/>
                <w:szCs w:val="18"/>
                <w:lang w:val="en-GB" w:eastAsia="en-GB"/>
              </w:rPr>
            </w:pPr>
            <w:r w:rsidRPr="00C70EB5">
              <w:rPr>
                <w:rFonts w:ascii="Calibri" w:eastAsia="Times New Roman" w:hAnsi="Calibri" w:cs="Calibri"/>
                <w:b/>
                <w:bCs/>
                <w:color w:val="000000"/>
                <w:sz w:val="18"/>
                <w:szCs w:val="18"/>
                <w:lang w:val="en-GB" w:eastAsia="en-GB"/>
              </w:rPr>
              <w:t>238</w:t>
            </w:r>
          </w:p>
        </w:tc>
        <w:tc>
          <w:tcPr>
            <w:tcW w:w="960" w:type="dxa"/>
            <w:tcBorders>
              <w:top w:val="nil"/>
              <w:left w:val="nil"/>
              <w:bottom w:val="single" w:sz="4" w:space="0" w:color="auto"/>
              <w:right w:val="single" w:sz="4" w:space="0" w:color="auto"/>
            </w:tcBorders>
            <w:shd w:val="clear" w:color="000000" w:fill="D9D9D9"/>
            <w:noWrap/>
            <w:vAlign w:val="center"/>
            <w:hideMark/>
          </w:tcPr>
          <w:p w14:paraId="135A8EA2" w14:textId="77777777" w:rsidR="00C70EB5" w:rsidRPr="00C70EB5" w:rsidRDefault="00C70EB5" w:rsidP="00C70EB5">
            <w:pPr>
              <w:jc w:val="center"/>
              <w:rPr>
                <w:rFonts w:ascii="Calibri" w:eastAsia="Times New Roman" w:hAnsi="Calibri" w:cs="Calibri"/>
                <w:b/>
                <w:bCs/>
                <w:color w:val="000000"/>
                <w:sz w:val="18"/>
                <w:szCs w:val="18"/>
                <w:lang w:val="en-GB" w:eastAsia="en-GB"/>
              </w:rPr>
            </w:pPr>
            <w:r w:rsidRPr="00C70EB5">
              <w:rPr>
                <w:rFonts w:ascii="Calibri" w:eastAsia="Times New Roman" w:hAnsi="Calibri" w:cs="Calibri"/>
                <w:b/>
                <w:bCs/>
                <w:color w:val="000000"/>
                <w:sz w:val="18"/>
                <w:szCs w:val="18"/>
                <w:lang w:val="en-GB" w:eastAsia="en-GB"/>
              </w:rPr>
              <w:t>229</w:t>
            </w:r>
          </w:p>
        </w:tc>
        <w:tc>
          <w:tcPr>
            <w:tcW w:w="960" w:type="dxa"/>
            <w:tcBorders>
              <w:top w:val="nil"/>
              <w:left w:val="nil"/>
              <w:bottom w:val="single" w:sz="4" w:space="0" w:color="auto"/>
              <w:right w:val="single" w:sz="4" w:space="0" w:color="auto"/>
            </w:tcBorders>
            <w:shd w:val="clear" w:color="000000" w:fill="D9D9D9"/>
            <w:noWrap/>
            <w:vAlign w:val="center"/>
            <w:hideMark/>
          </w:tcPr>
          <w:p w14:paraId="141E90B4" w14:textId="77777777" w:rsidR="00C70EB5" w:rsidRPr="00C70EB5" w:rsidRDefault="00C70EB5" w:rsidP="00C70EB5">
            <w:pPr>
              <w:jc w:val="center"/>
              <w:rPr>
                <w:rFonts w:ascii="Calibri" w:eastAsia="Times New Roman" w:hAnsi="Calibri" w:cs="Calibri"/>
                <w:b/>
                <w:bCs/>
                <w:color w:val="000000"/>
                <w:sz w:val="18"/>
                <w:szCs w:val="18"/>
                <w:lang w:val="en-GB" w:eastAsia="en-GB"/>
              </w:rPr>
            </w:pPr>
            <w:r w:rsidRPr="00C70EB5">
              <w:rPr>
                <w:rFonts w:ascii="Calibri" w:eastAsia="Times New Roman" w:hAnsi="Calibri" w:cs="Calibri"/>
                <w:b/>
                <w:bCs/>
                <w:color w:val="000000"/>
                <w:sz w:val="18"/>
                <w:szCs w:val="18"/>
                <w:lang w:val="en-GB" w:eastAsia="en-GB"/>
              </w:rPr>
              <w:t>-9</w:t>
            </w:r>
          </w:p>
        </w:tc>
        <w:tc>
          <w:tcPr>
            <w:tcW w:w="220" w:type="dxa"/>
            <w:tcBorders>
              <w:top w:val="nil"/>
              <w:left w:val="nil"/>
              <w:bottom w:val="single" w:sz="4" w:space="0" w:color="auto"/>
              <w:right w:val="single" w:sz="4" w:space="0" w:color="auto"/>
            </w:tcBorders>
            <w:shd w:val="clear" w:color="000000" w:fill="D9D9D9"/>
            <w:noWrap/>
            <w:vAlign w:val="center"/>
            <w:hideMark/>
          </w:tcPr>
          <w:p w14:paraId="73A2178A" w14:textId="77777777" w:rsidR="00C70EB5" w:rsidRPr="00C70EB5" w:rsidRDefault="00C70EB5" w:rsidP="00C70EB5">
            <w:pPr>
              <w:jc w:val="center"/>
              <w:rPr>
                <w:rFonts w:ascii="Calibri" w:eastAsia="Times New Roman" w:hAnsi="Calibri" w:cs="Calibri"/>
                <w:b/>
                <w:bCs/>
                <w:color w:val="000000"/>
                <w:sz w:val="18"/>
                <w:szCs w:val="18"/>
                <w:lang w:val="en-GB" w:eastAsia="en-GB"/>
              </w:rPr>
            </w:pPr>
            <w:r w:rsidRPr="00C70EB5">
              <w:rPr>
                <w:rFonts w:ascii="Calibri" w:eastAsia="Times New Roman" w:hAnsi="Calibri" w:cs="Calibri"/>
                <w:b/>
                <w:bCs/>
                <w:color w:val="000000"/>
                <w:sz w:val="18"/>
                <w:szCs w:val="18"/>
                <w:lang w:val="en-GB" w:eastAsia="en-GB"/>
              </w:rPr>
              <w:t> </w:t>
            </w:r>
          </w:p>
        </w:tc>
        <w:tc>
          <w:tcPr>
            <w:tcW w:w="1000" w:type="dxa"/>
            <w:tcBorders>
              <w:top w:val="nil"/>
              <w:left w:val="nil"/>
              <w:bottom w:val="single" w:sz="4" w:space="0" w:color="auto"/>
              <w:right w:val="single" w:sz="4" w:space="0" w:color="auto"/>
            </w:tcBorders>
            <w:shd w:val="clear" w:color="000000" w:fill="D9D9D9"/>
            <w:noWrap/>
            <w:vAlign w:val="center"/>
            <w:hideMark/>
          </w:tcPr>
          <w:p w14:paraId="2C6DF448" w14:textId="77777777" w:rsidR="00C70EB5" w:rsidRPr="00C70EB5" w:rsidRDefault="00C70EB5" w:rsidP="00C70EB5">
            <w:pPr>
              <w:jc w:val="center"/>
              <w:rPr>
                <w:rFonts w:ascii="Calibri" w:eastAsia="Times New Roman" w:hAnsi="Calibri" w:cs="Calibri"/>
                <w:b/>
                <w:bCs/>
                <w:color w:val="000000"/>
                <w:sz w:val="18"/>
                <w:szCs w:val="18"/>
                <w:lang w:val="en-GB" w:eastAsia="en-GB"/>
              </w:rPr>
            </w:pPr>
            <w:r w:rsidRPr="00C70EB5">
              <w:rPr>
                <w:rFonts w:ascii="Calibri" w:eastAsia="Times New Roman" w:hAnsi="Calibri" w:cs="Calibri"/>
                <w:b/>
                <w:bCs/>
                <w:color w:val="000000"/>
                <w:sz w:val="18"/>
                <w:szCs w:val="18"/>
                <w:lang w:val="en-GB" w:eastAsia="en-GB"/>
              </w:rPr>
              <w:t>-52</w:t>
            </w:r>
          </w:p>
        </w:tc>
        <w:tc>
          <w:tcPr>
            <w:tcW w:w="960" w:type="dxa"/>
            <w:tcBorders>
              <w:top w:val="nil"/>
              <w:left w:val="nil"/>
              <w:bottom w:val="single" w:sz="4" w:space="0" w:color="auto"/>
              <w:right w:val="single" w:sz="4" w:space="0" w:color="auto"/>
            </w:tcBorders>
            <w:shd w:val="clear" w:color="000000" w:fill="D9D9D9"/>
            <w:noWrap/>
            <w:vAlign w:val="center"/>
            <w:hideMark/>
          </w:tcPr>
          <w:p w14:paraId="11413E68" w14:textId="77777777" w:rsidR="00C70EB5" w:rsidRPr="00C70EB5" w:rsidRDefault="00C70EB5" w:rsidP="00C70EB5">
            <w:pPr>
              <w:jc w:val="center"/>
              <w:rPr>
                <w:rFonts w:ascii="Calibri" w:eastAsia="Times New Roman" w:hAnsi="Calibri" w:cs="Calibri"/>
                <w:b/>
                <w:bCs/>
                <w:color w:val="000000"/>
                <w:sz w:val="18"/>
                <w:szCs w:val="18"/>
                <w:lang w:val="en-GB" w:eastAsia="en-GB"/>
              </w:rPr>
            </w:pPr>
            <w:r w:rsidRPr="00C70EB5">
              <w:rPr>
                <w:rFonts w:ascii="Calibri" w:eastAsia="Times New Roman" w:hAnsi="Calibri" w:cs="Calibri"/>
                <w:b/>
                <w:bCs/>
                <w:color w:val="000000"/>
                <w:sz w:val="18"/>
                <w:szCs w:val="18"/>
                <w:lang w:val="en-GB" w:eastAsia="en-GB"/>
              </w:rPr>
              <w:t>43</w:t>
            </w:r>
          </w:p>
        </w:tc>
      </w:tr>
    </w:tbl>
    <w:p w14:paraId="601D47AB" w14:textId="118BFFA7" w:rsidR="005C589E" w:rsidRDefault="005C589E" w:rsidP="005C589E">
      <w:pPr>
        <w:rPr>
          <w:rFonts w:ascii="Arial" w:eastAsia="MS Mincho" w:hAnsi="Arial" w:cs="Arial"/>
          <w:b/>
          <w:color w:val="000000"/>
          <w:u w:val="single"/>
          <w:lang w:eastAsia="en-GB"/>
        </w:rPr>
      </w:pPr>
    </w:p>
    <w:p w14:paraId="6C0BB1B7" w14:textId="77777777" w:rsidR="00451CCC" w:rsidRDefault="00451CCC" w:rsidP="005C589E">
      <w:pPr>
        <w:rPr>
          <w:rFonts w:ascii="Arial" w:eastAsia="MS Mincho" w:hAnsi="Arial" w:cs="Arial"/>
          <w:b/>
          <w:color w:val="000000"/>
          <w:u w:val="single"/>
          <w:lang w:eastAsia="en-GB"/>
        </w:rPr>
      </w:pPr>
    </w:p>
    <w:p w14:paraId="3BBA40D7" w14:textId="341A3262" w:rsidR="005C589E" w:rsidRPr="00DC4ED4" w:rsidRDefault="00196FAD" w:rsidP="005C589E">
      <w:pPr>
        <w:rPr>
          <w:rFonts w:ascii="Arial" w:eastAsia="MS Mincho" w:hAnsi="Arial" w:cs="Arial"/>
          <w:b/>
          <w:color w:val="000000"/>
          <w:sz w:val="20"/>
          <w:szCs w:val="20"/>
          <w:u w:val="single"/>
          <w:lang w:val="en-GB" w:eastAsia="en-GB"/>
        </w:rPr>
      </w:pPr>
      <w:r w:rsidRPr="00DC4ED4">
        <w:rPr>
          <w:rFonts w:ascii="Arial" w:eastAsia="MS Mincho" w:hAnsi="Arial" w:cs="Arial"/>
          <w:b/>
          <w:color w:val="000000"/>
          <w:sz w:val="20"/>
          <w:szCs w:val="20"/>
          <w:u w:val="single"/>
          <w:lang w:val="en-GB" w:eastAsia="en-GB"/>
        </w:rPr>
        <w:lastRenderedPageBreak/>
        <w:t>21-22 Budgets M1 – M6</w:t>
      </w:r>
    </w:p>
    <w:p w14:paraId="055B79CA" w14:textId="68A7C7E6" w:rsidR="005C589E" w:rsidRPr="00DC4ED4" w:rsidRDefault="005C589E" w:rsidP="005C589E">
      <w:pPr>
        <w:rPr>
          <w:rFonts w:ascii="Arial" w:hAnsi="Arial" w:cs="Arial"/>
          <w:sz w:val="20"/>
          <w:szCs w:val="20"/>
        </w:rPr>
      </w:pPr>
    </w:p>
    <w:p w14:paraId="25AB0406" w14:textId="12103C4E" w:rsidR="00765E74" w:rsidRDefault="001C4447" w:rsidP="007A35A7">
      <w:pPr>
        <w:rPr>
          <w:rFonts w:ascii="Arial" w:hAnsi="Arial" w:cs="Arial"/>
          <w:sz w:val="20"/>
          <w:szCs w:val="20"/>
        </w:rPr>
      </w:pPr>
      <w:r>
        <w:rPr>
          <w:rFonts w:ascii="Arial" w:hAnsi="Arial" w:cs="Arial"/>
          <w:sz w:val="20"/>
          <w:szCs w:val="20"/>
        </w:rPr>
        <w:t>Revised finance arrangements have continued into 21-22 and as such we have only received confirmed funding for the first 6 months of the year</w:t>
      </w:r>
      <w:r w:rsidR="00183CCB">
        <w:rPr>
          <w:rFonts w:ascii="Arial" w:hAnsi="Arial" w:cs="Arial"/>
          <w:sz w:val="20"/>
          <w:szCs w:val="20"/>
        </w:rPr>
        <w:t xml:space="preserve"> (H1)</w:t>
      </w:r>
      <w:r>
        <w:rPr>
          <w:rFonts w:ascii="Arial" w:hAnsi="Arial" w:cs="Arial"/>
          <w:sz w:val="20"/>
          <w:szCs w:val="20"/>
        </w:rPr>
        <w:t>.  A further planning process will take place later with regards to the second half of the year.</w:t>
      </w:r>
    </w:p>
    <w:p w14:paraId="232B9B3F" w14:textId="5AEF7203" w:rsidR="004F38EA" w:rsidRDefault="004F38EA" w:rsidP="007A35A7">
      <w:pPr>
        <w:rPr>
          <w:rFonts w:ascii="Arial" w:hAnsi="Arial" w:cs="Arial"/>
          <w:sz w:val="20"/>
          <w:szCs w:val="20"/>
        </w:rPr>
      </w:pPr>
    </w:p>
    <w:p w14:paraId="2EF5CAC9" w14:textId="727C1A3C" w:rsidR="004F38EA" w:rsidRPr="00183CCB" w:rsidRDefault="00183CCB" w:rsidP="007A35A7">
      <w:pPr>
        <w:rPr>
          <w:rFonts w:ascii="Arial" w:hAnsi="Arial" w:cs="Arial"/>
          <w:sz w:val="20"/>
          <w:szCs w:val="20"/>
          <w:u w:val="single"/>
        </w:rPr>
      </w:pPr>
      <w:r w:rsidRPr="00183CCB">
        <w:rPr>
          <w:rFonts w:ascii="Arial" w:hAnsi="Arial" w:cs="Arial"/>
          <w:sz w:val="20"/>
          <w:szCs w:val="20"/>
          <w:u w:val="single"/>
        </w:rPr>
        <w:t>Co-commissioning a</w:t>
      </w:r>
      <w:r w:rsidR="004F38EA" w:rsidRPr="00183CCB">
        <w:rPr>
          <w:rFonts w:ascii="Arial" w:hAnsi="Arial" w:cs="Arial"/>
          <w:sz w:val="20"/>
          <w:szCs w:val="20"/>
          <w:u w:val="single"/>
        </w:rPr>
        <w:t>llocation</w:t>
      </w:r>
    </w:p>
    <w:p w14:paraId="1A3C1D14" w14:textId="600F378C" w:rsidR="004F38EA" w:rsidRPr="00DC4ED4" w:rsidRDefault="004F38EA" w:rsidP="007A35A7">
      <w:pPr>
        <w:rPr>
          <w:rFonts w:ascii="Arial" w:hAnsi="Arial" w:cs="Arial"/>
          <w:sz w:val="20"/>
          <w:szCs w:val="20"/>
        </w:rPr>
      </w:pPr>
      <w:r>
        <w:rPr>
          <w:rFonts w:ascii="Arial" w:hAnsi="Arial" w:cs="Arial"/>
          <w:sz w:val="20"/>
          <w:szCs w:val="20"/>
        </w:rPr>
        <w:t xml:space="preserve">The allocation was based on the 21-22 Primary Care allocations published in </w:t>
      </w:r>
      <w:r w:rsidR="00A62E63" w:rsidRPr="00A62E63">
        <w:rPr>
          <w:rFonts w:ascii="Arial" w:hAnsi="Arial" w:cs="Arial"/>
          <w:sz w:val="20"/>
          <w:szCs w:val="20"/>
        </w:rPr>
        <w:t xml:space="preserve">2019 (covering 5 </w:t>
      </w:r>
      <w:r w:rsidR="00183CCB" w:rsidRPr="00A62E63">
        <w:rPr>
          <w:rFonts w:ascii="Arial" w:hAnsi="Arial" w:cs="Arial"/>
          <w:sz w:val="20"/>
          <w:szCs w:val="20"/>
        </w:rPr>
        <w:t>yrs.</w:t>
      </w:r>
      <w:r w:rsidR="00A62E63" w:rsidRPr="00A62E63">
        <w:rPr>
          <w:rFonts w:ascii="Arial" w:hAnsi="Arial" w:cs="Arial"/>
          <w:sz w:val="20"/>
          <w:szCs w:val="20"/>
        </w:rPr>
        <w:t xml:space="preserve"> up to 23/24)</w:t>
      </w:r>
      <w:r w:rsidR="00A62E63">
        <w:rPr>
          <w:rFonts w:ascii="Arial" w:hAnsi="Arial" w:cs="Arial"/>
          <w:sz w:val="20"/>
          <w:szCs w:val="20"/>
        </w:rPr>
        <w:t xml:space="preserve">, </w:t>
      </w:r>
      <w:r>
        <w:rPr>
          <w:rFonts w:ascii="Arial" w:hAnsi="Arial" w:cs="Arial"/>
          <w:sz w:val="20"/>
          <w:szCs w:val="20"/>
        </w:rPr>
        <w:t>adjusted for additional allocations received since publication</w:t>
      </w:r>
      <w:r w:rsidR="00183CCB">
        <w:rPr>
          <w:rFonts w:ascii="Arial" w:hAnsi="Arial" w:cs="Arial"/>
          <w:sz w:val="20"/>
          <w:szCs w:val="20"/>
        </w:rPr>
        <w:t xml:space="preserve"> (£740k).</w:t>
      </w:r>
      <w:r w:rsidR="00A62E63">
        <w:rPr>
          <w:rFonts w:ascii="Arial" w:hAnsi="Arial" w:cs="Arial"/>
          <w:sz w:val="20"/>
          <w:szCs w:val="20"/>
        </w:rPr>
        <w:t xml:space="preserve"> </w:t>
      </w:r>
      <w:r w:rsidR="00183CCB">
        <w:rPr>
          <w:rFonts w:ascii="Arial" w:hAnsi="Arial" w:cs="Arial"/>
          <w:sz w:val="20"/>
          <w:szCs w:val="20"/>
        </w:rPr>
        <w:t>T</w:t>
      </w:r>
      <w:r w:rsidR="00A62E63">
        <w:rPr>
          <w:rFonts w:ascii="Arial" w:hAnsi="Arial" w:cs="Arial"/>
          <w:sz w:val="20"/>
          <w:szCs w:val="20"/>
        </w:rPr>
        <w:t>he</w:t>
      </w:r>
      <w:r w:rsidR="00183CCB">
        <w:rPr>
          <w:rFonts w:ascii="Arial" w:hAnsi="Arial" w:cs="Arial"/>
          <w:sz w:val="20"/>
          <w:szCs w:val="20"/>
        </w:rPr>
        <w:t xml:space="preserve"> main areas of additional funding were for</w:t>
      </w:r>
      <w:r w:rsidR="00A62E63">
        <w:rPr>
          <w:rFonts w:ascii="Arial" w:hAnsi="Arial" w:cs="Arial"/>
          <w:sz w:val="20"/>
          <w:szCs w:val="20"/>
        </w:rPr>
        <w:t xml:space="preserve"> Care Home Premium and new QOF indicators</w:t>
      </w:r>
      <w:r w:rsidR="00183CCB">
        <w:rPr>
          <w:rFonts w:ascii="Arial" w:hAnsi="Arial" w:cs="Arial"/>
          <w:sz w:val="20"/>
          <w:szCs w:val="20"/>
        </w:rPr>
        <w:t xml:space="preserve">.  </w:t>
      </w:r>
      <w:r>
        <w:rPr>
          <w:rFonts w:ascii="Arial" w:hAnsi="Arial" w:cs="Arial"/>
          <w:sz w:val="20"/>
          <w:szCs w:val="20"/>
        </w:rPr>
        <w:t>This gave us an</w:t>
      </w:r>
      <w:r w:rsidR="00183CCB">
        <w:rPr>
          <w:rFonts w:ascii="Arial" w:hAnsi="Arial" w:cs="Arial"/>
          <w:sz w:val="20"/>
          <w:szCs w:val="20"/>
        </w:rPr>
        <w:t xml:space="preserve"> H1</w:t>
      </w:r>
      <w:r>
        <w:rPr>
          <w:rFonts w:ascii="Arial" w:hAnsi="Arial" w:cs="Arial"/>
          <w:sz w:val="20"/>
          <w:szCs w:val="20"/>
        </w:rPr>
        <w:t xml:space="preserve"> allocation of £15,494</w:t>
      </w:r>
      <w:r w:rsidR="00183CCB">
        <w:rPr>
          <w:rFonts w:ascii="Arial" w:hAnsi="Arial" w:cs="Arial"/>
          <w:sz w:val="20"/>
          <w:szCs w:val="20"/>
        </w:rPr>
        <w:t>k</w:t>
      </w:r>
      <w:r>
        <w:rPr>
          <w:rFonts w:ascii="Arial" w:hAnsi="Arial" w:cs="Arial"/>
          <w:sz w:val="20"/>
          <w:szCs w:val="20"/>
        </w:rPr>
        <w:t>, an increase of £759k</w:t>
      </w:r>
      <w:r w:rsidR="00183CCB">
        <w:rPr>
          <w:rFonts w:ascii="Arial" w:hAnsi="Arial" w:cs="Arial"/>
          <w:sz w:val="20"/>
          <w:szCs w:val="20"/>
        </w:rPr>
        <w:t xml:space="preserve"> (5.1%)</w:t>
      </w:r>
      <w:r>
        <w:rPr>
          <w:rFonts w:ascii="Arial" w:hAnsi="Arial" w:cs="Arial"/>
          <w:sz w:val="20"/>
          <w:szCs w:val="20"/>
        </w:rPr>
        <w:t xml:space="preserve"> over H2 20-21</w:t>
      </w:r>
      <w:r w:rsidR="00183CCB">
        <w:rPr>
          <w:rFonts w:ascii="Arial" w:hAnsi="Arial" w:cs="Arial"/>
          <w:sz w:val="20"/>
          <w:szCs w:val="20"/>
        </w:rPr>
        <w:t>.</w:t>
      </w:r>
    </w:p>
    <w:p w14:paraId="4925A83E" w14:textId="77777777" w:rsidR="00765E74" w:rsidRDefault="00765E74" w:rsidP="007A35A7">
      <w:pPr>
        <w:rPr>
          <w:rFonts w:ascii="Arial" w:hAnsi="Arial" w:cs="Arial"/>
        </w:rPr>
      </w:pPr>
    </w:p>
    <w:p w14:paraId="097E4AC6" w14:textId="477D9BDC" w:rsidR="00960945" w:rsidRDefault="00DA0E1D" w:rsidP="007A35A7">
      <w:pPr>
        <w:rPr>
          <w:rFonts w:ascii="Arial" w:hAnsi="Arial" w:cs="Arial"/>
          <w:sz w:val="20"/>
          <w:szCs w:val="20"/>
        </w:rPr>
      </w:pPr>
      <w:r w:rsidRPr="00DC4ED4">
        <w:rPr>
          <w:rFonts w:ascii="Arial" w:hAnsi="Arial" w:cs="Arial"/>
          <w:sz w:val="20"/>
          <w:szCs w:val="20"/>
        </w:rPr>
        <w:t>As noted in previous years</w:t>
      </w:r>
      <w:r w:rsidR="00DC4ED4" w:rsidRPr="00DC4ED4">
        <w:rPr>
          <w:rFonts w:ascii="Arial" w:hAnsi="Arial" w:cs="Arial"/>
          <w:sz w:val="20"/>
          <w:szCs w:val="20"/>
        </w:rPr>
        <w:t>,</w:t>
      </w:r>
      <w:r w:rsidRPr="00DC4ED4">
        <w:rPr>
          <w:rFonts w:ascii="Arial" w:hAnsi="Arial" w:cs="Arial"/>
          <w:sz w:val="20"/>
          <w:szCs w:val="20"/>
        </w:rPr>
        <w:t xml:space="preserve"> NEL CCG receives a lower rate of growth due to our per capita distance from target</w:t>
      </w:r>
      <w:r w:rsidR="00960945" w:rsidRPr="00DC4ED4">
        <w:rPr>
          <w:rFonts w:ascii="Arial" w:hAnsi="Arial" w:cs="Arial"/>
          <w:sz w:val="20"/>
          <w:szCs w:val="20"/>
        </w:rPr>
        <w:t>, result</w:t>
      </w:r>
      <w:r w:rsidR="00D85B7C" w:rsidRPr="00DC4ED4">
        <w:rPr>
          <w:rFonts w:ascii="Arial" w:hAnsi="Arial" w:cs="Arial"/>
          <w:sz w:val="20"/>
          <w:szCs w:val="20"/>
        </w:rPr>
        <w:t>ing</w:t>
      </w:r>
      <w:r w:rsidR="00960945" w:rsidRPr="00DC4ED4">
        <w:rPr>
          <w:rFonts w:ascii="Arial" w:hAnsi="Arial" w:cs="Arial"/>
          <w:sz w:val="20"/>
          <w:szCs w:val="20"/>
        </w:rPr>
        <w:t xml:space="preserve"> in there being no flexibility</w:t>
      </w:r>
      <w:r w:rsidR="00D85B7C" w:rsidRPr="00DC4ED4">
        <w:rPr>
          <w:rFonts w:ascii="Arial" w:hAnsi="Arial" w:cs="Arial"/>
          <w:sz w:val="20"/>
          <w:szCs w:val="20"/>
        </w:rPr>
        <w:t xml:space="preserve"> in the budget this</w:t>
      </w:r>
      <w:r w:rsidR="00960945" w:rsidRPr="00DC4ED4">
        <w:rPr>
          <w:rFonts w:ascii="Arial" w:hAnsi="Arial" w:cs="Arial"/>
          <w:sz w:val="20"/>
          <w:szCs w:val="20"/>
        </w:rPr>
        <w:t xml:space="preserve"> year.  Budgets have been set </w:t>
      </w:r>
      <w:r w:rsidR="004B18B7">
        <w:rPr>
          <w:rFonts w:ascii="Arial" w:hAnsi="Arial" w:cs="Arial"/>
          <w:sz w:val="20"/>
          <w:szCs w:val="20"/>
        </w:rPr>
        <w:t>within this overall funding envelope and takes account of demographic growth and inflation.</w:t>
      </w:r>
      <w:r w:rsidR="00960945" w:rsidRPr="00DC4ED4">
        <w:rPr>
          <w:rFonts w:ascii="Arial" w:hAnsi="Arial" w:cs="Arial"/>
          <w:sz w:val="20"/>
          <w:szCs w:val="20"/>
        </w:rPr>
        <w:t xml:space="preserve"> </w:t>
      </w:r>
    </w:p>
    <w:p w14:paraId="38D12555" w14:textId="4A92029F" w:rsidR="004B18B7" w:rsidRDefault="004B18B7" w:rsidP="007A35A7">
      <w:pPr>
        <w:rPr>
          <w:rFonts w:ascii="Arial" w:hAnsi="Arial" w:cs="Arial"/>
          <w:sz w:val="20"/>
          <w:szCs w:val="20"/>
        </w:rPr>
      </w:pPr>
    </w:p>
    <w:tbl>
      <w:tblPr>
        <w:tblW w:w="9040" w:type="dxa"/>
        <w:tblLook w:val="04A0" w:firstRow="1" w:lastRow="0" w:firstColumn="1" w:lastColumn="0" w:noHBand="0" w:noVBand="1"/>
      </w:tblPr>
      <w:tblGrid>
        <w:gridCol w:w="2800"/>
        <w:gridCol w:w="1560"/>
        <w:gridCol w:w="1560"/>
        <w:gridCol w:w="1560"/>
        <w:gridCol w:w="1560"/>
      </w:tblGrid>
      <w:tr w:rsidR="00451CCC" w:rsidRPr="00451CCC" w14:paraId="6BA03ECA" w14:textId="77777777" w:rsidTr="00451CCC">
        <w:trPr>
          <w:trHeight w:val="960"/>
        </w:trPr>
        <w:tc>
          <w:tcPr>
            <w:tcW w:w="2800" w:type="dxa"/>
            <w:tcBorders>
              <w:top w:val="single" w:sz="4" w:space="0" w:color="auto"/>
              <w:left w:val="single" w:sz="4" w:space="0" w:color="auto"/>
              <w:bottom w:val="single" w:sz="4" w:space="0" w:color="auto"/>
              <w:right w:val="nil"/>
            </w:tcBorders>
            <w:shd w:val="clear" w:color="000000" w:fill="D9D9D9"/>
            <w:noWrap/>
            <w:vAlign w:val="center"/>
            <w:hideMark/>
          </w:tcPr>
          <w:p w14:paraId="2F563B16" w14:textId="77777777" w:rsidR="00451CCC" w:rsidRPr="00451CCC" w:rsidRDefault="00451CCC" w:rsidP="00451CCC">
            <w:pP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 </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259A27" w14:textId="77777777" w:rsidR="00451CCC" w:rsidRP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6 months 20-21 out-turn for comparison (£'000)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2F9797DF" w14:textId="77777777" w:rsidR="00451CCC" w:rsidRP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21-22 H1 budget (£'000)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5AA0759" w14:textId="77777777" w:rsidR="00451CCC" w:rsidRP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H1 allocation transfers still to be actioned (£'000)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9388529" w14:textId="77777777" w:rsid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Total H1 budget</w:t>
            </w:r>
            <w:r w:rsidR="00BF688D">
              <w:rPr>
                <w:rFonts w:ascii="Calibri" w:eastAsia="Times New Roman" w:hAnsi="Calibri" w:cs="Calibri"/>
                <w:b/>
                <w:bCs/>
                <w:sz w:val="18"/>
                <w:szCs w:val="18"/>
                <w:lang w:val="en-GB" w:eastAsia="en-GB"/>
              </w:rPr>
              <w:t xml:space="preserve"> (£’000)</w:t>
            </w:r>
          </w:p>
          <w:p w14:paraId="46E8CA28" w14:textId="64CB6041" w:rsidR="00BF688D" w:rsidRPr="00451CCC" w:rsidRDefault="00BF688D" w:rsidP="00451CCC">
            <w:pPr>
              <w:jc w:val="center"/>
              <w:rPr>
                <w:rFonts w:ascii="Calibri" w:eastAsia="Times New Roman" w:hAnsi="Calibri" w:cs="Calibri"/>
                <w:b/>
                <w:bCs/>
                <w:sz w:val="18"/>
                <w:szCs w:val="18"/>
                <w:lang w:val="en-GB" w:eastAsia="en-GB"/>
              </w:rPr>
            </w:pPr>
          </w:p>
        </w:tc>
      </w:tr>
      <w:tr w:rsidR="00451CCC" w:rsidRPr="00451CCC" w14:paraId="3B3FA5F8"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7D95B88D"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Other - GP Services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3D5EC16"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207</w:t>
            </w:r>
          </w:p>
        </w:tc>
        <w:tc>
          <w:tcPr>
            <w:tcW w:w="1560" w:type="dxa"/>
            <w:tcBorders>
              <w:top w:val="nil"/>
              <w:left w:val="nil"/>
              <w:bottom w:val="single" w:sz="4" w:space="0" w:color="auto"/>
              <w:right w:val="single" w:sz="4" w:space="0" w:color="auto"/>
            </w:tcBorders>
            <w:shd w:val="clear" w:color="auto" w:fill="auto"/>
            <w:noWrap/>
            <w:vAlign w:val="center"/>
            <w:hideMark/>
          </w:tcPr>
          <w:p w14:paraId="70CEF35D"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210</w:t>
            </w:r>
          </w:p>
        </w:tc>
        <w:tc>
          <w:tcPr>
            <w:tcW w:w="1560" w:type="dxa"/>
            <w:tcBorders>
              <w:top w:val="nil"/>
              <w:left w:val="nil"/>
              <w:bottom w:val="single" w:sz="4" w:space="0" w:color="auto"/>
              <w:right w:val="single" w:sz="4" w:space="0" w:color="auto"/>
            </w:tcBorders>
            <w:shd w:val="clear" w:color="auto" w:fill="auto"/>
            <w:noWrap/>
            <w:vAlign w:val="center"/>
            <w:hideMark/>
          </w:tcPr>
          <w:p w14:paraId="4E5B1BDD"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48C87A"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210</w:t>
            </w:r>
          </w:p>
        </w:tc>
      </w:tr>
      <w:tr w:rsidR="00451CCC" w:rsidRPr="00451CCC" w14:paraId="44758BA6" w14:textId="77777777" w:rsidTr="00451CCC">
        <w:trPr>
          <w:trHeight w:val="495"/>
        </w:trPr>
        <w:tc>
          <w:tcPr>
            <w:tcW w:w="2800" w:type="dxa"/>
            <w:tcBorders>
              <w:top w:val="nil"/>
              <w:left w:val="single" w:sz="4" w:space="0" w:color="auto"/>
              <w:bottom w:val="single" w:sz="4" w:space="0" w:color="auto"/>
              <w:right w:val="nil"/>
            </w:tcBorders>
            <w:shd w:val="clear" w:color="auto" w:fill="auto"/>
            <w:vAlign w:val="bottom"/>
            <w:hideMark/>
          </w:tcPr>
          <w:p w14:paraId="13CEF709"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Other List-Based Services (APMS incl.)</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E7C2E1"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952</w:t>
            </w:r>
          </w:p>
        </w:tc>
        <w:tc>
          <w:tcPr>
            <w:tcW w:w="1560" w:type="dxa"/>
            <w:tcBorders>
              <w:top w:val="nil"/>
              <w:left w:val="nil"/>
              <w:bottom w:val="single" w:sz="4" w:space="0" w:color="auto"/>
              <w:right w:val="single" w:sz="4" w:space="0" w:color="auto"/>
            </w:tcBorders>
            <w:shd w:val="clear" w:color="auto" w:fill="auto"/>
            <w:noWrap/>
            <w:vAlign w:val="center"/>
            <w:hideMark/>
          </w:tcPr>
          <w:p w14:paraId="272BE477"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1,011</w:t>
            </w:r>
          </w:p>
        </w:tc>
        <w:tc>
          <w:tcPr>
            <w:tcW w:w="1560" w:type="dxa"/>
            <w:tcBorders>
              <w:top w:val="nil"/>
              <w:left w:val="nil"/>
              <w:bottom w:val="single" w:sz="4" w:space="0" w:color="auto"/>
              <w:right w:val="single" w:sz="4" w:space="0" w:color="auto"/>
            </w:tcBorders>
            <w:shd w:val="clear" w:color="auto" w:fill="auto"/>
            <w:noWrap/>
            <w:vAlign w:val="center"/>
            <w:hideMark/>
          </w:tcPr>
          <w:p w14:paraId="59E881F2"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CDFD27"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1,011</w:t>
            </w:r>
          </w:p>
        </w:tc>
      </w:tr>
      <w:tr w:rsidR="00451CCC" w:rsidRPr="00451CCC" w14:paraId="79ACEBC6"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6C7B27E8"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Premises cost reimbursements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BB6EFDC"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3,076</w:t>
            </w:r>
          </w:p>
        </w:tc>
        <w:tc>
          <w:tcPr>
            <w:tcW w:w="1560" w:type="dxa"/>
            <w:tcBorders>
              <w:top w:val="nil"/>
              <w:left w:val="nil"/>
              <w:bottom w:val="single" w:sz="4" w:space="0" w:color="auto"/>
              <w:right w:val="single" w:sz="4" w:space="0" w:color="auto"/>
            </w:tcBorders>
            <w:shd w:val="clear" w:color="auto" w:fill="auto"/>
            <w:noWrap/>
            <w:vAlign w:val="center"/>
            <w:hideMark/>
          </w:tcPr>
          <w:p w14:paraId="441C9912"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2,967</w:t>
            </w:r>
          </w:p>
        </w:tc>
        <w:tc>
          <w:tcPr>
            <w:tcW w:w="1560" w:type="dxa"/>
            <w:tcBorders>
              <w:top w:val="nil"/>
              <w:left w:val="nil"/>
              <w:bottom w:val="single" w:sz="4" w:space="0" w:color="auto"/>
              <w:right w:val="single" w:sz="4" w:space="0" w:color="auto"/>
            </w:tcBorders>
            <w:shd w:val="clear" w:color="auto" w:fill="auto"/>
            <w:noWrap/>
            <w:vAlign w:val="center"/>
            <w:hideMark/>
          </w:tcPr>
          <w:p w14:paraId="182932B0"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F8A5A08"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2,967</w:t>
            </w:r>
          </w:p>
        </w:tc>
      </w:tr>
      <w:tr w:rsidR="00451CCC" w:rsidRPr="00451CCC" w14:paraId="338C1D4D"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79DE0955"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Other premises costs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18EC33"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27</w:t>
            </w:r>
          </w:p>
        </w:tc>
        <w:tc>
          <w:tcPr>
            <w:tcW w:w="1560" w:type="dxa"/>
            <w:tcBorders>
              <w:top w:val="nil"/>
              <w:left w:val="nil"/>
              <w:bottom w:val="single" w:sz="4" w:space="0" w:color="auto"/>
              <w:right w:val="single" w:sz="4" w:space="0" w:color="auto"/>
            </w:tcBorders>
            <w:shd w:val="clear" w:color="auto" w:fill="auto"/>
            <w:noWrap/>
            <w:vAlign w:val="center"/>
            <w:hideMark/>
          </w:tcPr>
          <w:p w14:paraId="152A5724"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42</w:t>
            </w:r>
          </w:p>
        </w:tc>
        <w:tc>
          <w:tcPr>
            <w:tcW w:w="1560" w:type="dxa"/>
            <w:tcBorders>
              <w:top w:val="nil"/>
              <w:left w:val="nil"/>
              <w:bottom w:val="single" w:sz="4" w:space="0" w:color="auto"/>
              <w:right w:val="single" w:sz="4" w:space="0" w:color="auto"/>
            </w:tcBorders>
            <w:shd w:val="clear" w:color="auto" w:fill="auto"/>
            <w:noWrap/>
            <w:vAlign w:val="center"/>
            <w:hideMark/>
          </w:tcPr>
          <w:p w14:paraId="145DC82A"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D49CB1"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42</w:t>
            </w:r>
          </w:p>
        </w:tc>
      </w:tr>
      <w:tr w:rsidR="00451CCC" w:rsidRPr="00451CCC" w14:paraId="16A15B36"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214CD523"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General Practice - PMS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99621B"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8,240</w:t>
            </w:r>
          </w:p>
        </w:tc>
        <w:tc>
          <w:tcPr>
            <w:tcW w:w="1560" w:type="dxa"/>
            <w:tcBorders>
              <w:top w:val="nil"/>
              <w:left w:val="nil"/>
              <w:bottom w:val="single" w:sz="4" w:space="0" w:color="auto"/>
              <w:right w:val="single" w:sz="4" w:space="0" w:color="auto"/>
            </w:tcBorders>
            <w:shd w:val="clear" w:color="auto" w:fill="auto"/>
            <w:noWrap/>
            <w:vAlign w:val="center"/>
            <w:hideMark/>
          </w:tcPr>
          <w:p w14:paraId="665556BC"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9,672</w:t>
            </w:r>
          </w:p>
        </w:tc>
        <w:tc>
          <w:tcPr>
            <w:tcW w:w="1560" w:type="dxa"/>
            <w:tcBorders>
              <w:top w:val="nil"/>
              <w:left w:val="nil"/>
              <w:bottom w:val="single" w:sz="4" w:space="0" w:color="auto"/>
              <w:right w:val="single" w:sz="4" w:space="0" w:color="auto"/>
            </w:tcBorders>
            <w:shd w:val="clear" w:color="auto" w:fill="auto"/>
            <w:noWrap/>
            <w:vAlign w:val="center"/>
            <w:hideMark/>
          </w:tcPr>
          <w:p w14:paraId="72ED5B96" w14:textId="38597726"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-978</w:t>
            </w:r>
            <w:r w:rsidR="00BF688D">
              <w:rPr>
                <w:rFonts w:ascii="Calibri" w:eastAsia="Times New Roman" w:hAnsi="Calibri" w:cs="Calibri"/>
                <w:color w:val="000000"/>
                <w:sz w:val="18"/>
                <w:szCs w:val="18"/>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14:paraId="16DF7BE9"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8,694</w:t>
            </w:r>
          </w:p>
        </w:tc>
      </w:tr>
      <w:tr w:rsidR="00451CCC" w:rsidRPr="00451CCC" w14:paraId="1894DD77"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4734D79F"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QOF</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140C0A8"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1,199</w:t>
            </w:r>
          </w:p>
        </w:tc>
        <w:tc>
          <w:tcPr>
            <w:tcW w:w="1560" w:type="dxa"/>
            <w:tcBorders>
              <w:top w:val="nil"/>
              <w:left w:val="nil"/>
              <w:bottom w:val="single" w:sz="4" w:space="0" w:color="auto"/>
              <w:right w:val="single" w:sz="4" w:space="0" w:color="auto"/>
            </w:tcBorders>
            <w:shd w:val="clear" w:color="auto" w:fill="auto"/>
            <w:noWrap/>
            <w:vAlign w:val="center"/>
            <w:hideMark/>
          </w:tcPr>
          <w:p w14:paraId="3C2BDB54"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1,332</w:t>
            </w:r>
          </w:p>
        </w:tc>
        <w:tc>
          <w:tcPr>
            <w:tcW w:w="1560" w:type="dxa"/>
            <w:tcBorders>
              <w:top w:val="nil"/>
              <w:left w:val="nil"/>
              <w:bottom w:val="single" w:sz="4" w:space="0" w:color="auto"/>
              <w:right w:val="single" w:sz="4" w:space="0" w:color="auto"/>
            </w:tcBorders>
            <w:shd w:val="clear" w:color="auto" w:fill="auto"/>
            <w:noWrap/>
            <w:vAlign w:val="center"/>
            <w:hideMark/>
          </w:tcPr>
          <w:p w14:paraId="7989E760"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A7E411E"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1,332</w:t>
            </w:r>
          </w:p>
        </w:tc>
      </w:tr>
      <w:tr w:rsidR="00451CCC" w:rsidRPr="00451CCC" w14:paraId="1AF94588"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2200CF3C"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Enhanced services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1B02B2"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234</w:t>
            </w:r>
          </w:p>
        </w:tc>
        <w:tc>
          <w:tcPr>
            <w:tcW w:w="1560" w:type="dxa"/>
            <w:tcBorders>
              <w:top w:val="nil"/>
              <w:left w:val="nil"/>
              <w:bottom w:val="single" w:sz="4" w:space="0" w:color="auto"/>
              <w:right w:val="single" w:sz="4" w:space="0" w:color="auto"/>
            </w:tcBorders>
            <w:shd w:val="clear" w:color="auto" w:fill="auto"/>
            <w:noWrap/>
            <w:vAlign w:val="center"/>
            <w:hideMark/>
          </w:tcPr>
          <w:p w14:paraId="6B432E98"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261</w:t>
            </w:r>
          </w:p>
        </w:tc>
        <w:tc>
          <w:tcPr>
            <w:tcW w:w="1560" w:type="dxa"/>
            <w:tcBorders>
              <w:top w:val="nil"/>
              <w:left w:val="nil"/>
              <w:bottom w:val="single" w:sz="4" w:space="0" w:color="auto"/>
              <w:right w:val="single" w:sz="4" w:space="0" w:color="auto"/>
            </w:tcBorders>
            <w:shd w:val="clear" w:color="auto" w:fill="auto"/>
            <w:noWrap/>
            <w:vAlign w:val="center"/>
            <w:hideMark/>
          </w:tcPr>
          <w:p w14:paraId="0B5F6573"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5C3935D"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261</w:t>
            </w:r>
          </w:p>
        </w:tc>
      </w:tr>
      <w:tr w:rsidR="00451CCC" w:rsidRPr="00451CCC" w14:paraId="2C6832F7" w14:textId="77777777" w:rsidTr="00451CCC">
        <w:trPr>
          <w:trHeight w:val="300"/>
        </w:trPr>
        <w:tc>
          <w:tcPr>
            <w:tcW w:w="2800" w:type="dxa"/>
            <w:tcBorders>
              <w:top w:val="nil"/>
              <w:left w:val="single" w:sz="4" w:space="0" w:color="auto"/>
              <w:bottom w:val="single" w:sz="4" w:space="0" w:color="auto"/>
              <w:right w:val="nil"/>
            </w:tcBorders>
            <w:shd w:val="clear" w:color="000000" w:fill="D9D9D9"/>
            <w:noWrap/>
            <w:vAlign w:val="bottom"/>
            <w:hideMark/>
          </w:tcPr>
          <w:p w14:paraId="67ED37B6" w14:textId="77777777" w:rsidR="00451CCC" w:rsidRPr="00451CCC" w:rsidRDefault="00451CCC" w:rsidP="00451CCC">
            <w:pP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TOTAL</w:t>
            </w:r>
          </w:p>
        </w:tc>
        <w:tc>
          <w:tcPr>
            <w:tcW w:w="1560" w:type="dxa"/>
            <w:tcBorders>
              <w:top w:val="nil"/>
              <w:left w:val="single" w:sz="4" w:space="0" w:color="auto"/>
              <w:bottom w:val="single" w:sz="4" w:space="0" w:color="auto"/>
              <w:right w:val="single" w:sz="4" w:space="0" w:color="auto"/>
            </w:tcBorders>
            <w:shd w:val="clear" w:color="000000" w:fill="D9D9D9"/>
            <w:noWrap/>
            <w:vAlign w:val="center"/>
            <w:hideMark/>
          </w:tcPr>
          <w:p w14:paraId="127F41FF"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13,935</w:t>
            </w:r>
          </w:p>
        </w:tc>
        <w:tc>
          <w:tcPr>
            <w:tcW w:w="1560" w:type="dxa"/>
            <w:tcBorders>
              <w:top w:val="nil"/>
              <w:left w:val="nil"/>
              <w:bottom w:val="single" w:sz="4" w:space="0" w:color="auto"/>
              <w:right w:val="single" w:sz="4" w:space="0" w:color="auto"/>
            </w:tcBorders>
            <w:shd w:val="clear" w:color="000000" w:fill="D9D9D9"/>
            <w:noWrap/>
            <w:vAlign w:val="bottom"/>
            <w:hideMark/>
          </w:tcPr>
          <w:p w14:paraId="3713974C"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15,494</w:t>
            </w:r>
          </w:p>
        </w:tc>
        <w:tc>
          <w:tcPr>
            <w:tcW w:w="1560" w:type="dxa"/>
            <w:tcBorders>
              <w:top w:val="nil"/>
              <w:left w:val="nil"/>
              <w:bottom w:val="single" w:sz="4" w:space="0" w:color="auto"/>
              <w:right w:val="single" w:sz="4" w:space="0" w:color="auto"/>
            </w:tcBorders>
            <w:shd w:val="clear" w:color="000000" w:fill="D9D9D9"/>
            <w:noWrap/>
            <w:vAlign w:val="bottom"/>
            <w:hideMark/>
          </w:tcPr>
          <w:p w14:paraId="05A01947"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-978</w:t>
            </w:r>
          </w:p>
        </w:tc>
        <w:tc>
          <w:tcPr>
            <w:tcW w:w="1560" w:type="dxa"/>
            <w:tcBorders>
              <w:top w:val="nil"/>
              <w:left w:val="nil"/>
              <w:bottom w:val="single" w:sz="4" w:space="0" w:color="auto"/>
              <w:right w:val="single" w:sz="4" w:space="0" w:color="auto"/>
            </w:tcBorders>
            <w:shd w:val="clear" w:color="000000" w:fill="D9D9D9"/>
            <w:noWrap/>
            <w:vAlign w:val="bottom"/>
            <w:hideMark/>
          </w:tcPr>
          <w:p w14:paraId="69F66406"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14,516</w:t>
            </w:r>
          </w:p>
        </w:tc>
      </w:tr>
    </w:tbl>
    <w:p w14:paraId="2A3146C8" w14:textId="5AD66C1A" w:rsidR="00960945" w:rsidRPr="00BF688D" w:rsidRDefault="00BF688D" w:rsidP="007A35A7">
      <w:pPr>
        <w:rPr>
          <w:rFonts w:ascii="Arial" w:hAnsi="Arial" w:cs="Arial"/>
          <w:sz w:val="16"/>
          <w:szCs w:val="16"/>
        </w:rPr>
      </w:pPr>
      <w:r w:rsidRPr="00BF688D">
        <w:rPr>
          <w:rFonts w:ascii="Arial" w:hAnsi="Arial" w:cs="Arial"/>
          <w:sz w:val="16"/>
          <w:szCs w:val="16"/>
        </w:rPr>
        <w:t>*PMS Premium transfer to Core Primary Care</w:t>
      </w:r>
    </w:p>
    <w:p w14:paraId="71D089CD" w14:textId="77777777" w:rsidR="00BF688D" w:rsidRDefault="00BF688D" w:rsidP="007A35A7">
      <w:pPr>
        <w:rPr>
          <w:rFonts w:ascii="Arial" w:hAnsi="Arial" w:cs="Arial"/>
          <w:sz w:val="20"/>
          <w:szCs w:val="20"/>
          <w:u w:val="single"/>
        </w:rPr>
      </w:pPr>
    </w:p>
    <w:p w14:paraId="3C714757" w14:textId="5B0F377C" w:rsidR="00A64398" w:rsidRPr="0034351C" w:rsidRDefault="00A64398" w:rsidP="007A35A7">
      <w:pPr>
        <w:rPr>
          <w:rFonts w:ascii="Arial" w:hAnsi="Arial" w:cs="Arial"/>
          <w:sz w:val="20"/>
          <w:szCs w:val="20"/>
          <w:u w:val="single"/>
        </w:rPr>
      </w:pPr>
      <w:r w:rsidRPr="0034351C">
        <w:rPr>
          <w:rFonts w:ascii="Arial" w:hAnsi="Arial" w:cs="Arial"/>
          <w:sz w:val="20"/>
          <w:szCs w:val="20"/>
          <w:u w:val="single"/>
        </w:rPr>
        <w:t>Key risks</w:t>
      </w:r>
    </w:p>
    <w:p w14:paraId="6268CAC2" w14:textId="160876E5" w:rsidR="00960945" w:rsidRPr="0034351C" w:rsidRDefault="00960945" w:rsidP="007A35A7">
      <w:pPr>
        <w:rPr>
          <w:rFonts w:ascii="Arial" w:hAnsi="Arial" w:cs="Arial"/>
          <w:sz w:val="20"/>
          <w:szCs w:val="20"/>
          <w:highlight w:val="yellow"/>
        </w:rPr>
      </w:pPr>
      <w:r w:rsidRPr="0034351C">
        <w:rPr>
          <w:rFonts w:ascii="Arial" w:hAnsi="Arial" w:cs="Arial"/>
          <w:sz w:val="20"/>
          <w:szCs w:val="20"/>
        </w:rPr>
        <w:t>Additional Roles:</w:t>
      </w:r>
      <w:r w:rsidR="00A64398" w:rsidRPr="0034351C">
        <w:rPr>
          <w:rFonts w:ascii="Arial" w:hAnsi="Arial" w:cs="Arial"/>
          <w:sz w:val="20"/>
          <w:szCs w:val="20"/>
        </w:rPr>
        <w:t xml:space="preserve"> as an expansion of the ARRS schemes in 21-22</w:t>
      </w:r>
      <w:r w:rsidR="00E654F1" w:rsidRPr="0034351C">
        <w:rPr>
          <w:rFonts w:ascii="Arial" w:hAnsi="Arial" w:cs="Arial"/>
          <w:sz w:val="20"/>
          <w:szCs w:val="20"/>
        </w:rPr>
        <w:t>,</w:t>
      </w:r>
      <w:r w:rsidR="00A64398" w:rsidRPr="0034351C">
        <w:rPr>
          <w:rFonts w:ascii="Arial" w:hAnsi="Arial" w:cs="Arial"/>
          <w:sz w:val="20"/>
          <w:szCs w:val="20"/>
        </w:rPr>
        <w:t xml:space="preserve"> 56% of the funding is reflected in our baseline allocation</w:t>
      </w:r>
      <w:r w:rsidR="00E654F1" w:rsidRPr="0034351C">
        <w:rPr>
          <w:rFonts w:ascii="Arial" w:hAnsi="Arial" w:cs="Arial"/>
          <w:sz w:val="20"/>
          <w:szCs w:val="20"/>
        </w:rPr>
        <w:t>.  Additional</w:t>
      </w:r>
      <w:r w:rsidR="00A64398" w:rsidRPr="0034351C">
        <w:rPr>
          <w:rFonts w:ascii="Arial" w:hAnsi="Arial" w:cs="Arial"/>
          <w:sz w:val="20"/>
          <w:szCs w:val="20"/>
        </w:rPr>
        <w:t xml:space="preserve"> funding </w:t>
      </w:r>
      <w:r w:rsidR="00E654F1" w:rsidRPr="0034351C">
        <w:rPr>
          <w:rFonts w:ascii="Arial" w:hAnsi="Arial" w:cs="Arial"/>
          <w:sz w:val="20"/>
          <w:szCs w:val="20"/>
        </w:rPr>
        <w:t>is</w:t>
      </w:r>
      <w:r w:rsidR="00A64398" w:rsidRPr="0034351C">
        <w:rPr>
          <w:rFonts w:ascii="Arial" w:hAnsi="Arial" w:cs="Arial"/>
          <w:sz w:val="20"/>
          <w:szCs w:val="20"/>
        </w:rPr>
        <w:t xml:space="preserve"> available from a central pot for spend over 56% up</w:t>
      </w:r>
      <w:r w:rsidR="00E654F1" w:rsidRPr="0034351C">
        <w:rPr>
          <w:rFonts w:ascii="Arial" w:hAnsi="Arial" w:cs="Arial"/>
          <w:sz w:val="20"/>
          <w:szCs w:val="20"/>
        </w:rPr>
        <w:t xml:space="preserve"> </w:t>
      </w:r>
      <w:r w:rsidR="00A64398" w:rsidRPr="0034351C">
        <w:rPr>
          <w:rFonts w:ascii="Arial" w:hAnsi="Arial" w:cs="Arial"/>
          <w:sz w:val="20"/>
          <w:szCs w:val="20"/>
        </w:rPr>
        <w:t>to a max of 100%.  However</w:t>
      </w:r>
      <w:r w:rsidR="00E654F1" w:rsidRPr="0034351C">
        <w:rPr>
          <w:rFonts w:ascii="Arial" w:hAnsi="Arial" w:cs="Arial"/>
          <w:sz w:val="20"/>
          <w:szCs w:val="20"/>
        </w:rPr>
        <w:t>,</w:t>
      </w:r>
      <w:r w:rsidR="00A64398" w:rsidRPr="0034351C">
        <w:rPr>
          <w:rFonts w:ascii="Arial" w:hAnsi="Arial" w:cs="Arial"/>
          <w:sz w:val="20"/>
          <w:szCs w:val="20"/>
        </w:rPr>
        <w:t xml:space="preserve"> due to an anomaly in the way that the threshold for accessing the additional central funding has been calculated, NEL will not be able to access this additional funding until we have spent more than our 56%, creating a financial risk for the CCG.  Based on </w:t>
      </w:r>
      <w:r w:rsidR="00231B6C" w:rsidRPr="0034351C">
        <w:rPr>
          <w:rFonts w:ascii="Arial" w:hAnsi="Arial" w:cs="Arial"/>
          <w:sz w:val="20"/>
          <w:szCs w:val="20"/>
        </w:rPr>
        <w:t xml:space="preserve">our assessment of the </w:t>
      </w:r>
      <w:r w:rsidR="00A64398" w:rsidRPr="0034351C">
        <w:rPr>
          <w:rFonts w:ascii="Arial" w:hAnsi="Arial" w:cs="Arial"/>
          <w:sz w:val="20"/>
          <w:szCs w:val="20"/>
        </w:rPr>
        <w:t>plans received fr</w:t>
      </w:r>
      <w:r w:rsidR="00231B6C" w:rsidRPr="0034351C">
        <w:rPr>
          <w:rFonts w:ascii="Arial" w:hAnsi="Arial" w:cs="Arial"/>
          <w:sz w:val="20"/>
          <w:szCs w:val="20"/>
        </w:rPr>
        <w:t>o</w:t>
      </w:r>
      <w:r w:rsidR="00A64398" w:rsidRPr="0034351C">
        <w:rPr>
          <w:rFonts w:ascii="Arial" w:hAnsi="Arial" w:cs="Arial"/>
          <w:sz w:val="20"/>
          <w:szCs w:val="20"/>
        </w:rPr>
        <w:t xml:space="preserve">m the PCN’s if recruitment goes as </w:t>
      </w:r>
      <w:r w:rsidR="00E654F1" w:rsidRPr="0034351C">
        <w:rPr>
          <w:rFonts w:ascii="Arial" w:hAnsi="Arial" w:cs="Arial"/>
          <w:sz w:val="20"/>
          <w:szCs w:val="20"/>
        </w:rPr>
        <w:t>planned,</w:t>
      </w:r>
      <w:r w:rsidR="00A64398" w:rsidRPr="0034351C">
        <w:rPr>
          <w:rFonts w:ascii="Arial" w:hAnsi="Arial" w:cs="Arial"/>
          <w:sz w:val="20"/>
          <w:szCs w:val="20"/>
        </w:rPr>
        <w:t xml:space="preserve"> we expect the risk </w:t>
      </w:r>
      <w:r w:rsidR="00E654F1" w:rsidRPr="0034351C">
        <w:rPr>
          <w:rFonts w:ascii="Arial" w:hAnsi="Arial" w:cs="Arial"/>
          <w:sz w:val="20"/>
          <w:szCs w:val="20"/>
        </w:rPr>
        <w:t xml:space="preserve">in 21-22 </w:t>
      </w:r>
      <w:r w:rsidR="00A64398" w:rsidRPr="0034351C">
        <w:rPr>
          <w:rFonts w:ascii="Arial" w:hAnsi="Arial" w:cs="Arial"/>
          <w:sz w:val="20"/>
          <w:szCs w:val="20"/>
        </w:rPr>
        <w:t>would be £1</w:t>
      </w:r>
      <w:r w:rsidR="00A62E63" w:rsidRPr="0034351C">
        <w:rPr>
          <w:rFonts w:ascii="Arial" w:hAnsi="Arial" w:cs="Arial"/>
          <w:sz w:val="20"/>
          <w:szCs w:val="20"/>
        </w:rPr>
        <w:t>5</w:t>
      </w:r>
      <w:r w:rsidR="00A64398" w:rsidRPr="0034351C">
        <w:rPr>
          <w:rFonts w:ascii="Arial" w:hAnsi="Arial" w:cs="Arial"/>
          <w:sz w:val="20"/>
          <w:szCs w:val="20"/>
        </w:rPr>
        <w:t>0k</w:t>
      </w:r>
      <w:r w:rsidR="00E654F1" w:rsidRPr="0034351C">
        <w:rPr>
          <w:rFonts w:ascii="Arial" w:hAnsi="Arial" w:cs="Arial"/>
          <w:sz w:val="20"/>
          <w:szCs w:val="20"/>
        </w:rPr>
        <w:t>, with the possibility this could increase to</w:t>
      </w:r>
      <w:r w:rsidR="00231B6C" w:rsidRPr="0034351C">
        <w:rPr>
          <w:rFonts w:ascii="Arial" w:hAnsi="Arial" w:cs="Arial"/>
          <w:sz w:val="20"/>
          <w:szCs w:val="20"/>
        </w:rPr>
        <w:t xml:space="preserve"> a max</w:t>
      </w:r>
      <w:r w:rsidR="00E654F1" w:rsidRPr="0034351C">
        <w:rPr>
          <w:rFonts w:ascii="Arial" w:hAnsi="Arial" w:cs="Arial"/>
          <w:sz w:val="20"/>
          <w:szCs w:val="20"/>
        </w:rPr>
        <w:t>imum</w:t>
      </w:r>
      <w:r w:rsidR="00231B6C" w:rsidRPr="0034351C">
        <w:rPr>
          <w:rFonts w:ascii="Arial" w:hAnsi="Arial" w:cs="Arial"/>
          <w:sz w:val="20"/>
          <w:szCs w:val="20"/>
        </w:rPr>
        <w:t xml:space="preserve"> of £214k.  This anomaly has been raised with the </w:t>
      </w:r>
      <w:r w:rsidR="00E654F1" w:rsidRPr="0034351C">
        <w:rPr>
          <w:rFonts w:ascii="Arial" w:hAnsi="Arial" w:cs="Arial"/>
          <w:sz w:val="20"/>
          <w:szCs w:val="20"/>
        </w:rPr>
        <w:t xml:space="preserve">center, </w:t>
      </w:r>
      <w:r w:rsidR="00231B6C" w:rsidRPr="0034351C">
        <w:rPr>
          <w:rFonts w:ascii="Arial" w:hAnsi="Arial" w:cs="Arial"/>
          <w:sz w:val="20"/>
          <w:szCs w:val="20"/>
        </w:rPr>
        <w:t xml:space="preserve">but as overall it </w:t>
      </w:r>
      <w:proofErr w:type="gramStart"/>
      <w:r w:rsidR="00231B6C" w:rsidRPr="0034351C">
        <w:rPr>
          <w:rFonts w:ascii="Arial" w:hAnsi="Arial" w:cs="Arial"/>
          <w:sz w:val="20"/>
          <w:szCs w:val="20"/>
        </w:rPr>
        <w:t>isn’t</w:t>
      </w:r>
      <w:proofErr w:type="gramEnd"/>
      <w:r w:rsidR="00231B6C" w:rsidRPr="0034351C">
        <w:rPr>
          <w:rFonts w:ascii="Arial" w:hAnsi="Arial" w:cs="Arial"/>
          <w:sz w:val="20"/>
          <w:szCs w:val="20"/>
        </w:rPr>
        <w:t xml:space="preserve"> causing an issue </w:t>
      </w:r>
      <w:r w:rsidR="0034351C" w:rsidRPr="0034351C">
        <w:rPr>
          <w:rFonts w:ascii="Arial" w:hAnsi="Arial" w:cs="Arial"/>
          <w:sz w:val="20"/>
          <w:szCs w:val="20"/>
        </w:rPr>
        <w:t>nationally,</w:t>
      </w:r>
      <w:r w:rsidR="00231B6C" w:rsidRPr="0034351C">
        <w:rPr>
          <w:rFonts w:ascii="Arial" w:hAnsi="Arial" w:cs="Arial"/>
          <w:sz w:val="20"/>
          <w:szCs w:val="20"/>
        </w:rPr>
        <w:t xml:space="preserve"> we haven’t had much success.</w:t>
      </w:r>
    </w:p>
    <w:p w14:paraId="5AB5FF66" w14:textId="1313C4D9" w:rsidR="001B757F" w:rsidRPr="0034351C" w:rsidRDefault="001B757F" w:rsidP="007A35A7">
      <w:pPr>
        <w:rPr>
          <w:rFonts w:ascii="Arial" w:hAnsi="Arial" w:cs="Arial"/>
          <w:sz w:val="20"/>
          <w:szCs w:val="20"/>
        </w:rPr>
      </w:pPr>
    </w:p>
    <w:p w14:paraId="787375AC" w14:textId="76BCBCBB" w:rsidR="001B757F" w:rsidRPr="0034351C" w:rsidRDefault="001B757F" w:rsidP="007A35A7">
      <w:pPr>
        <w:rPr>
          <w:rFonts w:ascii="Arial" w:hAnsi="Arial" w:cs="Arial"/>
          <w:sz w:val="20"/>
          <w:szCs w:val="20"/>
          <w:u w:val="single"/>
        </w:rPr>
      </w:pPr>
      <w:r w:rsidRPr="0034351C">
        <w:rPr>
          <w:rFonts w:ascii="Arial" w:hAnsi="Arial" w:cs="Arial"/>
          <w:sz w:val="20"/>
          <w:szCs w:val="20"/>
          <w:u w:val="single"/>
        </w:rPr>
        <w:t>Core Primary Care</w:t>
      </w:r>
    </w:p>
    <w:p w14:paraId="6A199315" w14:textId="70C3E522" w:rsidR="0034351C" w:rsidRPr="0034351C" w:rsidRDefault="00621541" w:rsidP="007A35A7">
      <w:pPr>
        <w:rPr>
          <w:rFonts w:ascii="Arial" w:hAnsi="Arial" w:cs="Arial"/>
          <w:sz w:val="20"/>
          <w:szCs w:val="20"/>
        </w:rPr>
      </w:pPr>
      <w:r w:rsidRPr="0034351C">
        <w:rPr>
          <w:rFonts w:ascii="Arial" w:hAnsi="Arial" w:cs="Arial"/>
          <w:sz w:val="20"/>
          <w:szCs w:val="20"/>
        </w:rPr>
        <w:t>CCG programme envelopes have been calculated based on H2 20-21 allocations adjusted for growth.  Core primary care budgets have been built up from the 20-21 M11 FOT</w:t>
      </w:r>
      <w:r w:rsidR="0034351C">
        <w:rPr>
          <w:rFonts w:ascii="Arial" w:hAnsi="Arial" w:cs="Arial"/>
          <w:sz w:val="20"/>
          <w:szCs w:val="20"/>
        </w:rPr>
        <w:t xml:space="preserve"> which has been </w:t>
      </w:r>
      <w:r w:rsidRPr="0034351C">
        <w:rPr>
          <w:rFonts w:ascii="Arial" w:hAnsi="Arial" w:cs="Arial"/>
          <w:sz w:val="20"/>
          <w:szCs w:val="20"/>
        </w:rPr>
        <w:t>adjusted for non-recurrent items</w:t>
      </w:r>
      <w:r w:rsidR="0034351C">
        <w:rPr>
          <w:rFonts w:ascii="Arial" w:hAnsi="Arial" w:cs="Arial"/>
          <w:sz w:val="20"/>
          <w:szCs w:val="20"/>
        </w:rPr>
        <w:t>, mainly being HC&amp;V system wide IT schemes (£967k)</w:t>
      </w:r>
      <w:r w:rsidR="00BF688D">
        <w:rPr>
          <w:rFonts w:ascii="Arial" w:hAnsi="Arial" w:cs="Arial"/>
          <w:sz w:val="20"/>
          <w:szCs w:val="20"/>
        </w:rPr>
        <w:t xml:space="preserve">, </w:t>
      </w:r>
      <w:r w:rsidR="0034351C">
        <w:rPr>
          <w:rFonts w:ascii="Arial" w:hAnsi="Arial" w:cs="Arial"/>
          <w:sz w:val="20"/>
          <w:szCs w:val="20"/>
        </w:rPr>
        <w:t>GPFV initiatives (£234k)</w:t>
      </w:r>
      <w:r w:rsidR="00BF688D">
        <w:rPr>
          <w:rFonts w:ascii="Arial" w:hAnsi="Arial" w:cs="Arial"/>
          <w:sz w:val="20"/>
          <w:szCs w:val="20"/>
        </w:rPr>
        <w:t xml:space="preserve"> &amp; PMS Premium transfer from co-commissioning (£978k)</w:t>
      </w:r>
      <w:r w:rsidR="00A514D9">
        <w:rPr>
          <w:rFonts w:ascii="Arial" w:hAnsi="Arial" w:cs="Arial"/>
          <w:sz w:val="20"/>
          <w:szCs w:val="20"/>
        </w:rPr>
        <w:t>.  There are likely to be similar amounts for HC&amp;V GP IT &amp; GPFV schemes in H1, values are still to be confirmed.</w:t>
      </w:r>
      <w:r w:rsidRPr="0034351C">
        <w:rPr>
          <w:rFonts w:ascii="Arial" w:hAnsi="Arial" w:cs="Arial"/>
          <w:sz w:val="20"/>
          <w:szCs w:val="20"/>
        </w:rPr>
        <w:t xml:space="preserve"> </w:t>
      </w:r>
    </w:p>
    <w:p w14:paraId="1D7CB460" w14:textId="77777777" w:rsidR="00E654F1" w:rsidRDefault="00E654F1" w:rsidP="007A35A7">
      <w:pPr>
        <w:rPr>
          <w:rFonts w:ascii="Arial" w:hAnsi="Arial" w:cs="Arial"/>
        </w:rPr>
      </w:pPr>
    </w:p>
    <w:tbl>
      <w:tblPr>
        <w:tblW w:w="9040" w:type="dxa"/>
        <w:tblLook w:val="04A0" w:firstRow="1" w:lastRow="0" w:firstColumn="1" w:lastColumn="0" w:noHBand="0" w:noVBand="1"/>
      </w:tblPr>
      <w:tblGrid>
        <w:gridCol w:w="2800"/>
        <w:gridCol w:w="1560"/>
        <w:gridCol w:w="1560"/>
        <w:gridCol w:w="1560"/>
        <w:gridCol w:w="1560"/>
      </w:tblGrid>
      <w:tr w:rsidR="00451CCC" w:rsidRPr="00451CCC" w14:paraId="62CFD340" w14:textId="77777777" w:rsidTr="00451CCC">
        <w:trPr>
          <w:trHeight w:val="960"/>
        </w:trPr>
        <w:tc>
          <w:tcPr>
            <w:tcW w:w="2800" w:type="dxa"/>
            <w:tcBorders>
              <w:top w:val="single" w:sz="4" w:space="0" w:color="auto"/>
              <w:left w:val="single" w:sz="4" w:space="0" w:color="auto"/>
              <w:bottom w:val="single" w:sz="4" w:space="0" w:color="auto"/>
              <w:right w:val="nil"/>
            </w:tcBorders>
            <w:shd w:val="clear" w:color="000000" w:fill="D9D9D9"/>
            <w:noWrap/>
            <w:vAlign w:val="center"/>
            <w:hideMark/>
          </w:tcPr>
          <w:p w14:paraId="7217CC6C" w14:textId="77777777" w:rsidR="00451CCC" w:rsidRPr="00451CCC" w:rsidRDefault="00451CCC" w:rsidP="00451CCC">
            <w:pP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 </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4419" w14:textId="77777777" w:rsidR="00451CCC" w:rsidRP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6 months 20-21 out-turn for comparison (£'000)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22E3261C" w14:textId="77777777" w:rsidR="00451CCC" w:rsidRP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H1 allocation (£'000)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7F39CE65" w14:textId="77777777" w:rsidR="00451CCC" w:rsidRP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H1 allocation transfers still to be actioned (£'000)</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7AFEACE" w14:textId="56042BD5" w:rsidR="00451CCC" w:rsidRPr="00451CCC" w:rsidRDefault="00451CCC" w:rsidP="00451CCC">
            <w:pPr>
              <w:jc w:val="center"/>
              <w:rPr>
                <w:rFonts w:ascii="Calibri" w:eastAsia="Times New Roman" w:hAnsi="Calibri" w:cs="Calibri"/>
                <w:b/>
                <w:bCs/>
                <w:sz w:val="18"/>
                <w:szCs w:val="18"/>
                <w:lang w:val="en-GB" w:eastAsia="en-GB"/>
              </w:rPr>
            </w:pPr>
            <w:r w:rsidRPr="00451CCC">
              <w:rPr>
                <w:rFonts w:ascii="Calibri" w:eastAsia="Times New Roman" w:hAnsi="Calibri" w:cs="Calibri"/>
                <w:b/>
                <w:bCs/>
                <w:sz w:val="18"/>
                <w:szCs w:val="18"/>
                <w:lang w:val="en-GB" w:eastAsia="en-GB"/>
              </w:rPr>
              <w:t>Total H1 budget</w:t>
            </w:r>
            <w:r w:rsidR="00BF688D">
              <w:rPr>
                <w:rFonts w:ascii="Calibri" w:eastAsia="Times New Roman" w:hAnsi="Calibri" w:cs="Calibri"/>
                <w:b/>
                <w:bCs/>
                <w:sz w:val="18"/>
                <w:szCs w:val="18"/>
                <w:lang w:val="en-GB" w:eastAsia="en-GB"/>
              </w:rPr>
              <w:t xml:space="preserve"> (£’000)</w:t>
            </w:r>
          </w:p>
        </w:tc>
      </w:tr>
      <w:tr w:rsidR="00451CCC" w:rsidRPr="00451CCC" w14:paraId="244005CE" w14:textId="77777777" w:rsidTr="00451CCC">
        <w:trPr>
          <w:trHeight w:val="495"/>
        </w:trPr>
        <w:tc>
          <w:tcPr>
            <w:tcW w:w="2800" w:type="dxa"/>
            <w:tcBorders>
              <w:top w:val="nil"/>
              <w:left w:val="single" w:sz="4" w:space="0" w:color="auto"/>
              <w:bottom w:val="single" w:sz="4" w:space="0" w:color="auto"/>
              <w:right w:val="nil"/>
            </w:tcBorders>
            <w:shd w:val="clear" w:color="auto" w:fill="auto"/>
            <w:vAlign w:val="bottom"/>
            <w:hideMark/>
          </w:tcPr>
          <w:p w14:paraId="59E82619"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£1.50 per head PCN Development Investment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A0A83D8"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128</w:t>
            </w:r>
          </w:p>
        </w:tc>
        <w:tc>
          <w:tcPr>
            <w:tcW w:w="1560" w:type="dxa"/>
            <w:tcBorders>
              <w:top w:val="nil"/>
              <w:left w:val="nil"/>
              <w:bottom w:val="single" w:sz="4" w:space="0" w:color="auto"/>
              <w:right w:val="single" w:sz="4" w:space="0" w:color="auto"/>
            </w:tcBorders>
            <w:shd w:val="clear" w:color="auto" w:fill="auto"/>
            <w:noWrap/>
            <w:vAlign w:val="center"/>
            <w:hideMark/>
          </w:tcPr>
          <w:p w14:paraId="4070CB7D"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128</w:t>
            </w:r>
          </w:p>
        </w:tc>
        <w:tc>
          <w:tcPr>
            <w:tcW w:w="1560" w:type="dxa"/>
            <w:tcBorders>
              <w:top w:val="nil"/>
              <w:left w:val="nil"/>
              <w:bottom w:val="single" w:sz="4" w:space="0" w:color="auto"/>
              <w:right w:val="single" w:sz="4" w:space="0" w:color="auto"/>
            </w:tcBorders>
            <w:shd w:val="clear" w:color="auto" w:fill="auto"/>
            <w:noWrap/>
            <w:vAlign w:val="center"/>
            <w:hideMark/>
          </w:tcPr>
          <w:p w14:paraId="423B41F8"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65E8C79"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128</w:t>
            </w:r>
          </w:p>
        </w:tc>
      </w:tr>
      <w:tr w:rsidR="00451CCC" w:rsidRPr="00451CCC" w14:paraId="3E8BFCE9"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472B6F73"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Community Base Services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5F70C8"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3,682</w:t>
            </w:r>
          </w:p>
        </w:tc>
        <w:tc>
          <w:tcPr>
            <w:tcW w:w="1560" w:type="dxa"/>
            <w:tcBorders>
              <w:top w:val="nil"/>
              <w:left w:val="nil"/>
              <w:bottom w:val="single" w:sz="4" w:space="0" w:color="auto"/>
              <w:right w:val="single" w:sz="4" w:space="0" w:color="auto"/>
            </w:tcBorders>
            <w:shd w:val="clear" w:color="auto" w:fill="auto"/>
            <w:noWrap/>
            <w:vAlign w:val="center"/>
            <w:hideMark/>
          </w:tcPr>
          <w:p w14:paraId="307698FA"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2,094</w:t>
            </w:r>
          </w:p>
        </w:tc>
        <w:tc>
          <w:tcPr>
            <w:tcW w:w="1560" w:type="dxa"/>
            <w:tcBorders>
              <w:top w:val="nil"/>
              <w:left w:val="nil"/>
              <w:bottom w:val="single" w:sz="4" w:space="0" w:color="auto"/>
              <w:right w:val="single" w:sz="4" w:space="0" w:color="auto"/>
            </w:tcBorders>
            <w:shd w:val="clear" w:color="auto" w:fill="auto"/>
            <w:noWrap/>
            <w:vAlign w:val="center"/>
            <w:hideMark/>
          </w:tcPr>
          <w:p w14:paraId="50D76D03" w14:textId="6843840B"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978</w:t>
            </w:r>
            <w:r w:rsidR="00BF688D">
              <w:rPr>
                <w:rFonts w:ascii="Calibri" w:eastAsia="Times New Roman" w:hAnsi="Calibri" w:cs="Calibri"/>
                <w:color w:val="000000"/>
                <w:sz w:val="18"/>
                <w:szCs w:val="18"/>
                <w:lang w:val="en-GB" w:eastAsia="en-GB"/>
              </w:rPr>
              <w:t>*</w:t>
            </w:r>
          </w:p>
        </w:tc>
        <w:tc>
          <w:tcPr>
            <w:tcW w:w="1560" w:type="dxa"/>
            <w:tcBorders>
              <w:top w:val="nil"/>
              <w:left w:val="nil"/>
              <w:bottom w:val="single" w:sz="4" w:space="0" w:color="auto"/>
              <w:right w:val="single" w:sz="4" w:space="0" w:color="auto"/>
            </w:tcBorders>
            <w:shd w:val="clear" w:color="auto" w:fill="auto"/>
            <w:noWrap/>
            <w:vAlign w:val="center"/>
            <w:hideMark/>
          </w:tcPr>
          <w:p w14:paraId="737DDCC9"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3,072</w:t>
            </w:r>
          </w:p>
        </w:tc>
      </w:tr>
      <w:tr w:rsidR="00451CCC" w:rsidRPr="00451CCC" w14:paraId="7CC01362"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1B725415"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GP IT Costs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C107084"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430</w:t>
            </w:r>
          </w:p>
        </w:tc>
        <w:tc>
          <w:tcPr>
            <w:tcW w:w="1560" w:type="dxa"/>
            <w:tcBorders>
              <w:top w:val="nil"/>
              <w:left w:val="nil"/>
              <w:bottom w:val="single" w:sz="4" w:space="0" w:color="auto"/>
              <w:right w:val="single" w:sz="4" w:space="0" w:color="auto"/>
            </w:tcBorders>
            <w:shd w:val="clear" w:color="auto" w:fill="auto"/>
            <w:noWrap/>
            <w:vAlign w:val="center"/>
            <w:hideMark/>
          </w:tcPr>
          <w:p w14:paraId="6DB924FC"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581</w:t>
            </w:r>
          </w:p>
        </w:tc>
        <w:tc>
          <w:tcPr>
            <w:tcW w:w="1560" w:type="dxa"/>
            <w:tcBorders>
              <w:top w:val="nil"/>
              <w:left w:val="nil"/>
              <w:bottom w:val="single" w:sz="4" w:space="0" w:color="auto"/>
              <w:right w:val="single" w:sz="4" w:space="0" w:color="auto"/>
            </w:tcBorders>
            <w:shd w:val="clear" w:color="auto" w:fill="auto"/>
            <w:noWrap/>
            <w:vAlign w:val="center"/>
            <w:hideMark/>
          </w:tcPr>
          <w:p w14:paraId="72CCB7C1"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B249A5"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581</w:t>
            </w:r>
          </w:p>
        </w:tc>
      </w:tr>
      <w:tr w:rsidR="00451CCC" w:rsidRPr="00451CCC" w14:paraId="0F9E51A4" w14:textId="77777777" w:rsidTr="00451CCC">
        <w:trPr>
          <w:trHeight w:val="300"/>
        </w:trPr>
        <w:tc>
          <w:tcPr>
            <w:tcW w:w="2800" w:type="dxa"/>
            <w:tcBorders>
              <w:top w:val="nil"/>
              <w:left w:val="single" w:sz="4" w:space="0" w:color="auto"/>
              <w:bottom w:val="single" w:sz="4" w:space="0" w:color="auto"/>
              <w:right w:val="nil"/>
            </w:tcBorders>
            <w:shd w:val="clear" w:color="auto" w:fill="auto"/>
            <w:vAlign w:val="bottom"/>
            <w:hideMark/>
          </w:tcPr>
          <w:p w14:paraId="6FB48BA3" w14:textId="77777777" w:rsidR="00451CCC" w:rsidRPr="00451CCC" w:rsidRDefault="00451CCC" w:rsidP="00451CCC">
            <w:pP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PC - Other</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C5DE1ED"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14:paraId="38B128B9"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14:paraId="7F742322"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74DF11" w14:textId="77777777" w:rsidR="00451CCC" w:rsidRPr="00451CCC" w:rsidRDefault="00451CCC" w:rsidP="00451CCC">
            <w:pPr>
              <w:jc w:val="center"/>
              <w:rPr>
                <w:rFonts w:ascii="Calibri" w:eastAsia="Times New Roman" w:hAnsi="Calibri" w:cs="Calibri"/>
                <w:color w:val="000000"/>
                <w:sz w:val="18"/>
                <w:szCs w:val="18"/>
                <w:lang w:val="en-GB" w:eastAsia="en-GB"/>
              </w:rPr>
            </w:pPr>
            <w:r w:rsidRPr="00451CCC">
              <w:rPr>
                <w:rFonts w:ascii="Calibri" w:eastAsia="Times New Roman" w:hAnsi="Calibri" w:cs="Calibri"/>
                <w:color w:val="000000"/>
                <w:sz w:val="18"/>
                <w:szCs w:val="18"/>
                <w:lang w:val="en-GB" w:eastAsia="en-GB"/>
              </w:rPr>
              <w:t>0</w:t>
            </w:r>
          </w:p>
        </w:tc>
      </w:tr>
      <w:tr w:rsidR="00451CCC" w:rsidRPr="00451CCC" w14:paraId="25685973" w14:textId="77777777" w:rsidTr="00451CCC">
        <w:trPr>
          <w:trHeight w:val="300"/>
        </w:trPr>
        <w:tc>
          <w:tcPr>
            <w:tcW w:w="2800" w:type="dxa"/>
            <w:tcBorders>
              <w:top w:val="nil"/>
              <w:left w:val="single" w:sz="4" w:space="0" w:color="auto"/>
              <w:bottom w:val="single" w:sz="4" w:space="0" w:color="auto"/>
              <w:right w:val="nil"/>
            </w:tcBorders>
            <w:shd w:val="clear" w:color="000000" w:fill="D9D9D9"/>
            <w:noWrap/>
            <w:vAlign w:val="bottom"/>
            <w:hideMark/>
          </w:tcPr>
          <w:p w14:paraId="47AEB879" w14:textId="77777777" w:rsidR="00451CCC" w:rsidRPr="00451CCC" w:rsidRDefault="00451CCC" w:rsidP="00451CCC">
            <w:pP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TOTAL</w:t>
            </w:r>
          </w:p>
        </w:tc>
        <w:tc>
          <w:tcPr>
            <w:tcW w:w="1560" w:type="dxa"/>
            <w:tcBorders>
              <w:top w:val="nil"/>
              <w:left w:val="single" w:sz="4" w:space="0" w:color="auto"/>
              <w:bottom w:val="single" w:sz="4" w:space="0" w:color="auto"/>
              <w:right w:val="single" w:sz="4" w:space="0" w:color="auto"/>
            </w:tcBorders>
            <w:shd w:val="clear" w:color="000000" w:fill="D9D9D9"/>
            <w:noWrap/>
            <w:vAlign w:val="center"/>
            <w:hideMark/>
          </w:tcPr>
          <w:p w14:paraId="14E7E721"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4,239</w:t>
            </w:r>
          </w:p>
        </w:tc>
        <w:tc>
          <w:tcPr>
            <w:tcW w:w="1560" w:type="dxa"/>
            <w:tcBorders>
              <w:top w:val="nil"/>
              <w:left w:val="nil"/>
              <w:bottom w:val="single" w:sz="4" w:space="0" w:color="auto"/>
              <w:right w:val="single" w:sz="4" w:space="0" w:color="auto"/>
            </w:tcBorders>
            <w:shd w:val="clear" w:color="000000" w:fill="D9D9D9"/>
            <w:noWrap/>
            <w:vAlign w:val="center"/>
            <w:hideMark/>
          </w:tcPr>
          <w:p w14:paraId="1F9AA96B"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2,803</w:t>
            </w:r>
          </w:p>
        </w:tc>
        <w:tc>
          <w:tcPr>
            <w:tcW w:w="1560" w:type="dxa"/>
            <w:tcBorders>
              <w:top w:val="nil"/>
              <w:left w:val="nil"/>
              <w:bottom w:val="single" w:sz="4" w:space="0" w:color="auto"/>
              <w:right w:val="single" w:sz="4" w:space="0" w:color="auto"/>
            </w:tcBorders>
            <w:shd w:val="clear" w:color="000000" w:fill="D9D9D9"/>
            <w:noWrap/>
            <w:vAlign w:val="center"/>
            <w:hideMark/>
          </w:tcPr>
          <w:p w14:paraId="0B622BD7"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978</w:t>
            </w:r>
          </w:p>
        </w:tc>
        <w:tc>
          <w:tcPr>
            <w:tcW w:w="1560" w:type="dxa"/>
            <w:tcBorders>
              <w:top w:val="nil"/>
              <w:left w:val="nil"/>
              <w:bottom w:val="single" w:sz="4" w:space="0" w:color="auto"/>
              <w:right w:val="single" w:sz="4" w:space="0" w:color="auto"/>
            </w:tcBorders>
            <w:shd w:val="clear" w:color="000000" w:fill="D9D9D9"/>
            <w:noWrap/>
            <w:vAlign w:val="center"/>
            <w:hideMark/>
          </w:tcPr>
          <w:p w14:paraId="503892E6" w14:textId="77777777" w:rsidR="00451CCC" w:rsidRPr="00451CCC" w:rsidRDefault="00451CCC" w:rsidP="00451CCC">
            <w:pPr>
              <w:jc w:val="center"/>
              <w:rPr>
                <w:rFonts w:ascii="Calibri" w:eastAsia="Times New Roman" w:hAnsi="Calibri" w:cs="Calibri"/>
                <w:b/>
                <w:bCs/>
                <w:color w:val="000000"/>
                <w:sz w:val="18"/>
                <w:szCs w:val="18"/>
                <w:lang w:val="en-GB" w:eastAsia="en-GB"/>
              </w:rPr>
            </w:pPr>
            <w:r w:rsidRPr="00451CCC">
              <w:rPr>
                <w:rFonts w:ascii="Calibri" w:eastAsia="Times New Roman" w:hAnsi="Calibri" w:cs="Calibri"/>
                <w:b/>
                <w:bCs/>
                <w:color w:val="000000"/>
                <w:sz w:val="18"/>
                <w:szCs w:val="18"/>
                <w:lang w:val="en-GB" w:eastAsia="en-GB"/>
              </w:rPr>
              <w:t>3,781</w:t>
            </w:r>
          </w:p>
        </w:tc>
      </w:tr>
    </w:tbl>
    <w:p w14:paraId="6DF61D3F" w14:textId="77777777" w:rsidR="00451CCC" w:rsidRDefault="00451CCC" w:rsidP="007A35A7">
      <w:pPr>
        <w:rPr>
          <w:rFonts w:ascii="Arial" w:hAnsi="Arial" w:cs="Arial"/>
        </w:rPr>
      </w:pPr>
    </w:p>
    <w:sectPr w:rsidR="00451CCC" w:rsidSect="00EA53C2">
      <w:headerReference w:type="default" r:id="rId10"/>
      <w:footerReference w:type="default" r:id="rId11"/>
      <w:headerReference w:type="first" r:id="rId12"/>
      <w:footerReference w:type="first" r:id="rId13"/>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D696" w14:textId="77777777" w:rsidR="00B92FE0" w:rsidRDefault="00B92FE0" w:rsidP="007A35A7">
      <w:r>
        <w:separator/>
      </w:r>
    </w:p>
  </w:endnote>
  <w:endnote w:type="continuationSeparator" w:id="0">
    <w:p w14:paraId="63F48156" w14:textId="77777777" w:rsidR="00B92FE0" w:rsidRDefault="00B92FE0"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7CC4" w14:textId="77777777" w:rsidR="00B92FE0" w:rsidRDefault="00B92FE0" w:rsidP="007A35A7">
      <w:r>
        <w:separator/>
      </w:r>
    </w:p>
  </w:footnote>
  <w:footnote w:type="continuationSeparator" w:id="0">
    <w:p w14:paraId="6B60EF60" w14:textId="77777777" w:rsidR="00B92FE0" w:rsidRDefault="00B92FE0"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672877"/>
    <w:multiLevelType w:val="hybridMultilevel"/>
    <w:tmpl w:val="2226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A05AC"/>
    <w:multiLevelType w:val="hybridMultilevel"/>
    <w:tmpl w:val="70F4BF48"/>
    <w:lvl w:ilvl="0" w:tplc="688AE026">
      <w:numFmt w:val="bullet"/>
      <w:lvlText w:val="-"/>
      <w:lvlJc w:val="left"/>
      <w:pPr>
        <w:ind w:left="763" w:hanging="360"/>
      </w:pPr>
      <w:rPr>
        <w:rFonts w:ascii="Calibri" w:eastAsia="MS Mincho" w:hAnsi="Calibri" w:cs="Calibr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04EC0DD7"/>
    <w:multiLevelType w:val="hybridMultilevel"/>
    <w:tmpl w:val="4F3AE96A"/>
    <w:lvl w:ilvl="0" w:tplc="4ABA43C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7D4E03"/>
    <w:multiLevelType w:val="hybridMultilevel"/>
    <w:tmpl w:val="1B6E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500717"/>
    <w:multiLevelType w:val="hybridMultilevel"/>
    <w:tmpl w:val="3B66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85C4502"/>
    <w:multiLevelType w:val="hybridMultilevel"/>
    <w:tmpl w:val="561C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E35F9"/>
    <w:multiLevelType w:val="hybridMultilevel"/>
    <w:tmpl w:val="997CD1AC"/>
    <w:lvl w:ilvl="0" w:tplc="688AE02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955990"/>
    <w:multiLevelType w:val="hybridMultilevel"/>
    <w:tmpl w:val="7C00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6"/>
  </w:num>
  <w:num w:numId="3">
    <w:abstractNumId w:val="10"/>
  </w:num>
  <w:num w:numId="4">
    <w:abstractNumId w:val="33"/>
  </w:num>
  <w:num w:numId="5">
    <w:abstractNumId w:val="18"/>
  </w:num>
  <w:num w:numId="6">
    <w:abstractNumId w:val="26"/>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1"/>
  </w:num>
  <w:num w:numId="21">
    <w:abstractNumId w:val="27"/>
  </w:num>
  <w:num w:numId="22">
    <w:abstractNumId w:val="14"/>
  </w:num>
  <w:num w:numId="23">
    <w:abstractNumId w:val="35"/>
  </w:num>
  <w:num w:numId="24">
    <w:abstractNumId w:val="21"/>
  </w:num>
  <w:num w:numId="25">
    <w:abstractNumId w:val="24"/>
  </w:num>
  <w:num w:numId="26">
    <w:abstractNumId w:val="19"/>
  </w:num>
  <w:num w:numId="27">
    <w:abstractNumId w:val="32"/>
  </w:num>
  <w:num w:numId="28">
    <w:abstractNumId w:val="34"/>
  </w:num>
  <w:num w:numId="29">
    <w:abstractNumId w:val="17"/>
  </w:num>
  <w:num w:numId="30">
    <w:abstractNumId w:val="12"/>
  </w:num>
  <w:num w:numId="31">
    <w:abstractNumId w:val="11"/>
  </w:num>
  <w:num w:numId="32">
    <w:abstractNumId w:val="28"/>
  </w:num>
  <w:num w:numId="33">
    <w:abstractNumId w:val="20"/>
  </w:num>
  <w:num w:numId="34">
    <w:abstractNumId w:val="15"/>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17200"/>
    <w:rsid w:val="000314D5"/>
    <w:rsid w:val="000339E6"/>
    <w:rsid w:val="00051277"/>
    <w:rsid w:val="000575C2"/>
    <w:rsid w:val="00066C19"/>
    <w:rsid w:val="000732DD"/>
    <w:rsid w:val="00092DFA"/>
    <w:rsid w:val="000949D1"/>
    <w:rsid w:val="000A0C49"/>
    <w:rsid w:val="000A14F6"/>
    <w:rsid w:val="000A6EBC"/>
    <w:rsid w:val="000D0D81"/>
    <w:rsid w:val="000D40E1"/>
    <w:rsid w:val="000D6DC8"/>
    <w:rsid w:val="000F3CAD"/>
    <w:rsid w:val="00105A15"/>
    <w:rsid w:val="001712C0"/>
    <w:rsid w:val="00177BC9"/>
    <w:rsid w:val="00183CCB"/>
    <w:rsid w:val="00193DA0"/>
    <w:rsid w:val="00196FAD"/>
    <w:rsid w:val="001A01F2"/>
    <w:rsid w:val="001A4F1F"/>
    <w:rsid w:val="001B2872"/>
    <w:rsid w:val="001B3090"/>
    <w:rsid w:val="001B757F"/>
    <w:rsid w:val="001C4447"/>
    <w:rsid w:val="001C551E"/>
    <w:rsid w:val="00204AF6"/>
    <w:rsid w:val="00205F01"/>
    <w:rsid w:val="00231B6C"/>
    <w:rsid w:val="00256B26"/>
    <w:rsid w:val="002A4C49"/>
    <w:rsid w:val="002B6BC8"/>
    <w:rsid w:val="002B7673"/>
    <w:rsid w:val="002D4982"/>
    <w:rsid w:val="00301E85"/>
    <w:rsid w:val="0034351C"/>
    <w:rsid w:val="00384355"/>
    <w:rsid w:val="00390FEA"/>
    <w:rsid w:val="00392B55"/>
    <w:rsid w:val="003A4193"/>
    <w:rsid w:val="003D21AC"/>
    <w:rsid w:val="003E0C53"/>
    <w:rsid w:val="003E7F02"/>
    <w:rsid w:val="003F1101"/>
    <w:rsid w:val="00451CCC"/>
    <w:rsid w:val="00452A03"/>
    <w:rsid w:val="00465B88"/>
    <w:rsid w:val="00481002"/>
    <w:rsid w:val="00485586"/>
    <w:rsid w:val="00490B0A"/>
    <w:rsid w:val="004B18B7"/>
    <w:rsid w:val="004F22DE"/>
    <w:rsid w:val="004F38EA"/>
    <w:rsid w:val="00502440"/>
    <w:rsid w:val="005051F9"/>
    <w:rsid w:val="005151BF"/>
    <w:rsid w:val="00521113"/>
    <w:rsid w:val="005269D9"/>
    <w:rsid w:val="00535802"/>
    <w:rsid w:val="005643DE"/>
    <w:rsid w:val="00572B04"/>
    <w:rsid w:val="00594D06"/>
    <w:rsid w:val="005C589E"/>
    <w:rsid w:val="0061279E"/>
    <w:rsid w:val="00613960"/>
    <w:rsid w:val="00613CFD"/>
    <w:rsid w:val="00614C77"/>
    <w:rsid w:val="00621541"/>
    <w:rsid w:val="00622500"/>
    <w:rsid w:val="0063327E"/>
    <w:rsid w:val="00643CCE"/>
    <w:rsid w:val="00645252"/>
    <w:rsid w:val="006511A3"/>
    <w:rsid w:val="0067540C"/>
    <w:rsid w:val="0068756A"/>
    <w:rsid w:val="006941EE"/>
    <w:rsid w:val="006B05F8"/>
    <w:rsid w:val="006D3D74"/>
    <w:rsid w:val="00701C35"/>
    <w:rsid w:val="00706186"/>
    <w:rsid w:val="007139D0"/>
    <w:rsid w:val="00714D68"/>
    <w:rsid w:val="0071521B"/>
    <w:rsid w:val="007153AE"/>
    <w:rsid w:val="00725FB0"/>
    <w:rsid w:val="00727CF8"/>
    <w:rsid w:val="0074202B"/>
    <w:rsid w:val="00761230"/>
    <w:rsid w:val="00765E74"/>
    <w:rsid w:val="0077046E"/>
    <w:rsid w:val="007866C2"/>
    <w:rsid w:val="007A35A7"/>
    <w:rsid w:val="007C4A60"/>
    <w:rsid w:val="007C6D38"/>
    <w:rsid w:val="00805C57"/>
    <w:rsid w:val="008167A7"/>
    <w:rsid w:val="00826E17"/>
    <w:rsid w:val="0083569A"/>
    <w:rsid w:val="00836F14"/>
    <w:rsid w:val="00852178"/>
    <w:rsid w:val="00857399"/>
    <w:rsid w:val="008910D6"/>
    <w:rsid w:val="008D584E"/>
    <w:rsid w:val="00903AC3"/>
    <w:rsid w:val="00953F75"/>
    <w:rsid w:val="00956204"/>
    <w:rsid w:val="00960945"/>
    <w:rsid w:val="00985504"/>
    <w:rsid w:val="00987905"/>
    <w:rsid w:val="00993DA6"/>
    <w:rsid w:val="009A4E82"/>
    <w:rsid w:val="009C20C9"/>
    <w:rsid w:val="009D2B9B"/>
    <w:rsid w:val="009E5725"/>
    <w:rsid w:val="00A23EF3"/>
    <w:rsid w:val="00A514D9"/>
    <w:rsid w:val="00A56AB6"/>
    <w:rsid w:val="00A612AD"/>
    <w:rsid w:val="00A62E63"/>
    <w:rsid w:val="00A64398"/>
    <w:rsid w:val="00A705A0"/>
    <w:rsid w:val="00A74FF7"/>
    <w:rsid w:val="00A9204E"/>
    <w:rsid w:val="00A93112"/>
    <w:rsid w:val="00A95427"/>
    <w:rsid w:val="00B321D7"/>
    <w:rsid w:val="00B46F16"/>
    <w:rsid w:val="00B624C4"/>
    <w:rsid w:val="00B85815"/>
    <w:rsid w:val="00B86B77"/>
    <w:rsid w:val="00B92FE0"/>
    <w:rsid w:val="00BA0DEA"/>
    <w:rsid w:val="00BA5D5A"/>
    <w:rsid w:val="00BB7DA8"/>
    <w:rsid w:val="00BC4566"/>
    <w:rsid w:val="00BD3CB7"/>
    <w:rsid w:val="00BE356C"/>
    <w:rsid w:val="00BF688D"/>
    <w:rsid w:val="00C0160E"/>
    <w:rsid w:val="00C120A6"/>
    <w:rsid w:val="00C31B72"/>
    <w:rsid w:val="00C51F00"/>
    <w:rsid w:val="00C6647A"/>
    <w:rsid w:val="00C70EB5"/>
    <w:rsid w:val="00C73FD3"/>
    <w:rsid w:val="00C869E7"/>
    <w:rsid w:val="00CD37DD"/>
    <w:rsid w:val="00CE1F32"/>
    <w:rsid w:val="00CE2815"/>
    <w:rsid w:val="00D00389"/>
    <w:rsid w:val="00D060B6"/>
    <w:rsid w:val="00D2057A"/>
    <w:rsid w:val="00D431DE"/>
    <w:rsid w:val="00D448E3"/>
    <w:rsid w:val="00D66FCE"/>
    <w:rsid w:val="00D7418C"/>
    <w:rsid w:val="00D85B7C"/>
    <w:rsid w:val="00DA0E1D"/>
    <w:rsid w:val="00DB4920"/>
    <w:rsid w:val="00DB6FBE"/>
    <w:rsid w:val="00DB7724"/>
    <w:rsid w:val="00DB7B4C"/>
    <w:rsid w:val="00DC4ED4"/>
    <w:rsid w:val="00DC534F"/>
    <w:rsid w:val="00DE79E3"/>
    <w:rsid w:val="00DF6A6E"/>
    <w:rsid w:val="00DF7875"/>
    <w:rsid w:val="00E076A9"/>
    <w:rsid w:val="00E22203"/>
    <w:rsid w:val="00E511D7"/>
    <w:rsid w:val="00E61471"/>
    <w:rsid w:val="00E6411E"/>
    <w:rsid w:val="00E654F1"/>
    <w:rsid w:val="00EA53C2"/>
    <w:rsid w:val="00EF5A01"/>
    <w:rsid w:val="00F2530F"/>
    <w:rsid w:val="00F47E31"/>
    <w:rsid w:val="00F516B5"/>
    <w:rsid w:val="00F570A0"/>
    <w:rsid w:val="00F65ABE"/>
    <w:rsid w:val="00F869EB"/>
    <w:rsid w:val="00F9181E"/>
    <w:rsid w:val="00FB3009"/>
    <w:rsid w:val="00FD18FF"/>
    <w:rsid w:val="00FE1860"/>
    <w:rsid w:val="00FF131A"/>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A5CEA282-C023-46BF-9767-E2726276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439">
      <w:bodyDiv w:val="1"/>
      <w:marLeft w:val="0"/>
      <w:marRight w:val="0"/>
      <w:marTop w:val="0"/>
      <w:marBottom w:val="0"/>
      <w:divBdr>
        <w:top w:val="none" w:sz="0" w:space="0" w:color="auto"/>
        <w:left w:val="none" w:sz="0" w:space="0" w:color="auto"/>
        <w:bottom w:val="none" w:sz="0" w:space="0" w:color="auto"/>
        <w:right w:val="none" w:sz="0" w:space="0" w:color="auto"/>
      </w:divBdr>
    </w:div>
    <w:div w:id="262106164">
      <w:bodyDiv w:val="1"/>
      <w:marLeft w:val="0"/>
      <w:marRight w:val="0"/>
      <w:marTop w:val="0"/>
      <w:marBottom w:val="0"/>
      <w:divBdr>
        <w:top w:val="none" w:sz="0" w:space="0" w:color="auto"/>
        <w:left w:val="none" w:sz="0" w:space="0" w:color="auto"/>
        <w:bottom w:val="none" w:sz="0" w:space="0" w:color="auto"/>
        <w:right w:val="none" w:sz="0" w:space="0" w:color="auto"/>
      </w:divBdr>
    </w:div>
    <w:div w:id="272908152">
      <w:bodyDiv w:val="1"/>
      <w:marLeft w:val="0"/>
      <w:marRight w:val="0"/>
      <w:marTop w:val="0"/>
      <w:marBottom w:val="0"/>
      <w:divBdr>
        <w:top w:val="none" w:sz="0" w:space="0" w:color="auto"/>
        <w:left w:val="none" w:sz="0" w:space="0" w:color="auto"/>
        <w:bottom w:val="none" w:sz="0" w:space="0" w:color="auto"/>
        <w:right w:val="none" w:sz="0" w:space="0" w:color="auto"/>
      </w:divBdr>
    </w:div>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414934770">
      <w:bodyDiv w:val="1"/>
      <w:marLeft w:val="0"/>
      <w:marRight w:val="0"/>
      <w:marTop w:val="0"/>
      <w:marBottom w:val="0"/>
      <w:divBdr>
        <w:top w:val="none" w:sz="0" w:space="0" w:color="auto"/>
        <w:left w:val="none" w:sz="0" w:space="0" w:color="auto"/>
        <w:bottom w:val="none" w:sz="0" w:space="0" w:color="auto"/>
        <w:right w:val="none" w:sz="0" w:space="0" w:color="auto"/>
      </w:divBdr>
    </w:div>
    <w:div w:id="430702982">
      <w:bodyDiv w:val="1"/>
      <w:marLeft w:val="0"/>
      <w:marRight w:val="0"/>
      <w:marTop w:val="0"/>
      <w:marBottom w:val="0"/>
      <w:divBdr>
        <w:top w:val="none" w:sz="0" w:space="0" w:color="auto"/>
        <w:left w:val="none" w:sz="0" w:space="0" w:color="auto"/>
        <w:bottom w:val="none" w:sz="0" w:space="0" w:color="auto"/>
        <w:right w:val="none" w:sz="0" w:space="0" w:color="auto"/>
      </w:divBdr>
    </w:div>
    <w:div w:id="470446042">
      <w:bodyDiv w:val="1"/>
      <w:marLeft w:val="0"/>
      <w:marRight w:val="0"/>
      <w:marTop w:val="0"/>
      <w:marBottom w:val="0"/>
      <w:divBdr>
        <w:top w:val="none" w:sz="0" w:space="0" w:color="auto"/>
        <w:left w:val="none" w:sz="0" w:space="0" w:color="auto"/>
        <w:bottom w:val="none" w:sz="0" w:space="0" w:color="auto"/>
        <w:right w:val="none" w:sz="0" w:space="0" w:color="auto"/>
      </w:divBdr>
    </w:div>
    <w:div w:id="488979145">
      <w:bodyDiv w:val="1"/>
      <w:marLeft w:val="0"/>
      <w:marRight w:val="0"/>
      <w:marTop w:val="0"/>
      <w:marBottom w:val="0"/>
      <w:divBdr>
        <w:top w:val="none" w:sz="0" w:space="0" w:color="auto"/>
        <w:left w:val="none" w:sz="0" w:space="0" w:color="auto"/>
        <w:bottom w:val="none" w:sz="0" w:space="0" w:color="auto"/>
        <w:right w:val="none" w:sz="0" w:space="0" w:color="auto"/>
      </w:divBdr>
    </w:div>
    <w:div w:id="612399020">
      <w:bodyDiv w:val="1"/>
      <w:marLeft w:val="0"/>
      <w:marRight w:val="0"/>
      <w:marTop w:val="0"/>
      <w:marBottom w:val="0"/>
      <w:divBdr>
        <w:top w:val="none" w:sz="0" w:space="0" w:color="auto"/>
        <w:left w:val="none" w:sz="0" w:space="0" w:color="auto"/>
        <w:bottom w:val="none" w:sz="0" w:space="0" w:color="auto"/>
        <w:right w:val="none" w:sz="0" w:space="0" w:color="auto"/>
      </w:divBdr>
    </w:div>
    <w:div w:id="620840668">
      <w:bodyDiv w:val="1"/>
      <w:marLeft w:val="0"/>
      <w:marRight w:val="0"/>
      <w:marTop w:val="0"/>
      <w:marBottom w:val="0"/>
      <w:divBdr>
        <w:top w:val="none" w:sz="0" w:space="0" w:color="auto"/>
        <w:left w:val="none" w:sz="0" w:space="0" w:color="auto"/>
        <w:bottom w:val="none" w:sz="0" w:space="0" w:color="auto"/>
        <w:right w:val="none" w:sz="0" w:space="0" w:color="auto"/>
      </w:divBdr>
    </w:div>
    <w:div w:id="638461757">
      <w:bodyDiv w:val="1"/>
      <w:marLeft w:val="0"/>
      <w:marRight w:val="0"/>
      <w:marTop w:val="0"/>
      <w:marBottom w:val="0"/>
      <w:divBdr>
        <w:top w:val="none" w:sz="0" w:space="0" w:color="auto"/>
        <w:left w:val="none" w:sz="0" w:space="0" w:color="auto"/>
        <w:bottom w:val="none" w:sz="0" w:space="0" w:color="auto"/>
        <w:right w:val="none" w:sz="0" w:space="0" w:color="auto"/>
      </w:divBdr>
    </w:div>
    <w:div w:id="666053619">
      <w:bodyDiv w:val="1"/>
      <w:marLeft w:val="0"/>
      <w:marRight w:val="0"/>
      <w:marTop w:val="0"/>
      <w:marBottom w:val="0"/>
      <w:divBdr>
        <w:top w:val="none" w:sz="0" w:space="0" w:color="auto"/>
        <w:left w:val="none" w:sz="0" w:space="0" w:color="auto"/>
        <w:bottom w:val="none" w:sz="0" w:space="0" w:color="auto"/>
        <w:right w:val="none" w:sz="0" w:space="0" w:color="auto"/>
      </w:divBdr>
    </w:div>
    <w:div w:id="681392327">
      <w:bodyDiv w:val="1"/>
      <w:marLeft w:val="0"/>
      <w:marRight w:val="0"/>
      <w:marTop w:val="0"/>
      <w:marBottom w:val="0"/>
      <w:divBdr>
        <w:top w:val="none" w:sz="0" w:space="0" w:color="auto"/>
        <w:left w:val="none" w:sz="0" w:space="0" w:color="auto"/>
        <w:bottom w:val="none" w:sz="0" w:space="0" w:color="auto"/>
        <w:right w:val="none" w:sz="0" w:space="0" w:color="auto"/>
      </w:divBdr>
    </w:div>
    <w:div w:id="885290583">
      <w:bodyDiv w:val="1"/>
      <w:marLeft w:val="0"/>
      <w:marRight w:val="0"/>
      <w:marTop w:val="0"/>
      <w:marBottom w:val="0"/>
      <w:divBdr>
        <w:top w:val="none" w:sz="0" w:space="0" w:color="auto"/>
        <w:left w:val="none" w:sz="0" w:space="0" w:color="auto"/>
        <w:bottom w:val="none" w:sz="0" w:space="0" w:color="auto"/>
        <w:right w:val="none" w:sz="0" w:space="0" w:color="auto"/>
      </w:divBdr>
    </w:div>
    <w:div w:id="983043447">
      <w:bodyDiv w:val="1"/>
      <w:marLeft w:val="0"/>
      <w:marRight w:val="0"/>
      <w:marTop w:val="0"/>
      <w:marBottom w:val="0"/>
      <w:divBdr>
        <w:top w:val="none" w:sz="0" w:space="0" w:color="auto"/>
        <w:left w:val="none" w:sz="0" w:space="0" w:color="auto"/>
        <w:bottom w:val="none" w:sz="0" w:space="0" w:color="auto"/>
        <w:right w:val="none" w:sz="0" w:space="0" w:color="auto"/>
      </w:divBdr>
    </w:div>
    <w:div w:id="1052539593">
      <w:bodyDiv w:val="1"/>
      <w:marLeft w:val="0"/>
      <w:marRight w:val="0"/>
      <w:marTop w:val="0"/>
      <w:marBottom w:val="0"/>
      <w:divBdr>
        <w:top w:val="none" w:sz="0" w:space="0" w:color="auto"/>
        <w:left w:val="none" w:sz="0" w:space="0" w:color="auto"/>
        <w:bottom w:val="none" w:sz="0" w:space="0" w:color="auto"/>
        <w:right w:val="none" w:sz="0" w:space="0" w:color="auto"/>
      </w:divBdr>
    </w:div>
    <w:div w:id="1062287194">
      <w:bodyDiv w:val="1"/>
      <w:marLeft w:val="0"/>
      <w:marRight w:val="0"/>
      <w:marTop w:val="0"/>
      <w:marBottom w:val="0"/>
      <w:divBdr>
        <w:top w:val="none" w:sz="0" w:space="0" w:color="auto"/>
        <w:left w:val="none" w:sz="0" w:space="0" w:color="auto"/>
        <w:bottom w:val="none" w:sz="0" w:space="0" w:color="auto"/>
        <w:right w:val="none" w:sz="0" w:space="0" w:color="auto"/>
      </w:divBdr>
    </w:div>
    <w:div w:id="1150558607">
      <w:bodyDiv w:val="1"/>
      <w:marLeft w:val="0"/>
      <w:marRight w:val="0"/>
      <w:marTop w:val="0"/>
      <w:marBottom w:val="0"/>
      <w:divBdr>
        <w:top w:val="none" w:sz="0" w:space="0" w:color="auto"/>
        <w:left w:val="none" w:sz="0" w:space="0" w:color="auto"/>
        <w:bottom w:val="none" w:sz="0" w:space="0" w:color="auto"/>
        <w:right w:val="none" w:sz="0" w:space="0" w:color="auto"/>
      </w:divBdr>
    </w:div>
    <w:div w:id="1155031886">
      <w:bodyDiv w:val="1"/>
      <w:marLeft w:val="0"/>
      <w:marRight w:val="0"/>
      <w:marTop w:val="0"/>
      <w:marBottom w:val="0"/>
      <w:divBdr>
        <w:top w:val="none" w:sz="0" w:space="0" w:color="auto"/>
        <w:left w:val="none" w:sz="0" w:space="0" w:color="auto"/>
        <w:bottom w:val="none" w:sz="0" w:space="0" w:color="auto"/>
        <w:right w:val="none" w:sz="0" w:space="0" w:color="auto"/>
      </w:divBdr>
    </w:div>
    <w:div w:id="1225676865">
      <w:bodyDiv w:val="1"/>
      <w:marLeft w:val="0"/>
      <w:marRight w:val="0"/>
      <w:marTop w:val="0"/>
      <w:marBottom w:val="0"/>
      <w:divBdr>
        <w:top w:val="none" w:sz="0" w:space="0" w:color="auto"/>
        <w:left w:val="none" w:sz="0" w:space="0" w:color="auto"/>
        <w:bottom w:val="none" w:sz="0" w:space="0" w:color="auto"/>
        <w:right w:val="none" w:sz="0" w:space="0" w:color="auto"/>
      </w:divBdr>
    </w:div>
    <w:div w:id="1375496369">
      <w:bodyDiv w:val="1"/>
      <w:marLeft w:val="0"/>
      <w:marRight w:val="0"/>
      <w:marTop w:val="0"/>
      <w:marBottom w:val="0"/>
      <w:divBdr>
        <w:top w:val="none" w:sz="0" w:space="0" w:color="auto"/>
        <w:left w:val="none" w:sz="0" w:space="0" w:color="auto"/>
        <w:bottom w:val="none" w:sz="0" w:space="0" w:color="auto"/>
        <w:right w:val="none" w:sz="0" w:space="0" w:color="auto"/>
      </w:divBdr>
    </w:div>
    <w:div w:id="1493326641">
      <w:bodyDiv w:val="1"/>
      <w:marLeft w:val="0"/>
      <w:marRight w:val="0"/>
      <w:marTop w:val="0"/>
      <w:marBottom w:val="0"/>
      <w:divBdr>
        <w:top w:val="none" w:sz="0" w:space="0" w:color="auto"/>
        <w:left w:val="none" w:sz="0" w:space="0" w:color="auto"/>
        <w:bottom w:val="none" w:sz="0" w:space="0" w:color="auto"/>
        <w:right w:val="none" w:sz="0" w:space="0" w:color="auto"/>
      </w:divBdr>
    </w:div>
    <w:div w:id="1747073536">
      <w:bodyDiv w:val="1"/>
      <w:marLeft w:val="0"/>
      <w:marRight w:val="0"/>
      <w:marTop w:val="0"/>
      <w:marBottom w:val="0"/>
      <w:divBdr>
        <w:top w:val="none" w:sz="0" w:space="0" w:color="auto"/>
        <w:left w:val="none" w:sz="0" w:space="0" w:color="auto"/>
        <w:bottom w:val="none" w:sz="0" w:space="0" w:color="auto"/>
        <w:right w:val="none" w:sz="0" w:space="0" w:color="auto"/>
      </w:divBdr>
    </w:div>
    <w:div w:id="1945258877">
      <w:bodyDiv w:val="1"/>
      <w:marLeft w:val="0"/>
      <w:marRight w:val="0"/>
      <w:marTop w:val="0"/>
      <w:marBottom w:val="0"/>
      <w:divBdr>
        <w:top w:val="none" w:sz="0" w:space="0" w:color="auto"/>
        <w:left w:val="none" w:sz="0" w:space="0" w:color="auto"/>
        <w:bottom w:val="none" w:sz="0" w:space="0" w:color="auto"/>
        <w:right w:val="none" w:sz="0" w:space="0" w:color="auto"/>
      </w:divBdr>
    </w:div>
    <w:div w:id="1994137258">
      <w:bodyDiv w:val="1"/>
      <w:marLeft w:val="0"/>
      <w:marRight w:val="0"/>
      <w:marTop w:val="0"/>
      <w:marBottom w:val="0"/>
      <w:divBdr>
        <w:top w:val="none" w:sz="0" w:space="0" w:color="auto"/>
        <w:left w:val="none" w:sz="0" w:space="0" w:color="auto"/>
        <w:bottom w:val="none" w:sz="0" w:space="0" w:color="auto"/>
        <w:right w:val="none" w:sz="0" w:space="0" w:color="auto"/>
      </w:divBdr>
    </w:div>
    <w:div w:id="20975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5617F1"/>
    <w:rsid w:val="00757CB1"/>
    <w:rsid w:val="008C7EE9"/>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149</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10</cp:revision>
  <dcterms:created xsi:type="dcterms:W3CDTF">2021-05-28T12:03:00Z</dcterms:created>
  <dcterms:modified xsi:type="dcterms:W3CDTF">2021-06-01T15:09:00Z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