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A4" w:rsidRDefault="002E52A4" w:rsidP="002E52A4">
      <w:pPr>
        <w:pStyle w:val="Heading2"/>
        <w:shd w:val="clear" w:color="auto" w:fill="FFFFFF"/>
        <w:spacing w:before="288" w:after="144"/>
        <w:rPr>
          <w:rFonts w:asciiTheme="minorHAnsi" w:hAnsiTheme="minorHAnsi" w:cs="Helvetica"/>
          <w:bCs w:val="0"/>
          <w:color w:val="6C276A"/>
        </w:rPr>
      </w:pPr>
      <w:r w:rsidRPr="00A011FD">
        <w:rPr>
          <w:rFonts w:asciiTheme="minorHAnsi" w:hAnsiTheme="minorHAnsi" w:cs="Helvetica"/>
          <w:bCs w:val="0"/>
          <w:color w:val="6C276A"/>
        </w:rPr>
        <w:t>Self-referral criteria:</w:t>
      </w:r>
    </w:p>
    <w:p w:rsidR="002E52A4" w:rsidRDefault="002E52A4" w:rsidP="002E52A4">
      <w:pPr>
        <w:rPr>
          <w:b/>
          <w:bCs/>
        </w:rPr>
      </w:pPr>
      <w:r>
        <w:rPr>
          <w:b/>
          <w:bCs/>
        </w:rPr>
        <w:t>P</w:t>
      </w:r>
      <w:r w:rsidRPr="00CD6203">
        <w:rPr>
          <w:b/>
          <w:bCs/>
        </w:rPr>
        <w:t>lease note the following: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101"/>
        <w:gridCol w:w="8141"/>
      </w:tblGrid>
      <w:tr w:rsidR="002E52A4" w:rsidTr="00406124">
        <w:trPr>
          <w:trHeight w:val="134"/>
        </w:trPr>
        <w:tc>
          <w:tcPr>
            <w:tcW w:w="1101" w:type="dxa"/>
          </w:tcPr>
          <w:p w:rsidR="002E52A4" w:rsidRDefault="002E52A4" w:rsidP="00406124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8141" w:type="dxa"/>
          </w:tcPr>
          <w:p w:rsidR="002E52A4" w:rsidRDefault="002E52A4" w:rsidP="00406124">
            <w:pPr>
              <w:rPr>
                <w:b/>
                <w:bCs/>
              </w:rPr>
            </w:pPr>
            <w:r>
              <w:rPr>
                <w:b/>
                <w:bCs/>
              </w:rPr>
              <w:t>Referral details</w:t>
            </w:r>
          </w:p>
        </w:tc>
      </w:tr>
      <w:tr w:rsidR="002E52A4" w:rsidTr="00406124">
        <w:tc>
          <w:tcPr>
            <w:tcW w:w="1101" w:type="dxa"/>
          </w:tcPr>
          <w:p w:rsidR="002E52A4" w:rsidRDefault="00A20C01" w:rsidP="00406124">
            <w:pPr>
              <w:rPr>
                <w:b/>
                <w:bCs/>
              </w:rPr>
            </w:pPr>
            <w:r>
              <w:rPr>
                <w:b/>
                <w:bCs/>
              </w:rPr>
              <w:t>0 - 15</w:t>
            </w:r>
          </w:p>
        </w:tc>
        <w:tc>
          <w:tcPr>
            <w:tcW w:w="8141" w:type="dxa"/>
          </w:tcPr>
          <w:p w:rsidR="002E52A4" w:rsidRDefault="00A20C01" w:rsidP="00A20C01">
            <w:pPr>
              <w:rPr>
                <w:b/>
                <w:bCs/>
              </w:rPr>
            </w:pPr>
            <w:r>
              <w:rPr>
                <w:bCs/>
              </w:rPr>
              <w:t>No s</w:t>
            </w:r>
            <w:r w:rsidR="002E52A4" w:rsidRPr="00CD6203">
              <w:rPr>
                <w:bCs/>
              </w:rPr>
              <w:t xml:space="preserve">elf-referral </w:t>
            </w:r>
            <w:r w:rsidR="006E73B1">
              <w:rPr>
                <w:bCs/>
              </w:rPr>
              <w:t>option.</w:t>
            </w:r>
            <w:bookmarkStart w:id="0" w:name="_GoBack"/>
            <w:bookmarkEnd w:id="0"/>
            <w:r>
              <w:rPr>
                <w:bCs/>
              </w:rPr>
              <w:t xml:space="preserve"> Referral must be </w:t>
            </w:r>
            <w:r w:rsidR="002E52A4" w:rsidRPr="00CD6203">
              <w:rPr>
                <w:bCs/>
              </w:rPr>
              <w:t>through the GP</w:t>
            </w:r>
          </w:p>
        </w:tc>
      </w:tr>
      <w:tr w:rsidR="002E52A4" w:rsidTr="00406124">
        <w:tc>
          <w:tcPr>
            <w:tcW w:w="1101" w:type="dxa"/>
          </w:tcPr>
          <w:p w:rsidR="002E52A4" w:rsidRDefault="002E52A4" w:rsidP="00406124">
            <w:pPr>
              <w:rPr>
                <w:b/>
                <w:bCs/>
              </w:rPr>
            </w:pPr>
            <w:r>
              <w:rPr>
                <w:b/>
                <w:bCs/>
              </w:rPr>
              <w:t>16+</w:t>
            </w:r>
          </w:p>
        </w:tc>
        <w:tc>
          <w:tcPr>
            <w:tcW w:w="8141" w:type="dxa"/>
          </w:tcPr>
          <w:p w:rsidR="002E52A4" w:rsidRPr="00CD6203" w:rsidRDefault="002E52A4" w:rsidP="00406124">
            <w:pPr>
              <w:rPr>
                <w:bCs/>
              </w:rPr>
            </w:pPr>
            <w:r w:rsidRPr="00CD6203">
              <w:rPr>
                <w:bCs/>
              </w:rPr>
              <w:t>In law, this age group has the capacity to consent to medical treatment, and so can self-refer without additional persons being involved</w:t>
            </w:r>
          </w:p>
        </w:tc>
      </w:tr>
    </w:tbl>
    <w:p w:rsidR="002E52A4" w:rsidRDefault="002E52A4" w:rsidP="002E52A4">
      <w:pPr>
        <w:spacing w:after="0"/>
        <w:rPr>
          <w:rFonts w:cs="Arial"/>
        </w:rPr>
      </w:pPr>
    </w:p>
    <w:p w:rsidR="002E52A4" w:rsidRPr="00A011FD" w:rsidRDefault="002E52A4" w:rsidP="002E52A4">
      <w:pPr>
        <w:spacing w:after="0"/>
        <w:rPr>
          <w:rFonts w:cs="Arial"/>
        </w:rPr>
      </w:pPr>
      <w:r w:rsidRPr="00A011FD">
        <w:rPr>
          <w:rFonts w:cs="Arial"/>
        </w:rPr>
        <w:t>To be accepted through the self-referral route of the framework, clients must:</w:t>
      </w:r>
    </w:p>
    <w:p w:rsidR="002E52A4" w:rsidRPr="00A011FD" w:rsidRDefault="002E52A4" w:rsidP="002E52A4">
      <w:pPr>
        <w:pStyle w:val="ListBullet"/>
        <w:tabs>
          <w:tab w:val="clear" w:pos="360"/>
          <w:tab w:val="num" w:pos="426"/>
        </w:tabs>
        <w:ind w:left="426" w:hanging="426"/>
      </w:pPr>
      <w:r w:rsidRPr="00A011FD">
        <w:t>Be living in or registered with a GP in NEL</w:t>
      </w:r>
    </w:p>
    <w:p w:rsidR="002E52A4" w:rsidRPr="00A011FD" w:rsidRDefault="002E52A4" w:rsidP="002E52A4">
      <w:pPr>
        <w:pStyle w:val="ListBullet"/>
        <w:tabs>
          <w:tab w:val="clear" w:pos="360"/>
          <w:tab w:val="num" w:pos="426"/>
        </w:tabs>
        <w:ind w:left="426" w:hanging="426"/>
      </w:pPr>
      <w:r w:rsidRPr="00A011FD">
        <w:rPr>
          <w:rFonts w:cs="Arial"/>
        </w:rPr>
        <w:t>Be recognised at point of referral/ initial assessment as having some genuine potential for further or sustained improvement through undertaking a course of treatment covered by the specification</w:t>
      </w:r>
    </w:p>
    <w:p w:rsidR="002E52A4" w:rsidRPr="00A011FD" w:rsidRDefault="002E52A4" w:rsidP="002E52A4">
      <w:pPr>
        <w:pStyle w:val="ListBullet"/>
        <w:tabs>
          <w:tab w:val="clear" w:pos="360"/>
          <w:tab w:val="num" w:pos="426"/>
        </w:tabs>
        <w:ind w:left="426" w:hanging="426"/>
      </w:pPr>
      <w:r w:rsidRPr="00A011FD">
        <w:t>Be of a complexity level that is within the scope of the specification</w:t>
      </w:r>
    </w:p>
    <w:p w:rsidR="002E52A4" w:rsidRPr="00A011FD" w:rsidRDefault="002E52A4" w:rsidP="002E52A4">
      <w:pPr>
        <w:pStyle w:val="ListBullet"/>
        <w:tabs>
          <w:tab w:val="clear" w:pos="360"/>
          <w:tab w:val="num" w:pos="426"/>
        </w:tabs>
        <w:ind w:left="426" w:hanging="426"/>
      </w:pPr>
      <w:r w:rsidRPr="00A011FD">
        <w:t xml:space="preserve">Be assessed as </w:t>
      </w:r>
      <w:r w:rsidRPr="00A011FD">
        <w:rPr>
          <w:rFonts w:cs="Arial"/>
        </w:rPr>
        <w:t>having no contraindications to treatment, or as having red flags that can be managed safely and appropriately</w:t>
      </w:r>
    </w:p>
    <w:p w:rsidR="002E52A4" w:rsidRPr="00A011FD" w:rsidRDefault="002E52A4" w:rsidP="00CE0835">
      <w:pPr>
        <w:pStyle w:val="ListBullet"/>
        <w:tabs>
          <w:tab w:val="clear" w:pos="360"/>
          <w:tab w:val="num" w:pos="426"/>
        </w:tabs>
        <w:ind w:left="426" w:hanging="426"/>
        <w:rPr>
          <w:rFonts w:cs="Helvetica"/>
        </w:rPr>
      </w:pPr>
      <w:r w:rsidRPr="00A011FD">
        <w:t>Have been reviewed to ensure appropriateness of access, if they have had more than 1 referral and a resulting course of treatment sessions in a 12 month period</w:t>
      </w:r>
    </w:p>
    <w:p w:rsidR="002E52A4" w:rsidRPr="00A011FD" w:rsidRDefault="002E52A4" w:rsidP="00CE0835">
      <w:pPr>
        <w:pStyle w:val="ListBullet"/>
        <w:tabs>
          <w:tab w:val="clear" w:pos="360"/>
          <w:tab w:val="num" w:pos="426"/>
        </w:tabs>
        <w:ind w:left="426" w:hanging="426"/>
      </w:pPr>
      <w:r w:rsidRPr="00A011FD">
        <w:t>Pose no security threat to the provider</w:t>
      </w:r>
    </w:p>
    <w:p w:rsidR="002E52A4" w:rsidRDefault="002E52A4" w:rsidP="002E52A4">
      <w:pPr>
        <w:pStyle w:val="ListBullet"/>
        <w:numPr>
          <w:ilvl w:val="0"/>
          <w:numId w:val="0"/>
        </w:numPr>
        <w:shd w:val="clear" w:color="auto" w:fill="FFFFFF"/>
        <w:spacing w:before="288" w:after="144"/>
        <w:rPr>
          <w:rFonts w:ascii="Arial" w:hAnsi="Arial" w:cs="Arial"/>
        </w:rPr>
      </w:pPr>
    </w:p>
    <w:p w:rsidR="002E52A4" w:rsidRPr="00A011FD" w:rsidRDefault="002E52A4" w:rsidP="002E52A4">
      <w:pPr>
        <w:pStyle w:val="ListBullet"/>
        <w:numPr>
          <w:ilvl w:val="0"/>
          <w:numId w:val="0"/>
        </w:numPr>
        <w:shd w:val="clear" w:color="auto" w:fill="FFFFFF"/>
        <w:spacing w:before="288" w:after="144"/>
        <w:rPr>
          <w:rFonts w:cs="Arial"/>
        </w:rPr>
      </w:pPr>
      <w:r w:rsidRPr="00A011FD">
        <w:rPr>
          <w:rFonts w:cs="Arial"/>
        </w:rPr>
        <w:t>Client’s must not:</w:t>
      </w:r>
    </w:p>
    <w:p w:rsidR="00A20C01" w:rsidRPr="00A20C01" w:rsidRDefault="00A20C01" w:rsidP="002E52A4">
      <w:pPr>
        <w:pStyle w:val="ListBullet"/>
        <w:numPr>
          <w:ilvl w:val="0"/>
          <w:numId w:val="4"/>
        </w:numPr>
        <w:shd w:val="clear" w:color="auto" w:fill="FFFFFF"/>
        <w:spacing w:before="288" w:after="144"/>
        <w:ind w:left="426" w:hanging="426"/>
        <w:rPr>
          <w:rFonts w:cs="Arial"/>
        </w:rPr>
      </w:pPr>
      <w:r>
        <w:t>Be under the age of 16 – if they are, they need to be referred through a GP</w:t>
      </w:r>
    </w:p>
    <w:p w:rsidR="002E52A4" w:rsidRPr="00A011FD" w:rsidRDefault="002E52A4" w:rsidP="002E52A4">
      <w:pPr>
        <w:pStyle w:val="ListBullet"/>
        <w:numPr>
          <w:ilvl w:val="0"/>
          <w:numId w:val="4"/>
        </w:numPr>
        <w:shd w:val="clear" w:color="auto" w:fill="FFFFFF"/>
        <w:spacing w:before="288" w:after="144"/>
        <w:ind w:left="426" w:hanging="426"/>
        <w:rPr>
          <w:rFonts w:cs="Arial"/>
        </w:rPr>
      </w:pPr>
      <w:r w:rsidRPr="00A011FD">
        <w:t xml:space="preserve">Currently </w:t>
      </w:r>
      <w:r>
        <w:t xml:space="preserve">be </w:t>
      </w:r>
      <w:r w:rsidRPr="00A011FD">
        <w:t>seeing another community MSK provider for the same condition</w:t>
      </w:r>
    </w:p>
    <w:p w:rsidR="002E52A4" w:rsidRPr="00A011FD" w:rsidRDefault="002E52A4" w:rsidP="002E52A4">
      <w:pPr>
        <w:pStyle w:val="ListBullet"/>
        <w:numPr>
          <w:ilvl w:val="0"/>
          <w:numId w:val="4"/>
        </w:numPr>
        <w:shd w:val="clear" w:color="auto" w:fill="FFFFFF"/>
        <w:spacing w:before="288" w:after="144"/>
        <w:ind w:left="426" w:hanging="426"/>
        <w:rPr>
          <w:rFonts w:cs="Arial"/>
        </w:rPr>
      </w:pPr>
      <w:r w:rsidRPr="00A011FD">
        <w:rPr>
          <w:rFonts w:cs="Arial"/>
        </w:rPr>
        <w:t>Have p</w:t>
      </w:r>
      <w:r w:rsidRPr="00A011FD">
        <w:t>reviously seen any community MSK provider for the same condition within 6 months (i.e. they must not be a repeat referral)</w:t>
      </w:r>
    </w:p>
    <w:p w:rsidR="002E52A4" w:rsidRPr="00A011FD" w:rsidRDefault="002E52A4" w:rsidP="002E52A4">
      <w:pPr>
        <w:pStyle w:val="ListBullet"/>
        <w:numPr>
          <w:ilvl w:val="0"/>
          <w:numId w:val="4"/>
        </w:numPr>
        <w:shd w:val="clear" w:color="auto" w:fill="FFFFFF"/>
        <w:spacing w:before="288" w:after="144"/>
        <w:ind w:left="426" w:hanging="426"/>
        <w:rPr>
          <w:rFonts w:cs="Arial"/>
        </w:rPr>
      </w:pPr>
      <w:r w:rsidRPr="00A011FD">
        <w:t>Be self-referring for a continuation of treatment beyond 6 sessions (this will require referral from the GP, as a clinically appropriate extension)</w:t>
      </w:r>
    </w:p>
    <w:p w:rsidR="002E52A4" w:rsidRDefault="002E52A4" w:rsidP="002E52A4">
      <w:pPr>
        <w:pStyle w:val="ListBullet"/>
        <w:numPr>
          <w:ilvl w:val="0"/>
          <w:numId w:val="4"/>
        </w:numPr>
        <w:shd w:val="clear" w:color="auto" w:fill="FFFFFF"/>
        <w:spacing w:before="288" w:after="144"/>
        <w:ind w:left="426" w:hanging="426"/>
        <w:rPr>
          <w:rFonts w:cs="Arial"/>
        </w:rPr>
      </w:pPr>
      <w:r w:rsidRPr="00A011FD">
        <w:t xml:space="preserve">Have repeat (2) </w:t>
      </w:r>
      <w:proofErr w:type="spellStart"/>
      <w:r w:rsidRPr="00A011FD">
        <w:t>DNAed</w:t>
      </w:r>
      <w:proofErr w:type="spellEnd"/>
      <w:r w:rsidRPr="00A011FD">
        <w:t xml:space="preserve"> previously within the framework</w:t>
      </w:r>
    </w:p>
    <w:p w:rsidR="002E52A4" w:rsidRDefault="002E52A4" w:rsidP="002E52A4">
      <w:pPr>
        <w:pStyle w:val="ListBullet"/>
        <w:numPr>
          <w:ilvl w:val="0"/>
          <w:numId w:val="4"/>
        </w:numPr>
        <w:shd w:val="clear" w:color="auto" w:fill="FFFFFF"/>
        <w:spacing w:before="288" w:after="144"/>
        <w:ind w:left="426" w:hanging="426"/>
        <w:rPr>
          <w:rFonts w:cs="Arial"/>
        </w:rPr>
      </w:pPr>
      <w:r>
        <w:rPr>
          <w:rFonts w:cs="Arial"/>
        </w:rPr>
        <w:t>B</w:t>
      </w:r>
      <w:r w:rsidRPr="00A011FD">
        <w:rPr>
          <w:rFonts w:cs="Arial"/>
        </w:rPr>
        <w:t>e receiving active psychiatric treatment under a Section of the Mental Health Act</w:t>
      </w:r>
    </w:p>
    <w:p w:rsidR="002E52A4" w:rsidRDefault="002E52A4" w:rsidP="002E52A4">
      <w:pPr>
        <w:pStyle w:val="ListBullet"/>
        <w:numPr>
          <w:ilvl w:val="0"/>
          <w:numId w:val="4"/>
        </w:numPr>
        <w:shd w:val="clear" w:color="auto" w:fill="FFFFFF"/>
        <w:spacing w:before="288" w:after="144"/>
        <w:ind w:left="426" w:hanging="426"/>
        <w:rPr>
          <w:rFonts w:cs="Arial"/>
        </w:rPr>
      </w:pPr>
      <w:r>
        <w:rPr>
          <w:rFonts w:cs="Arial"/>
        </w:rPr>
        <w:t>H</w:t>
      </w:r>
      <w:r w:rsidRPr="00A011FD">
        <w:rPr>
          <w:rFonts w:cs="Arial"/>
        </w:rPr>
        <w:t>ave deteriorating neurological conditions or require specialist neurological rehabilitation</w:t>
      </w:r>
    </w:p>
    <w:p w:rsidR="002E52A4" w:rsidRDefault="002E52A4" w:rsidP="002E52A4">
      <w:pPr>
        <w:pStyle w:val="ListBullet"/>
        <w:numPr>
          <w:ilvl w:val="0"/>
          <w:numId w:val="4"/>
        </w:numPr>
        <w:shd w:val="clear" w:color="auto" w:fill="FFFFFF"/>
        <w:spacing w:before="288" w:after="144"/>
        <w:ind w:left="426" w:hanging="426"/>
        <w:rPr>
          <w:rFonts w:cs="Arial"/>
        </w:rPr>
      </w:pPr>
      <w:r w:rsidRPr="00A011FD">
        <w:rPr>
          <w:rFonts w:cs="Arial"/>
        </w:rPr>
        <w:t>Require rehabilitation post-surgery where this should be part of a package of care</w:t>
      </w:r>
    </w:p>
    <w:p w:rsidR="002E52A4" w:rsidRPr="00A011FD" w:rsidRDefault="002E52A4" w:rsidP="002E52A4">
      <w:pPr>
        <w:pStyle w:val="ListBullet"/>
        <w:numPr>
          <w:ilvl w:val="0"/>
          <w:numId w:val="4"/>
        </w:numPr>
        <w:shd w:val="clear" w:color="auto" w:fill="FFFFFF"/>
        <w:spacing w:before="288" w:after="144"/>
        <w:ind w:left="426" w:hanging="426"/>
        <w:rPr>
          <w:rFonts w:cs="Arial"/>
        </w:rPr>
      </w:pPr>
      <w:r>
        <w:t>R</w:t>
      </w:r>
      <w:r w:rsidRPr="00A011FD">
        <w:t xml:space="preserve">equire healthcare facilities which are not available </w:t>
      </w:r>
    </w:p>
    <w:p w:rsidR="002E52A4" w:rsidRDefault="002E52A4" w:rsidP="002E52A4">
      <w:pPr>
        <w:pStyle w:val="ListBullet"/>
        <w:numPr>
          <w:ilvl w:val="0"/>
          <w:numId w:val="0"/>
        </w:numPr>
        <w:shd w:val="clear" w:color="auto" w:fill="FFFFFF"/>
        <w:spacing w:before="288" w:after="144"/>
        <w:rPr>
          <w:rFonts w:ascii="Arial" w:hAnsi="Arial" w:cs="Arial"/>
        </w:rPr>
      </w:pPr>
    </w:p>
    <w:p w:rsidR="002E52A4" w:rsidRPr="002E7A31" w:rsidRDefault="002E52A4" w:rsidP="002E52A4">
      <w:pPr>
        <w:rPr>
          <w:rFonts w:cs="Helvetica"/>
          <w:color w:val="3E3E35"/>
          <w:shd w:val="clear" w:color="auto" w:fill="FFFFFF"/>
        </w:rPr>
      </w:pPr>
      <w:r w:rsidRPr="002E7A31">
        <w:rPr>
          <w:rFonts w:cs="Helvetica"/>
          <w:color w:val="3E3E35"/>
          <w:shd w:val="clear" w:color="auto" w:fill="FFFFFF"/>
        </w:rPr>
        <w:t>Young people aged 16 or 17 are presumed in law, like adults, to have the </w:t>
      </w:r>
      <w:hyperlink r:id="rId8" w:tgtFrame="_blank" w:history="1">
        <w:r w:rsidRPr="002E7A31">
          <w:rPr>
            <w:rStyle w:val="Hyperlink"/>
            <w:rFonts w:cs="Helvetica"/>
            <w:color w:val="205982"/>
            <w:shd w:val="clear" w:color="auto" w:fill="FFFFFF"/>
          </w:rPr>
          <w:t>capacity to consent to medical treatment</w:t>
        </w:r>
      </w:hyperlink>
      <w:r w:rsidRPr="002E7A31">
        <w:rPr>
          <w:rFonts w:cs="Helvetica"/>
          <w:color w:val="3E3E35"/>
          <w:shd w:val="clear" w:color="auto" w:fill="FFFFFF"/>
        </w:rPr>
        <w:t>. However, unlike adults, their refusal of treatment can in some circumstances be overridden by a parent, someone with parental responsibility or a court. This is because we have an overriding duty to act in the best interests of a child. This would include circumstances where refusal would likely lead to death, severe permanent injury or irreversible mental or physical harm.</w:t>
      </w:r>
    </w:p>
    <w:sectPr w:rsidR="002E52A4" w:rsidRPr="002E7A31" w:rsidSect="002E52A4">
      <w:headerReference w:type="default" r:id="rId9"/>
      <w:footerReference w:type="default" r:id="rId10"/>
      <w:pgSz w:w="11906" w:h="16838"/>
      <w:pgMar w:top="567" w:right="127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C7" w:rsidRDefault="00E943C7">
      <w:pPr>
        <w:spacing w:after="0" w:line="240" w:lineRule="auto"/>
      </w:pPr>
      <w:r>
        <w:separator/>
      </w:r>
    </w:p>
  </w:endnote>
  <w:endnote w:type="continuationSeparator" w:id="0">
    <w:p w:rsidR="00E943C7" w:rsidRDefault="00E9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22" w:rsidRDefault="005C068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C7" w:rsidRDefault="00E943C7">
      <w:pPr>
        <w:spacing w:after="0" w:line="240" w:lineRule="auto"/>
      </w:pPr>
      <w:r>
        <w:separator/>
      </w:r>
    </w:p>
  </w:footnote>
  <w:footnote w:type="continuationSeparator" w:id="0">
    <w:p w:rsidR="00E943C7" w:rsidRDefault="00E9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22" w:rsidRDefault="005C068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B20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">
    <w:nsid w:val="12D35101"/>
    <w:multiLevelType w:val="hybridMultilevel"/>
    <w:tmpl w:val="3E1C3ABE"/>
    <w:lvl w:ilvl="0" w:tplc="467207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11AF8"/>
    <w:multiLevelType w:val="hybridMultilevel"/>
    <w:tmpl w:val="7FCE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B701F"/>
    <w:multiLevelType w:val="multilevel"/>
    <w:tmpl w:val="31D8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AB2CBC"/>
    <w:multiLevelType w:val="hybridMultilevel"/>
    <w:tmpl w:val="AC0C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82951"/>
    <w:multiLevelType w:val="multilevel"/>
    <w:tmpl w:val="A9A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A4"/>
    <w:rsid w:val="000A2A27"/>
    <w:rsid w:val="002E52A4"/>
    <w:rsid w:val="003E142C"/>
    <w:rsid w:val="005C0680"/>
    <w:rsid w:val="006C32AE"/>
    <w:rsid w:val="006E73B1"/>
    <w:rsid w:val="007F027D"/>
    <w:rsid w:val="00A20C01"/>
    <w:rsid w:val="00A531E0"/>
    <w:rsid w:val="00CE0835"/>
    <w:rsid w:val="00E9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A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5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E52A4"/>
    <w:rPr>
      <w:rFonts w:ascii="Times New Roman" w:hAnsi="Times New Roman" w:cs="Times New Roman" w:hint="default"/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E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A4"/>
  </w:style>
  <w:style w:type="paragraph" w:styleId="Footer">
    <w:name w:val="footer"/>
    <w:basedOn w:val="Normal"/>
    <w:link w:val="FooterChar"/>
    <w:uiPriority w:val="99"/>
    <w:unhideWhenUsed/>
    <w:rsid w:val="002E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2A4"/>
  </w:style>
  <w:style w:type="paragraph" w:styleId="NormalWeb">
    <w:name w:val="Normal (Web)"/>
    <w:basedOn w:val="Normal"/>
    <w:uiPriority w:val="99"/>
    <w:unhideWhenUsed/>
    <w:rsid w:val="002E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">
    <w:name w:val="p"/>
    <w:basedOn w:val="Normal"/>
    <w:rsid w:val="002E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2E52A4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2E52A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A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5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E52A4"/>
    <w:rPr>
      <w:rFonts w:ascii="Times New Roman" w:hAnsi="Times New Roman" w:cs="Times New Roman" w:hint="default"/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E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A4"/>
  </w:style>
  <w:style w:type="paragraph" w:styleId="Footer">
    <w:name w:val="footer"/>
    <w:basedOn w:val="Normal"/>
    <w:link w:val="FooterChar"/>
    <w:uiPriority w:val="99"/>
    <w:unhideWhenUsed/>
    <w:rsid w:val="002E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2A4"/>
  </w:style>
  <w:style w:type="paragraph" w:styleId="NormalWeb">
    <w:name w:val="Normal (Web)"/>
    <w:basedOn w:val="Normal"/>
    <w:uiPriority w:val="99"/>
    <w:unhideWhenUsed/>
    <w:rsid w:val="002E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">
    <w:name w:val="p"/>
    <w:basedOn w:val="Normal"/>
    <w:rsid w:val="002E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2E52A4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2E52A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05/9/conten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5</cp:revision>
  <dcterms:created xsi:type="dcterms:W3CDTF">2019-03-01T09:38:00Z</dcterms:created>
  <dcterms:modified xsi:type="dcterms:W3CDTF">2019-03-14T14:17:00Z</dcterms:modified>
</cp:coreProperties>
</file>