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DB87C" w14:textId="77777777" w:rsidR="008825D9" w:rsidRDefault="008825D9" w:rsidP="008825D9">
      <w:pPr>
        <w:rPr>
          <w:rFonts w:ascii="Arial" w:hAnsi="Arial" w:cs="Arial"/>
          <w:b/>
          <w:sz w:val="28"/>
        </w:rPr>
      </w:pPr>
      <w:proofErr w:type="gramStart"/>
      <w:r>
        <w:rPr>
          <w:rFonts w:ascii="Arial" w:hAnsi="Arial" w:cs="Arial"/>
          <w:b/>
          <w:sz w:val="28"/>
        </w:rPr>
        <w:t>North East</w:t>
      </w:r>
      <w:proofErr w:type="gramEnd"/>
      <w:r>
        <w:rPr>
          <w:rFonts w:ascii="Arial" w:hAnsi="Arial" w:cs="Arial"/>
          <w:b/>
          <w:sz w:val="28"/>
        </w:rPr>
        <w:t xml:space="preserve"> Lincolnshire </w:t>
      </w:r>
    </w:p>
    <w:p w14:paraId="5C6B4F47" w14:textId="4CDEA82F" w:rsidR="008825D9" w:rsidRDefault="008825D9" w:rsidP="008825D9">
      <w:pPr>
        <w:rPr>
          <w:rFonts w:ascii="Arial" w:hAnsi="Arial" w:cs="Arial"/>
          <w:b/>
          <w:sz w:val="28"/>
        </w:rPr>
      </w:pPr>
      <w:r>
        <w:rPr>
          <w:rFonts w:ascii="Arial" w:hAnsi="Arial" w:cs="Arial"/>
          <w:b/>
          <w:sz w:val="28"/>
        </w:rPr>
        <w:t xml:space="preserve">Better Care Fund </w:t>
      </w:r>
      <w:r>
        <w:rPr>
          <w:rFonts w:ascii="Arial" w:hAnsi="Arial" w:cs="Arial"/>
          <w:b/>
          <w:sz w:val="28"/>
        </w:rPr>
        <w:br/>
      </w:r>
      <w:r>
        <w:rPr>
          <w:rFonts w:ascii="Arial" w:hAnsi="Arial" w:cs="Arial"/>
          <w:b/>
          <w:sz w:val="28"/>
        </w:rPr>
        <w:br/>
        <w:t>Narrative Plan 2021/22</w:t>
      </w:r>
    </w:p>
    <w:p w14:paraId="614A4A0A" w14:textId="77777777" w:rsidR="0053020D" w:rsidRDefault="0053020D" w:rsidP="0053020D">
      <w:pPr>
        <w:rPr>
          <w:rFonts w:ascii="Arial" w:eastAsia="Arial" w:hAnsi="Arial" w:cs="Arial"/>
          <w:b/>
          <w:bCs/>
        </w:rPr>
      </w:pPr>
      <w:r>
        <w:rPr>
          <w:rFonts w:ascii="Arial" w:eastAsia="Arial" w:hAnsi="Arial" w:cs="Arial"/>
          <w:b/>
          <w:bCs/>
        </w:rPr>
        <w:br w:type="page"/>
      </w:r>
    </w:p>
    <w:p w14:paraId="2382C140" w14:textId="77777777" w:rsidR="002430B7" w:rsidRDefault="0053020D">
      <w:r>
        <w:lastRenderedPageBreak/>
        <w:t xml:space="preserve"> </w:t>
      </w:r>
    </w:p>
    <w:tbl>
      <w:tblPr>
        <w:tblStyle w:val="TableGrid"/>
        <w:tblW w:w="0" w:type="auto"/>
        <w:tblLook w:val="04A0" w:firstRow="1" w:lastRow="0" w:firstColumn="1" w:lastColumn="0" w:noHBand="0" w:noVBand="1"/>
      </w:tblPr>
      <w:tblGrid>
        <w:gridCol w:w="7650"/>
        <w:gridCol w:w="1366"/>
      </w:tblGrid>
      <w:tr w:rsidR="002430B7" w14:paraId="336F9874" w14:textId="77777777" w:rsidTr="002430B7">
        <w:tc>
          <w:tcPr>
            <w:tcW w:w="7650" w:type="dxa"/>
          </w:tcPr>
          <w:p w14:paraId="0BFC6017" w14:textId="77777777" w:rsidR="002430B7" w:rsidRDefault="002430B7"/>
        </w:tc>
        <w:tc>
          <w:tcPr>
            <w:tcW w:w="1366" w:type="dxa"/>
          </w:tcPr>
          <w:p w14:paraId="6BFF1258" w14:textId="6906177C" w:rsidR="002430B7" w:rsidRDefault="002430B7">
            <w:r>
              <w:t>Page</w:t>
            </w:r>
          </w:p>
        </w:tc>
      </w:tr>
      <w:tr w:rsidR="002430B7" w14:paraId="4533AD1B" w14:textId="77777777" w:rsidTr="002430B7">
        <w:tc>
          <w:tcPr>
            <w:tcW w:w="7650" w:type="dxa"/>
          </w:tcPr>
          <w:p w14:paraId="5B3875ED" w14:textId="4C79E0A1" w:rsidR="002430B7" w:rsidRDefault="002430B7">
            <w:r>
              <w:t>Bodies involved in preparing the plan</w:t>
            </w:r>
          </w:p>
        </w:tc>
        <w:tc>
          <w:tcPr>
            <w:tcW w:w="1366" w:type="dxa"/>
          </w:tcPr>
          <w:p w14:paraId="2010F27F" w14:textId="55ECC03E" w:rsidR="002430B7" w:rsidRDefault="002430B7">
            <w:r>
              <w:t>3</w:t>
            </w:r>
          </w:p>
        </w:tc>
      </w:tr>
      <w:tr w:rsidR="002430B7" w14:paraId="2FC873F2" w14:textId="77777777" w:rsidTr="002430B7">
        <w:tc>
          <w:tcPr>
            <w:tcW w:w="7650" w:type="dxa"/>
          </w:tcPr>
          <w:p w14:paraId="6A84BCC6" w14:textId="6E196937" w:rsidR="002430B7" w:rsidRDefault="002430B7">
            <w:r>
              <w:t xml:space="preserve">Executive summary </w:t>
            </w:r>
          </w:p>
        </w:tc>
        <w:tc>
          <w:tcPr>
            <w:tcW w:w="1366" w:type="dxa"/>
          </w:tcPr>
          <w:p w14:paraId="014ADB37" w14:textId="7697E0FD" w:rsidR="002430B7" w:rsidRDefault="002430B7">
            <w:r>
              <w:t>3</w:t>
            </w:r>
          </w:p>
        </w:tc>
      </w:tr>
      <w:tr w:rsidR="002430B7" w14:paraId="20D31023" w14:textId="77777777" w:rsidTr="002430B7">
        <w:tc>
          <w:tcPr>
            <w:tcW w:w="7650" w:type="dxa"/>
          </w:tcPr>
          <w:p w14:paraId="3814CFC6" w14:textId="5231A751" w:rsidR="002430B7" w:rsidRDefault="002430B7">
            <w:r>
              <w:t>Governance</w:t>
            </w:r>
          </w:p>
        </w:tc>
        <w:tc>
          <w:tcPr>
            <w:tcW w:w="1366" w:type="dxa"/>
          </w:tcPr>
          <w:p w14:paraId="1173C180" w14:textId="3B9F3B47" w:rsidR="002430B7" w:rsidRDefault="002430B7">
            <w:r>
              <w:t>4</w:t>
            </w:r>
          </w:p>
        </w:tc>
      </w:tr>
      <w:tr w:rsidR="002430B7" w14:paraId="24D144EB" w14:textId="77777777" w:rsidTr="002430B7">
        <w:tc>
          <w:tcPr>
            <w:tcW w:w="7650" w:type="dxa"/>
          </w:tcPr>
          <w:p w14:paraId="5C1ED0E0" w14:textId="003EC9A8" w:rsidR="002430B7" w:rsidRDefault="002430B7">
            <w:r>
              <w:t xml:space="preserve">Overall approach to integration </w:t>
            </w:r>
          </w:p>
        </w:tc>
        <w:tc>
          <w:tcPr>
            <w:tcW w:w="1366" w:type="dxa"/>
          </w:tcPr>
          <w:p w14:paraId="25400A20" w14:textId="03CAF386" w:rsidR="002430B7" w:rsidRDefault="002430B7">
            <w:r>
              <w:t>5</w:t>
            </w:r>
          </w:p>
        </w:tc>
      </w:tr>
      <w:tr w:rsidR="002430B7" w14:paraId="190AF208" w14:textId="77777777" w:rsidTr="002430B7">
        <w:tc>
          <w:tcPr>
            <w:tcW w:w="7650" w:type="dxa"/>
          </w:tcPr>
          <w:p w14:paraId="0B4DB64E" w14:textId="6059A870" w:rsidR="002430B7" w:rsidRDefault="002430B7">
            <w:r>
              <w:t>Supportin</w:t>
            </w:r>
            <w:r w:rsidR="006B0CC1">
              <w:t>g</w:t>
            </w:r>
            <w:r>
              <w:t xml:space="preserve"> </w:t>
            </w:r>
            <w:r w:rsidR="006B0CC1">
              <w:t>discharge</w:t>
            </w:r>
            <w:r>
              <w:t xml:space="preserve"> </w:t>
            </w:r>
          </w:p>
        </w:tc>
        <w:tc>
          <w:tcPr>
            <w:tcW w:w="1366" w:type="dxa"/>
          </w:tcPr>
          <w:p w14:paraId="3F577406" w14:textId="749CE1D2" w:rsidR="002430B7" w:rsidRDefault="006B0CC1">
            <w:r>
              <w:t>13</w:t>
            </w:r>
          </w:p>
        </w:tc>
      </w:tr>
      <w:tr w:rsidR="002430B7" w14:paraId="6A652D9D" w14:textId="77777777" w:rsidTr="002430B7">
        <w:tc>
          <w:tcPr>
            <w:tcW w:w="7650" w:type="dxa"/>
          </w:tcPr>
          <w:p w14:paraId="53F3ED4E" w14:textId="0F5FD50A" w:rsidR="002430B7" w:rsidRDefault="006B0CC1">
            <w:r>
              <w:t>Disable</w:t>
            </w:r>
            <w:r>
              <w:t>d</w:t>
            </w:r>
            <w:r>
              <w:t xml:space="preserve"> </w:t>
            </w:r>
            <w:r>
              <w:t>facilities</w:t>
            </w:r>
            <w:r>
              <w:t xml:space="preserve"> grant</w:t>
            </w:r>
          </w:p>
        </w:tc>
        <w:tc>
          <w:tcPr>
            <w:tcW w:w="1366" w:type="dxa"/>
          </w:tcPr>
          <w:p w14:paraId="4FE39F5A" w14:textId="10917ABB" w:rsidR="002430B7" w:rsidRDefault="006B0CC1">
            <w:r>
              <w:t>14</w:t>
            </w:r>
          </w:p>
        </w:tc>
      </w:tr>
      <w:tr w:rsidR="002430B7" w14:paraId="51E8B99E" w14:textId="77777777" w:rsidTr="002430B7">
        <w:tc>
          <w:tcPr>
            <w:tcW w:w="7650" w:type="dxa"/>
          </w:tcPr>
          <w:p w14:paraId="4693CBC8" w14:textId="6A0A02E2" w:rsidR="002430B7" w:rsidRDefault="006B0CC1">
            <w:r>
              <w:t xml:space="preserve">Equality and health inequalities </w:t>
            </w:r>
          </w:p>
        </w:tc>
        <w:tc>
          <w:tcPr>
            <w:tcW w:w="1366" w:type="dxa"/>
          </w:tcPr>
          <w:p w14:paraId="2EFD9924" w14:textId="48BDC2AC" w:rsidR="002430B7" w:rsidRDefault="006B0CC1">
            <w:r>
              <w:t>15</w:t>
            </w:r>
          </w:p>
        </w:tc>
      </w:tr>
      <w:tr w:rsidR="002430B7" w14:paraId="7E580004" w14:textId="77777777" w:rsidTr="002430B7">
        <w:tc>
          <w:tcPr>
            <w:tcW w:w="7650" w:type="dxa"/>
          </w:tcPr>
          <w:p w14:paraId="6825BD6F" w14:textId="77777777" w:rsidR="002430B7" w:rsidRDefault="002430B7"/>
        </w:tc>
        <w:tc>
          <w:tcPr>
            <w:tcW w:w="1366" w:type="dxa"/>
          </w:tcPr>
          <w:p w14:paraId="0AE13FC4" w14:textId="77777777" w:rsidR="002430B7" w:rsidRDefault="002430B7"/>
        </w:tc>
      </w:tr>
      <w:tr w:rsidR="002430B7" w14:paraId="736233FA" w14:textId="77777777" w:rsidTr="002430B7">
        <w:tc>
          <w:tcPr>
            <w:tcW w:w="7650" w:type="dxa"/>
          </w:tcPr>
          <w:p w14:paraId="1105940A" w14:textId="77777777" w:rsidR="002430B7" w:rsidRDefault="002430B7"/>
        </w:tc>
        <w:tc>
          <w:tcPr>
            <w:tcW w:w="1366" w:type="dxa"/>
          </w:tcPr>
          <w:p w14:paraId="1E0CFD68" w14:textId="77777777" w:rsidR="002430B7" w:rsidRDefault="002430B7"/>
        </w:tc>
      </w:tr>
    </w:tbl>
    <w:p w14:paraId="258D0780" w14:textId="6D5CFDD5" w:rsidR="0053020D" w:rsidRDefault="0053020D"/>
    <w:p w14:paraId="77C867F5" w14:textId="20E724CA" w:rsidR="00F44AD4" w:rsidRDefault="00F44AD4">
      <w:r>
        <w:br w:type="page"/>
      </w:r>
    </w:p>
    <w:p w14:paraId="6175B1A3" w14:textId="554AFAE6" w:rsidR="0053020D" w:rsidRPr="00F44AD4" w:rsidRDefault="00257FCF" w:rsidP="00F44AD4">
      <w:pPr>
        <w:pStyle w:val="Heading1"/>
        <w:rPr>
          <w:rFonts w:eastAsia="Arial"/>
          <w:b/>
          <w:bCs/>
          <w:color w:val="auto"/>
          <w:sz w:val="24"/>
          <w:szCs w:val="24"/>
        </w:rPr>
      </w:pPr>
      <w:r w:rsidRPr="00F44AD4">
        <w:rPr>
          <w:rFonts w:eastAsia="Arial"/>
          <w:b/>
          <w:bCs/>
          <w:color w:val="auto"/>
          <w:sz w:val="24"/>
          <w:szCs w:val="24"/>
        </w:rPr>
        <w:t>1</w:t>
      </w:r>
      <w:r w:rsidRPr="00F44AD4">
        <w:rPr>
          <w:rFonts w:eastAsia="Arial"/>
          <w:b/>
          <w:bCs/>
          <w:color w:val="auto"/>
          <w:sz w:val="24"/>
          <w:szCs w:val="24"/>
        </w:rPr>
        <w:tab/>
      </w:r>
      <w:r w:rsidR="0053020D" w:rsidRPr="00F44AD4">
        <w:rPr>
          <w:rFonts w:eastAsia="Arial"/>
          <w:b/>
          <w:bCs/>
          <w:color w:val="auto"/>
          <w:sz w:val="24"/>
          <w:szCs w:val="24"/>
        </w:rPr>
        <w:t>Bodies involved in preparing the plan (including NHS Trusts, social care provider representatives, VCS organisations, district councils)</w:t>
      </w:r>
    </w:p>
    <w:p w14:paraId="34173B01" w14:textId="7A2CD840" w:rsidR="0053020D" w:rsidRPr="00F44AD4" w:rsidRDefault="0053020D" w:rsidP="00F44AD4">
      <w:pPr>
        <w:pStyle w:val="Heading1"/>
        <w:rPr>
          <w:rFonts w:eastAsia="Arial"/>
          <w:b/>
          <w:bCs/>
          <w:color w:val="auto"/>
          <w:sz w:val="24"/>
          <w:szCs w:val="24"/>
        </w:rPr>
      </w:pPr>
      <w:r w:rsidRPr="00F44AD4">
        <w:rPr>
          <w:rFonts w:eastAsia="Arial"/>
          <w:b/>
          <w:bCs/>
          <w:color w:val="auto"/>
          <w:sz w:val="24"/>
          <w:szCs w:val="24"/>
        </w:rPr>
        <w:t>How have you gone about involving these stakeholders?</w:t>
      </w:r>
    </w:p>
    <w:p w14:paraId="69D6511E" w14:textId="5C08286F" w:rsidR="007B4402" w:rsidRDefault="0053020D" w:rsidP="0053020D">
      <w:r w:rsidRPr="00552AF2">
        <w:t>in addition to sharing the draft plan with key individuals across health, care and housing, the plan has also been shared with</w:t>
      </w:r>
      <w:r w:rsidR="00343163">
        <w:t>:</w:t>
      </w:r>
      <w:r w:rsidRPr="00552AF2">
        <w:t xml:space="preserve"> </w:t>
      </w:r>
    </w:p>
    <w:p w14:paraId="79601233" w14:textId="37361AD8" w:rsidR="0053020D" w:rsidRPr="00D40533" w:rsidRDefault="0053020D" w:rsidP="007B4402">
      <w:pPr>
        <w:pStyle w:val="ListParagraph"/>
        <w:numPr>
          <w:ilvl w:val="0"/>
          <w:numId w:val="30"/>
        </w:numPr>
        <w:rPr>
          <w:i/>
          <w:iCs/>
        </w:rPr>
      </w:pPr>
      <w:r w:rsidRPr="00D40533">
        <w:t xml:space="preserve">the </w:t>
      </w:r>
      <w:r w:rsidR="00150820" w:rsidRPr="00D40533">
        <w:rPr>
          <w:rFonts w:cstheme="minorHAnsi"/>
          <w:bCs/>
        </w:rPr>
        <w:t>integrated Care Partnership (</w:t>
      </w:r>
      <w:r w:rsidRPr="00D40533">
        <w:t>ICP</w:t>
      </w:r>
      <w:r w:rsidR="00150820" w:rsidRPr="00D40533">
        <w:t>)</w:t>
      </w:r>
      <w:r w:rsidRPr="00D40533">
        <w:t xml:space="preserve"> </w:t>
      </w:r>
      <w:r w:rsidR="00D40533" w:rsidRPr="00D40533">
        <w:t>leadership group</w:t>
      </w:r>
    </w:p>
    <w:p w14:paraId="67456703" w14:textId="239A75C1" w:rsidR="00235D90" w:rsidRPr="00D40533" w:rsidRDefault="00235D90" w:rsidP="007B4402">
      <w:pPr>
        <w:pStyle w:val="ListParagraph"/>
        <w:numPr>
          <w:ilvl w:val="0"/>
          <w:numId w:val="30"/>
        </w:numPr>
        <w:rPr>
          <w:i/>
          <w:iCs/>
        </w:rPr>
      </w:pPr>
      <w:r w:rsidRPr="00D40533">
        <w:t xml:space="preserve">Sector Support </w:t>
      </w:r>
    </w:p>
    <w:p w14:paraId="77D14AC9" w14:textId="77A44394" w:rsidR="00343163" w:rsidRPr="00D40533" w:rsidRDefault="00235D90" w:rsidP="00343163">
      <w:pPr>
        <w:pStyle w:val="ListParagraph"/>
        <w:numPr>
          <w:ilvl w:val="0"/>
          <w:numId w:val="30"/>
        </w:numPr>
        <w:rPr>
          <w:i/>
          <w:iCs/>
        </w:rPr>
      </w:pPr>
      <w:r w:rsidRPr="00D40533">
        <w:t>C</w:t>
      </w:r>
      <w:r w:rsidR="00343163" w:rsidRPr="00D40533">
        <w:t>entre</w:t>
      </w:r>
      <w:r w:rsidRPr="00D40533">
        <w:t>4</w:t>
      </w:r>
      <w:r w:rsidR="00343163" w:rsidRPr="00D40533">
        <w:t xml:space="preserve"> </w:t>
      </w:r>
    </w:p>
    <w:p w14:paraId="572350DA" w14:textId="29691DC0" w:rsidR="00235D90" w:rsidRPr="00D40533" w:rsidRDefault="00235D90" w:rsidP="007B4402">
      <w:pPr>
        <w:pStyle w:val="ListParagraph"/>
        <w:numPr>
          <w:ilvl w:val="0"/>
          <w:numId w:val="30"/>
        </w:numPr>
        <w:rPr>
          <w:i/>
          <w:iCs/>
        </w:rPr>
      </w:pPr>
      <w:r w:rsidRPr="00D40533">
        <w:t>Comm</w:t>
      </w:r>
      <w:r w:rsidR="00343163" w:rsidRPr="00D40533">
        <w:t xml:space="preserve">unity </w:t>
      </w:r>
      <w:r w:rsidRPr="00D40533">
        <w:t>Forum</w:t>
      </w:r>
    </w:p>
    <w:p w14:paraId="61B361F9" w14:textId="6EDD18E4" w:rsidR="00235D90" w:rsidRPr="00D40533" w:rsidRDefault="00235D90" w:rsidP="007B4402">
      <w:pPr>
        <w:pStyle w:val="ListParagraph"/>
        <w:numPr>
          <w:ilvl w:val="0"/>
          <w:numId w:val="30"/>
        </w:numPr>
        <w:rPr>
          <w:i/>
          <w:iCs/>
        </w:rPr>
      </w:pPr>
      <w:r w:rsidRPr="00D40533">
        <w:t>Healthwatch</w:t>
      </w:r>
    </w:p>
    <w:p w14:paraId="27752808" w14:textId="309784B8" w:rsidR="0053020D" w:rsidRDefault="00175EF6" w:rsidP="0067482C">
      <w:pPr>
        <w:pStyle w:val="ListParagraph"/>
        <w:numPr>
          <w:ilvl w:val="0"/>
          <w:numId w:val="30"/>
        </w:numPr>
      </w:pPr>
      <w:r w:rsidRPr="00D40533">
        <w:t>Multi-agency w</w:t>
      </w:r>
      <w:r w:rsidR="006C7968" w:rsidRPr="00D40533">
        <w:t>inter planning group</w:t>
      </w:r>
      <w:r w:rsidR="00C810AB">
        <w:t>.</w:t>
      </w:r>
    </w:p>
    <w:p w14:paraId="3FCB5EF6" w14:textId="2CF2B381" w:rsidR="00C810AB" w:rsidRPr="00D40533" w:rsidRDefault="00FD4549" w:rsidP="00C810AB">
      <w:r>
        <w:t>The plan</w:t>
      </w:r>
      <w:r w:rsidR="00C810AB">
        <w:t xml:space="preserve"> was supported in principle by the Union Board on 16</w:t>
      </w:r>
      <w:r w:rsidR="00C810AB" w:rsidRPr="00C810AB">
        <w:rPr>
          <w:vertAlign w:val="superscript"/>
        </w:rPr>
        <w:t>th</w:t>
      </w:r>
      <w:r w:rsidR="00C810AB">
        <w:t xml:space="preserve"> November 2021.  Sign off via the Health and Wellbeing Board is expected on 22</w:t>
      </w:r>
      <w:r w:rsidR="00C810AB" w:rsidRPr="00C810AB">
        <w:rPr>
          <w:vertAlign w:val="superscript"/>
        </w:rPr>
        <w:t>nd</w:t>
      </w:r>
      <w:r w:rsidR="00C810AB">
        <w:t xml:space="preserve"> November 2021.</w:t>
      </w:r>
    </w:p>
    <w:p w14:paraId="5156D10E" w14:textId="77777777" w:rsidR="00F44AD4" w:rsidRDefault="00F44AD4" w:rsidP="0053020D">
      <w:pPr>
        <w:rPr>
          <w:rFonts w:ascii="Arial" w:eastAsia="Arial" w:hAnsi="Arial" w:cs="Arial"/>
          <w:b/>
          <w:bCs/>
        </w:rPr>
      </w:pPr>
    </w:p>
    <w:p w14:paraId="0CB16142" w14:textId="4C2C0F61" w:rsidR="0053020D" w:rsidRPr="00F44AD4" w:rsidRDefault="0053020D" w:rsidP="00F44AD4">
      <w:pPr>
        <w:pStyle w:val="Heading1"/>
        <w:rPr>
          <w:rFonts w:eastAsia="Arial"/>
          <w:b/>
          <w:bCs/>
          <w:color w:val="auto"/>
          <w:sz w:val="24"/>
          <w:szCs w:val="24"/>
        </w:rPr>
      </w:pPr>
      <w:r w:rsidRPr="00F44AD4">
        <w:rPr>
          <w:rFonts w:eastAsia="Arial"/>
          <w:b/>
          <w:bCs/>
          <w:color w:val="auto"/>
          <w:sz w:val="24"/>
          <w:szCs w:val="24"/>
        </w:rPr>
        <w:t>Executive Summary</w:t>
      </w:r>
    </w:p>
    <w:p w14:paraId="0BECE53D" w14:textId="77777777" w:rsidR="0053020D" w:rsidRDefault="0053020D" w:rsidP="0053020D">
      <w:pPr>
        <w:rPr>
          <w:rFonts w:ascii="Arial" w:eastAsia="Arial" w:hAnsi="Arial" w:cs="Arial"/>
        </w:rPr>
      </w:pPr>
      <w:r>
        <w:rPr>
          <w:rFonts w:ascii="Arial" w:eastAsia="Arial" w:hAnsi="Arial" w:cs="Arial"/>
        </w:rPr>
        <w:t>This should i</w:t>
      </w:r>
      <w:r w:rsidRPr="5FA03326">
        <w:rPr>
          <w:rFonts w:ascii="Arial" w:eastAsia="Arial" w:hAnsi="Arial" w:cs="Arial"/>
        </w:rPr>
        <w:t>nclud</w:t>
      </w:r>
      <w:r>
        <w:rPr>
          <w:rFonts w:ascii="Arial" w:eastAsia="Arial" w:hAnsi="Arial" w:cs="Arial"/>
        </w:rPr>
        <w:t>e</w:t>
      </w:r>
      <w:r w:rsidRPr="5FA03326">
        <w:rPr>
          <w:rFonts w:ascii="Arial" w:eastAsia="Arial" w:hAnsi="Arial" w:cs="Arial"/>
        </w:rPr>
        <w:t>:</w:t>
      </w:r>
    </w:p>
    <w:p w14:paraId="1A231AD9" w14:textId="77777777" w:rsidR="0053020D" w:rsidRDefault="0053020D" w:rsidP="0053020D">
      <w:pPr>
        <w:pStyle w:val="ListParagraph"/>
        <w:numPr>
          <w:ilvl w:val="0"/>
          <w:numId w:val="1"/>
        </w:numPr>
        <w:rPr>
          <w:rFonts w:ascii="Arial" w:eastAsia="Arial" w:hAnsi="Arial" w:cs="Arial"/>
        </w:rPr>
      </w:pPr>
      <w:r w:rsidRPr="5FA03326">
        <w:rPr>
          <w:rFonts w:ascii="Arial" w:eastAsia="Arial" w:hAnsi="Arial" w:cs="Arial"/>
        </w:rPr>
        <w:t>Priorities for 2021-22</w:t>
      </w:r>
    </w:p>
    <w:p w14:paraId="4FC9A776" w14:textId="77777777" w:rsidR="0053020D" w:rsidRPr="00DB0800" w:rsidRDefault="0053020D" w:rsidP="0053020D">
      <w:pPr>
        <w:pStyle w:val="ListParagraph"/>
        <w:numPr>
          <w:ilvl w:val="0"/>
          <w:numId w:val="1"/>
        </w:numPr>
        <w:rPr>
          <w:rFonts w:ascii="Arial" w:eastAsia="Arial" w:hAnsi="Arial" w:cs="Arial"/>
        </w:rPr>
      </w:pPr>
      <w:r w:rsidRPr="5FA03326">
        <w:rPr>
          <w:rFonts w:ascii="Arial" w:eastAsia="Arial" w:hAnsi="Arial" w:cs="Arial"/>
        </w:rPr>
        <w:t xml:space="preserve">key changes since </w:t>
      </w:r>
      <w:r>
        <w:rPr>
          <w:rFonts w:ascii="Arial" w:eastAsia="Arial" w:hAnsi="Arial" w:cs="Arial"/>
        </w:rPr>
        <w:t>previous BCF plan</w:t>
      </w:r>
    </w:p>
    <w:p w14:paraId="0EBAEE54" w14:textId="2576BCE4" w:rsidR="00DC4BF0" w:rsidRDefault="004D24D1" w:rsidP="0053020D">
      <w:proofErr w:type="gramStart"/>
      <w:r>
        <w:t>North East</w:t>
      </w:r>
      <w:proofErr w:type="gramEnd"/>
      <w:r>
        <w:t xml:space="preserve"> Lincolnshire’s (</w:t>
      </w:r>
      <w:r w:rsidR="00DC4BF0" w:rsidRPr="005862F3">
        <w:t>NEL</w:t>
      </w:r>
      <w:r>
        <w:t>)</w:t>
      </w:r>
      <w:r w:rsidR="00DC4BF0" w:rsidRPr="005862F3">
        <w:t xml:space="preserve"> approach to health and wellbeing, focusing on prevention, putting the community at the centre of service re-design, and supporting people to take </w:t>
      </w:r>
      <w:r>
        <w:t xml:space="preserve">more </w:t>
      </w:r>
      <w:r w:rsidR="00DC4BF0" w:rsidRPr="005862F3">
        <w:t>responsibility for their wellbeing</w:t>
      </w:r>
      <w:r>
        <w:t>,</w:t>
      </w:r>
      <w:r w:rsidR="00DC4BF0" w:rsidRPr="005862F3">
        <w:t xml:space="preserve"> is represented in the ‘funnel of transformation’ depicted in previous BCF plan</w:t>
      </w:r>
      <w:r w:rsidR="00DC4BF0">
        <w:t>s</w:t>
      </w:r>
      <w:r w:rsidR="00DC4BF0" w:rsidRPr="005862F3">
        <w:t xml:space="preserve">.  This </w:t>
      </w:r>
      <w:r w:rsidR="00DC4BF0">
        <w:t xml:space="preserve">focus on community-based prevention </w:t>
      </w:r>
      <w:r w:rsidR="00DC4BF0" w:rsidRPr="005862F3">
        <w:t xml:space="preserve">remains key to current and future planning.  </w:t>
      </w:r>
    </w:p>
    <w:p w14:paraId="152BB69F" w14:textId="77777777" w:rsidR="00AA5B42" w:rsidRDefault="00DC4BF0" w:rsidP="0053020D">
      <w:r>
        <w:t xml:space="preserve">The </w:t>
      </w:r>
      <w:r w:rsidRPr="005862F3">
        <w:t xml:space="preserve">Adult Strategy (applicable to all adult health and care services) </w:t>
      </w:r>
      <w:r>
        <w:t>referenced in our 2019/20 plan remains in place and sets out our person-centred,</w:t>
      </w:r>
      <w:r w:rsidRPr="005862F3">
        <w:t xml:space="preserve"> enabling, approach.  By focusing on individual and community assets and strengths, we </w:t>
      </w:r>
      <w:r w:rsidR="004E63E7">
        <w:t xml:space="preserve">aim to </w:t>
      </w:r>
      <w:r w:rsidRPr="005862F3">
        <w:t xml:space="preserve">increase the likelihood that we will create a resilient population able to thrive on independence and </w:t>
      </w:r>
      <w:proofErr w:type="gramStart"/>
      <w:r w:rsidRPr="005862F3">
        <w:t>self-care, and</w:t>
      </w:r>
      <w:proofErr w:type="gramEnd"/>
      <w:r w:rsidRPr="005862F3">
        <w:t xml:space="preserve"> reach their maximum potential.</w:t>
      </w:r>
      <w:r w:rsidR="004E63E7">
        <w:t xml:space="preserve">  However, this aspiration has been particularly challenging during the pandemic.</w:t>
      </w:r>
      <w:r w:rsidRPr="005862F3">
        <w:t xml:space="preserve">  The priorities set out within the Strategy </w:t>
      </w:r>
      <w:r w:rsidR="004E63E7">
        <w:t xml:space="preserve">continue in the current year, although it has not been possible to progress in all areas at the speed or in </w:t>
      </w:r>
      <w:proofErr w:type="gramStart"/>
      <w:r w:rsidR="004E63E7">
        <w:t>exactly the same</w:t>
      </w:r>
      <w:proofErr w:type="gramEnd"/>
      <w:r w:rsidR="004E63E7">
        <w:t xml:space="preserve"> way as envisaged before the pandemic</w:t>
      </w:r>
      <w:r>
        <w:t>.</w:t>
      </w:r>
      <w:r w:rsidR="00AA5B42">
        <w:t xml:space="preserve">  </w:t>
      </w:r>
    </w:p>
    <w:p w14:paraId="0EDBA019" w14:textId="2B6AC916" w:rsidR="00DC4BF0" w:rsidRPr="005141AA" w:rsidRDefault="00AA5B42" w:rsidP="00E14351">
      <w:pPr>
        <w:spacing w:after="0" w:line="240" w:lineRule="auto"/>
      </w:pPr>
      <w:r>
        <w:t>A</w:t>
      </w:r>
      <w:r w:rsidR="00731BFC">
        <w:t xml:space="preserve">cross the system, </w:t>
      </w:r>
      <w:r w:rsidR="00E25550">
        <w:t xml:space="preserve">it has been necessary to </w:t>
      </w:r>
      <w:r w:rsidR="009B786A">
        <w:t>re-</w:t>
      </w:r>
      <w:r w:rsidR="00E25550">
        <w:t xml:space="preserve">prioritise, and spend </w:t>
      </w:r>
      <w:r w:rsidR="00731BFC" w:rsidRPr="005141AA">
        <w:t>a</w:t>
      </w:r>
      <w:r w:rsidRPr="005141AA">
        <w:t xml:space="preserve"> great deal of </w:t>
      </w:r>
      <w:r w:rsidR="00B45B2E" w:rsidRPr="005141AA">
        <w:t>resource</w:t>
      </w:r>
      <w:r w:rsidRPr="005141AA">
        <w:t xml:space="preserve"> </w:t>
      </w:r>
      <w:r w:rsidR="00731BFC" w:rsidRPr="005141AA">
        <w:t>on</w:t>
      </w:r>
      <w:r w:rsidRPr="005141AA">
        <w:t>:</w:t>
      </w:r>
      <w:r w:rsidR="00DC4BF0" w:rsidRPr="005141AA">
        <w:t xml:space="preserve">  </w:t>
      </w:r>
    </w:p>
    <w:p w14:paraId="2DFB25A1" w14:textId="3FB7F987" w:rsidR="00AA5B42" w:rsidRDefault="00AA5B42" w:rsidP="00E14351">
      <w:pPr>
        <w:pStyle w:val="ListParagraph"/>
        <w:numPr>
          <w:ilvl w:val="0"/>
          <w:numId w:val="5"/>
        </w:numPr>
        <w:spacing w:after="0" w:line="240" w:lineRule="auto"/>
        <w:rPr>
          <w:rFonts w:cstheme="minorHAnsi"/>
          <w:bCs/>
        </w:rPr>
      </w:pPr>
      <w:r w:rsidRPr="005141AA">
        <w:rPr>
          <w:rFonts w:cstheme="minorHAnsi"/>
          <w:bCs/>
        </w:rPr>
        <w:t xml:space="preserve">Ensuring those most in need continue to be appropriately supported, including by mobilising </w:t>
      </w:r>
      <w:r w:rsidRPr="00AA5B42">
        <w:rPr>
          <w:rFonts w:cstheme="minorHAnsi"/>
          <w:bCs/>
        </w:rPr>
        <w:t xml:space="preserve">volunteer services to support those defined as </w:t>
      </w:r>
      <w:r>
        <w:rPr>
          <w:rFonts w:cstheme="minorHAnsi"/>
          <w:bCs/>
        </w:rPr>
        <w:t>most</w:t>
      </w:r>
      <w:r w:rsidRPr="00AA5B42">
        <w:rPr>
          <w:rFonts w:cstheme="minorHAnsi"/>
          <w:bCs/>
        </w:rPr>
        <w:t xml:space="preserve"> vulnerable</w:t>
      </w:r>
    </w:p>
    <w:p w14:paraId="1B1A1A99" w14:textId="4640790F" w:rsidR="00731BFC" w:rsidRPr="00731BFC" w:rsidRDefault="00731BFC" w:rsidP="00AA5B42">
      <w:pPr>
        <w:pStyle w:val="ListParagraph"/>
        <w:numPr>
          <w:ilvl w:val="0"/>
          <w:numId w:val="5"/>
        </w:numPr>
        <w:spacing w:after="200" w:line="276" w:lineRule="auto"/>
        <w:rPr>
          <w:rFonts w:cstheme="minorHAnsi"/>
          <w:bCs/>
        </w:rPr>
      </w:pPr>
      <w:r w:rsidRPr="00731BFC">
        <w:rPr>
          <w:rFonts w:cstheme="minorHAnsi"/>
          <w:bCs/>
        </w:rPr>
        <w:t>keeping oversight of quality across the</w:t>
      </w:r>
      <w:r>
        <w:rPr>
          <w:rFonts w:cstheme="minorHAnsi"/>
          <w:bCs/>
        </w:rPr>
        <w:t xml:space="preserve"> health and</w:t>
      </w:r>
      <w:r w:rsidRPr="00731BFC">
        <w:rPr>
          <w:rFonts w:cstheme="minorHAnsi"/>
          <w:bCs/>
        </w:rPr>
        <w:t xml:space="preserve"> </w:t>
      </w:r>
      <w:r>
        <w:rPr>
          <w:rFonts w:cstheme="minorHAnsi"/>
          <w:bCs/>
        </w:rPr>
        <w:t>care</w:t>
      </w:r>
      <w:r w:rsidRPr="00731BFC">
        <w:rPr>
          <w:rFonts w:cstheme="minorHAnsi"/>
          <w:bCs/>
        </w:rPr>
        <w:t xml:space="preserve"> marketplace</w:t>
      </w:r>
      <w:r>
        <w:rPr>
          <w:rFonts w:cstheme="minorHAnsi"/>
          <w:bCs/>
        </w:rPr>
        <w:t>,</w:t>
      </w:r>
      <w:r w:rsidRPr="00731BFC">
        <w:rPr>
          <w:rFonts w:cstheme="minorHAnsi"/>
          <w:bCs/>
        </w:rPr>
        <w:t xml:space="preserve"> ensuring continuity of and access to services</w:t>
      </w:r>
    </w:p>
    <w:p w14:paraId="6D313314" w14:textId="1080CBA7" w:rsidR="00731BFC" w:rsidRPr="00AA5B42" w:rsidRDefault="00731BFC" w:rsidP="00731BFC">
      <w:pPr>
        <w:pStyle w:val="ListParagraph"/>
        <w:numPr>
          <w:ilvl w:val="0"/>
          <w:numId w:val="5"/>
        </w:numPr>
        <w:spacing w:after="200" w:line="276" w:lineRule="auto"/>
        <w:rPr>
          <w:rFonts w:cstheme="minorHAnsi"/>
          <w:bCs/>
        </w:rPr>
      </w:pPr>
      <w:r>
        <w:rPr>
          <w:rFonts w:cstheme="minorHAnsi"/>
          <w:bCs/>
        </w:rPr>
        <w:t>O</w:t>
      </w:r>
      <w:r w:rsidRPr="00AA5B42">
        <w:rPr>
          <w:rFonts w:cstheme="minorHAnsi"/>
          <w:bCs/>
        </w:rPr>
        <w:t xml:space="preserve">verseeing workforce issues (training, isolation, </w:t>
      </w:r>
      <w:proofErr w:type="spellStart"/>
      <w:r w:rsidRPr="00AA5B42">
        <w:rPr>
          <w:rFonts w:cstheme="minorHAnsi"/>
          <w:bCs/>
        </w:rPr>
        <w:t>cohorting</w:t>
      </w:r>
      <w:proofErr w:type="spellEnd"/>
      <w:r w:rsidRPr="00AA5B42">
        <w:rPr>
          <w:rFonts w:cstheme="minorHAnsi"/>
          <w:bCs/>
        </w:rPr>
        <w:t>, absence/</w:t>
      </w:r>
      <w:r w:rsidR="00E25550">
        <w:rPr>
          <w:rFonts w:cstheme="minorHAnsi"/>
          <w:bCs/>
        </w:rPr>
        <w:t xml:space="preserve"> low </w:t>
      </w:r>
      <w:r w:rsidRPr="00AA5B42">
        <w:rPr>
          <w:rFonts w:cstheme="minorHAnsi"/>
          <w:bCs/>
        </w:rPr>
        <w:t>capacity)</w:t>
      </w:r>
      <w:r>
        <w:rPr>
          <w:rFonts w:cstheme="minorHAnsi"/>
          <w:bCs/>
        </w:rPr>
        <w:t xml:space="preserve"> and ensuring access to PPE</w:t>
      </w:r>
      <w:r w:rsidR="00E25550">
        <w:rPr>
          <w:rFonts w:cstheme="minorHAnsi"/>
          <w:bCs/>
        </w:rPr>
        <w:t xml:space="preserve"> and other necessary equipment</w:t>
      </w:r>
    </w:p>
    <w:p w14:paraId="27798BF9" w14:textId="23ABEF4D" w:rsidR="00731BFC" w:rsidRPr="00AA5B42" w:rsidRDefault="00731BFC" w:rsidP="00731BFC">
      <w:pPr>
        <w:pStyle w:val="ListParagraph"/>
        <w:numPr>
          <w:ilvl w:val="0"/>
          <w:numId w:val="5"/>
        </w:numPr>
        <w:spacing w:after="200" w:line="276" w:lineRule="auto"/>
        <w:rPr>
          <w:rFonts w:cstheme="minorHAnsi"/>
          <w:bCs/>
        </w:rPr>
      </w:pPr>
      <w:r>
        <w:rPr>
          <w:rFonts w:cstheme="minorHAnsi"/>
          <w:bCs/>
        </w:rPr>
        <w:t>D</w:t>
      </w:r>
      <w:r w:rsidRPr="00AA5B42">
        <w:rPr>
          <w:rFonts w:cstheme="minorHAnsi"/>
          <w:bCs/>
        </w:rPr>
        <w:t>eveloping and implementing business continuity plans and seeking assurance in relation to providers’ plan</w:t>
      </w:r>
      <w:r>
        <w:rPr>
          <w:rFonts w:cstheme="minorHAnsi"/>
          <w:bCs/>
        </w:rPr>
        <w:t>s</w:t>
      </w:r>
      <w:r w:rsidRPr="00AA5B42">
        <w:rPr>
          <w:rFonts w:cstheme="minorHAnsi"/>
          <w:bCs/>
        </w:rPr>
        <w:t xml:space="preserve"> </w:t>
      </w:r>
    </w:p>
    <w:p w14:paraId="076612D4" w14:textId="77777777" w:rsidR="00731BFC" w:rsidRDefault="00731BFC" w:rsidP="00731BFC">
      <w:pPr>
        <w:pStyle w:val="ListParagraph"/>
        <w:numPr>
          <w:ilvl w:val="0"/>
          <w:numId w:val="5"/>
        </w:numPr>
        <w:spacing w:after="200" w:line="276" w:lineRule="auto"/>
        <w:rPr>
          <w:rFonts w:cstheme="minorHAnsi"/>
          <w:bCs/>
        </w:rPr>
      </w:pPr>
      <w:r>
        <w:rPr>
          <w:rFonts w:cstheme="minorHAnsi"/>
          <w:bCs/>
        </w:rPr>
        <w:t>I</w:t>
      </w:r>
      <w:r w:rsidRPr="00AA5B42">
        <w:rPr>
          <w:rFonts w:cstheme="minorHAnsi"/>
          <w:bCs/>
        </w:rPr>
        <w:t xml:space="preserve">mplementing financial </w:t>
      </w:r>
      <w:r>
        <w:rPr>
          <w:rFonts w:cstheme="minorHAnsi"/>
          <w:bCs/>
        </w:rPr>
        <w:t xml:space="preserve">market </w:t>
      </w:r>
      <w:r w:rsidRPr="00AA5B42">
        <w:rPr>
          <w:rFonts w:cstheme="minorHAnsi"/>
          <w:bCs/>
        </w:rPr>
        <w:t xml:space="preserve">support mechanisms </w:t>
      </w:r>
      <w:r>
        <w:rPr>
          <w:rFonts w:cstheme="minorHAnsi"/>
          <w:bCs/>
        </w:rPr>
        <w:t xml:space="preserve">to avoid market failure, and </w:t>
      </w:r>
      <w:r w:rsidRPr="00AA5B42">
        <w:rPr>
          <w:rFonts w:cstheme="minorHAnsi"/>
          <w:bCs/>
        </w:rPr>
        <w:t xml:space="preserve">administering grant funding to around 70 providers </w:t>
      </w:r>
    </w:p>
    <w:p w14:paraId="58A10C7D" w14:textId="051A6E33" w:rsidR="00AA5B42" w:rsidRPr="00AA5B42" w:rsidRDefault="00AA5B42" w:rsidP="00AA5B42">
      <w:pPr>
        <w:pStyle w:val="ListParagraph"/>
        <w:numPr>
          <w:ilvl w:val="0"/>
          <w:numId w:val="5"/>
        </w:numPr>
        <w:spacing w:after="200" w:line="276" w:lineRule="auto"/>
        <w:rPr>
          <w:rFonts w:cstheme="minorHAnsi"/>
          <w:bCs/>
        </w:rPr>
      </w:pPr>
      <w:r w:rsidRPr="00AA5B42">
        <w:rPr>
          <w:rFonts w:cstheme="minorHAnsi"/>
          <w:bCs/>
        </w:rPr>
        <w:t xml:space="preserve">Responding to, and implementing a raft of </w:t>
      </w:r>
      <w:r w:rsidR="006F7FFA">
        <w:rPr>
          <w:rFonts w:cstheme="minorHAnsi"/>
          <w:bCs/>
        </w:rPr>
        <w:t>regularly changing</w:t>
      </w:r>
      <w:r w:rsidR="00E25550">
        <w:rPr>
          <w:rFonts w:cstheme="minorHAnsi"/>
          <w:bCs/>
        </w:rPr>
        <w:t xml:space="preserve"> </w:t>
      </w:r>
      <w:r w:rsidRPr="00AA5B42">
        <w:rPr>
          <w:rFonts w:cstheme="minorHAnsi"/>
          <w:bCs/>
        </w:rPr>
        <w:t xml:space="preserve">government guidance (infection control, support to care homes, winter plans, PPE, care home visiting, day care, Care Act easements, hospital discharge)  </w:t>
      </w:r>
    </w:p>
    <w:p w14:paraId="3FD0023C" w14:textId="12CE61B1" w:rsidR="00731BFC" w:rsidRPr="00AA5B42" w:rsidRDefault="00731BFC" w:rsidP="00731BFC">
      <w:pPr>
        <w:pStyle w:val="ListParagraph"/>
        <w:numPr>
          <w:ilvl w:val="0"/>
          <w:numId w:val="5"/>
        </w:numPr>
        <w:spacing w:after="200" w:line="276" w:lineRule="auto"/>
        <w:rPr>
          <w:rFonts w:cstheme="minorHAnsi"/>
          <w:bCs/>
        </w:rPr>
      </w:pPr>
      <w:r>
        <w:rPr>
          <w:rFonts w:cstheme="minorHAnsi"/>
          <w:bCs/>
        </w:rPr>
        <w:t>D</w:t>
      </w:r>
      <w:r w:rsidRPr="00AA5B42">
        <w:rPr>
          <w:rFonts w:cstheme="minorHAnsi"/>
          <w:bCs/>
        </w:rPr>
        <w:t>eveloping new systems of reporting (</w:t>
      </w:r>
      <w:r w:rsidR="00E25550">
        <w:rPr>
          <w:rFonts w:cstheme="minorHAnsi"/>
          <w:bCs/>
        </w:rPr>
        <w:t>e.g.,</w:t>
      </w:r>
      <w:r>
        <w:rPr>
          <w:rFonts w:cstheme="minorHAnsi"/>
          <w:bCs/>
        </w:rPr>
        <w:t xml:space="preserve"> </w:t>
      </w:r>
      <w:r w:rsidRPr="00AA5B42">
        <w:rPr>
          <w:rFonts w:cstheme="minorHAnsi"/>
          <w:bCs/>
        </w:rPr>
        <w:t>capacity tracker)</w:t>
      </w:r>
      <w:r>
        <w:rPr>
          <w:rFonts w:cstheme="minorHAnsi"/>
          <w:bCs/>
        </w:rPr>
        <w:t xml:space="preserve">, reporting on implementation of the raft of guidance, </w:t>
      </w:r>
      <w:r w:rsidRPr="00AA5B42">
        <w:rPr>
          <w:rFonts w:cstheme="minorHAnsi"/>
          <w:bCs/>
        </w:rPr>
        <w:t xml:space="preserve">monitoring </w:t>
      </w:r>
      <w:r>
        <w:rPr>
          <w:rFonts w:cstheme="minorHAnsi"/>
          <w:bCs/>
        </w:rPr>
        <w:t xml:space="preserve">and reporting on grant </w:t>
      </w:r>
      <w:r w:rsidRPr="00AA5B42">
        <w:rPr>
          <w:rFonts w:cstheme="minorHAnsi"/>
          <w:bCs/>
        </w:rPr>
        <w:t>spend</w:t>
      </w:r>
      <w:r w:rsidR="00E25550">
        <w:rPr>
          <w:rFonts w:cstheme="minorHAnsi"/>
          <w:bCs/>
        </w:rPr>
        <w:t>.</w:t>
      </w:r>
    </w:p>
    <w:p w14:paraId="10CEE72B" w14:textId="678BA663" w:rsidR="00DC4BF0" w:rsidRDefault="00EC51FF" w:rsidP="0077320A">
      <w:pPr>
        <w:spacing w:after="0" w:line="240" w:lineRule="auto"/>
      </w:pPr>
      <w:r>
        <w:t>These are areas in which we wish to make further progress to achieve our priorities</w:t>
      </w:r>
      <w:r w:rsidR="006F7FFA">
        <w:t>:</w:t>
      </w:r>
    </w:p>
    <w:p w14:paraId="5DAFA5AB" w14:textId="2CCA2E97" w:rsidR="006F7FFA" w:rsidRDefault="006F7FFA" w:rsidP="0077320A">
      <w:pPr>
        <w:pStyle w:val="ListParagraph"/>
        <w:numPr>
          <w:ilvl w:val="0"/>
          <w:numId w:val="16"/>
        </w:numPr>
        <w:spacing w:after="0" w:line="240" w:lineRule="auto"/>
      </w:pPr>
      <w:r>
        <w:t>Our information and advice framework/No Wrong Front Door approach has somewhat stalled (though a new single point of information is complete)</w:t>
      </w:r>
    </w:p>
    <w:p w14:paraId="48B5A77B" w14:textId="0364ED09" w:rsidR="006F7FFA" w:rsidRDefault="006F7FFA" w:rsidP="006F7FFA">
      <w:pPr>
        <w:pStyle w:val="ListParagraph"/>
        <w:numPr>
          <w:ilvl w:val="0"/>
          <w:numId w:val="16"/>
        </w:numPr>
      </w:pPr>
      <w:r>
        <w:t xml:space="preserve">Our work on considering the interface between services and coordination of assessments has not progressed at an equal pace in all areas (though there is </w:t>
      </w:r>
      <w:r w:rsidR="0077320A">
        <w:t>some</w:t>
      </w:r>
      <w:r>
        <w:t xml:space="preserve"> improvement in the link between children and adult services</w:t>
      </w:r>
      <w:r w:rsidR="004D24D1">
        <w:t>, and between housing and wider adult services</w:t>
      </w:r>
      <w:r>
        <w:t>)</w:t>
      </w:r>
    </w:p>
    <w:p w14:paraId="272B1FCB" w14:textId="77C50A66" w:rsidR="00E14351" w:rsidRDefault="00E14351" w:rsidP="006F7FFA">
      <w:pPr>
        <w:pStyle w:val="ListParagraph"/>
        <w:numPr>
          <w:ilvl w:val="0"/>
          <w:numId w:val="16"/>
        </w:numPr>
      </w:pPr>
      <w:r>
        <w:t xml:space="preserve">Our </w:t>
      </w:r>
      <w:r w:rsidR="0077320A">
        <w:t xml:space="preserve">reablement </w:t>
      </w:r>
      <w:r>
        <w:t>review has not had the</w:t>
      </w:r>
      <w:r w:rsidR="0077320A">
        <w:t xml:space="preserve"> desired </w:t>
      </w:r>
      <w:r>
        <w:t xml:space="preserve">scope or attention (though pandemic </w:t>
      </w:r>
      <w:r w:rsidR="0077320A">
        <w:t>exigency has created</w:t>
      </w:r>
      <w:r>
        <w:t xml:space="preserve"> improved step up/ down </w:t>
      </w:r>
      <w:r w:rsidR="0077320A">
        <w:t>provision as part of the intermediate tier</w:t>
      </w:r>
      <w:r>
        <w:t xml:space="preserve">)  </w:t>
      </w:r>
    </w:p>
    <w:p w14:paraId="3B36D4C8" w14:textId="4AB35961" w:rsidR="0077320A" w:rsidRPr="0068373E" w:rsidRDefault="0077320A" w:rsidP="006F7FFA">
      <w:pPr>
        <w:pStyle w:val="ListParagraph"/>
        <w:numPr>
          <w:ilvl w:val="0"/>
          <w:numId w:val="16"/>
        </w:numPr>
        <w:rPr>
          <w:i/>
          <w:iCs/>
        </w:rPr>
      </w:pPr>
      <w:r w:rsidRPr="0068373E">
        <w:t>Work to ensure targeted data collection across the Union</w:t>
      </w:r>
      <w:r w:rsidR="001F2159">
        <w:t xml:space="preserve"> has taken longer than anticipated (though it is now renamed ‘insights NEL’ and being led by a designated group)</w:t>
      </w:r>
      <w:r w:rsidRPr="0068373E">
        <w:rPr>
          <w:i/>
          <w:iCs/>
          <w:color w:val="FF0000"/>
        </w:rPr>
        <w:t xml:space="preserve"> </w:t>
      </w:r>
    </w:p>
    <w:p w14:paraId="4D5F6783" w14:textId="583B21E1" w:rsidR="006F7FFA" w:rsidRDefault="006F7FFA" w:rsidP="006F7FFA">
      <w:pPr>
        <w:pStyle w:val="ListParagraph"/>
        <w:numPr>
          <w:ilvl w:val="0"/>
          <w:numId w:val="16"/>
        </w:numPr>
      </w:pPr>
      <w:r>
        <w:t xml:space="preserve">Mechanisms for oversight of the Adult Strategy </w:t>
      </w:r>
      <w:r w:rsidR="00E14351">
        <w:t xml:space="preserve">have not yet been formalised (though the action plan has continued to be refreshed) </w:t>
      </w:r>
      <w:r>
        <w:t xml:space="preserve">  </w:t>
      </w:r>
    </w:p>
    <w:p w14:paraId="45278209" w14:textId="68DF3D3E" w:rsidR="0053020D" w:rsidRPr="006B5A59" w:rsidRDefault="0053020D" w:rsidP="006B5A59">
      <w:pPr>
        <w:pStyle w:val="Heading1"/>
        <w:rPr>
          <w:rFonts w:eastAsia="Arial"/>
          <w:b/>
          <w:bCs/>
          <w:color w:val="auto"/>
          <w:sz w:val="24"/>
          <w:szCs w:val="24"/>
        </w:rPr>
      </w:pPr>
      <w:r w:rsidRPr="006B5A59">
        <w:rPr>
          <w:rFonts w:eastAsia="Arial"/>
          <w:b/>
          <w:bCs/>
          <w:color w:val="auto"/>
          <w:sz w:val="24"/>
          <w:szCs w:val="24"/>
        </w:rPr>
        <w:t xml:space="preserve">Governance </w:t>
      </w:r>
    </w:p>
    <w:p w14:paraId="17B46B17" w14:textId="4A0A1A66" w:rsidR="0053020D" w:rsidRPr="006B5A59" w:rsidRDefault="00257FCF" w:rsidP="006B5A59">
      <w:pPr>
        <w:pStyle w:val="Heading1"/>
        <w:rPr>
          <w:rFonts w:eastAsia="Arial"/>
          <w:b/>
          <w:bCs/>
          <w:color w:val="auto"/>
          <w:sz w:val="24"/>
          <w:szCs w:val="24"/>
        </w:rPr>
      </w:pPr>
      <w:r w:rsidRPr="006B5A59">
        <w:rPr>
          <w:rFonts w:eastAsia="Arial"/>
          <w:b/>
          <w:bCs/>
          <w:color w:val="auto"/>
          <w:sz w:val="24"/>
          <w:szCs w:val="24"/>
        </w:rPr>
        <w:t>2</w:t>
      </w:r>
      <w:r w:rsidRPr="006B5A59">
        <w:rPr>
          <w:rFonts w:eastAsia="Arial"/>
          <w:b/>
          <w:bCs/>
          <w:color w:val="auto"/>
          <w:sz w:val="24"/>
          <w:szCs w:val="24"/>
        </w:rPr>
        <w:tab/>
      </w:r>
      <w:r w:rsidR="0053020D" w:rsidRPr="006B5A59">
        <w:rPr>
          <w:rFonts w:eastAsia="Arial"/>
          <w:b/>
          <w:bCs/>
          <w:color w:val="auto"/>
          <w:sz w:val="24"/>
          <w:szCs w:val="24"/>
        </w:rPr>
        <w:t>Please briefly outline the governance for the BCF plan and its implementation in your area.</w:t>
      </w:r>
    </w:p>
    <w:p w14:paraId="17FB6D74" w14:textId="5A39B62B" w:rsidR="00257FCF" w:rsidRDefault="0053020D" w:rsidP="0053020D">
      <w:r w:rsidRPr="00552AF2">
        <w:t xml:space="preserve">As noted in our previous plan, </w:t>
      </w:r>
      <w:r w:rsidR="0068373E">
        <w:t>individual s</w:t>
      </w:r>
      <w:r w:rsidRPr="00552AF2">
        <w:t xml:space="preserve">chemes are subject to </w:t>
      </w:r>
      <w:r>
        <w:t xml:space="preserve">regular </w:t>
      </w:r>
      <w:r w:rsidRPr="00552AF2">
        <w:t xml:space="preserve">monitoring and/ or are monitored by a scheme board or steering group, comprising professionals and community members.  This means evaluation is on-going as part of ‘business as usual’, rather than a one-off activity for the benefit of our BCF plan.  Any underperformance is addressed via the relevant board/ steering group or contract monitoring meetings.  BCF programme governance is part of overall partnership governance that exists to support the Union.  Pooled budget managers are </w:t>
      </w:r>
      <w:r w:rsidR="0068373E">
        <w:t>the C</w:t>
      </w:r>
      <w:r w:rsidRPr="00552AF2">
        <w:t xml:space="preserve">CG’s Chief Finance Officer and </w:t>
      </w:r>
      <w:r w:rsidR="0068373E">
        <w:t>the Council</w:t>
      </w:r>
      <w:r w:rsidRPr="00552AF2">
        <w:t xml:space="preserve">’s Director of Resources </w:t>
      </w:r>
      <w:r w:rsidR="00612816">
        <w:t>and</w:t>
      </w:r>
      <w:r w:rsidRPr="00552AF2">
        <w:t xml:space="preserve"> Governance.   The overall lead for the plan is the director of adult services</w:t>
      </w:r>
      <w:r w:rsidR="0068373E">
        <w:t xml:space="preserve"> </w:t>
      </w:r>
      <w:r w:rsidRPr="00552AF2">
        <w:t xml:space="preserve">- a joint post across </w:t>
      </w:r>
      <w:r w:rsidR="0068373E">
        <w:t>the Council</w:t>
      </w:r>
      <w:r w:rsidRPr="00552AF2">
        <w:t xml:space="preserve"> and CCG. </w:t>
      </w:r>
      <w:r w:rsidR="0068373E">
        <w:t xml:space="preserve"> </w:t>
      </w:r>
      <w:r w:rsidRPr="00552AF2">
        <w:t xml:space="preserve">On-going high-level oversight of BCF schemes, and development of BCF plans, is undertaken by the BCF steering group (comprising CCG and </w:t>
      </w:r>
      <w:r w:rsidR="0068373E">
        <w:t>Council</w:t>
      </w:r>
      <w:r w:rsidRPr="00552AF2">
        <w:t xml:space="preserve"> staff) which reports to the Union’s joint senior team</w:t>
      </w:r>
      <w:r w:rsidR="00C810AB">
        <w:t xml:space="preserve"> and the Union Board</w:t>
      </w:r>
      <w:r w:rsidR="0068373E">
        <w:t>.</w:t>
      </w:r>
      <w:r w:rsidR="00C810AB">
        <w:t xml:space="preserve">  The Union Board in turn reports to the Health and Wellbeing Board.</w:t>
      </w:r>
    </w:p>
    <w:p w14:paraId="3116AF69" w14:textId="06B4D047" w:rsidR="0053020D" w:rsidRDefault="0053020D" w:rsidP="0053020D">
      <w:r w:rsidRPr="00552AF2">
        <w:t>To facilitate informed governance</w:t>
      </w:r>
      <w:r w:rsidRPr="004E6209">
        <w:t xml:space="preserve"> </w:t>
      </w:r>
      <w:r>
        <w:t xml:space="preserve">and </w:t>
      </w:r>
      <w:r w:rsidRPr="00552AF2">
        <w:t>support us in identifying outcomes and user experience</w:t>
      </w:r>
      <w:r w:rsidR="0068373E">
        <w:t xml:space="preserve"> (including in respect of BCF schemes)</w:t>
      </w:r>
      <w:r w:rsidRPr="00552AF2">
        <w:t xml:space="preserve">, we </w:t>
      </w:r>
      <w:r>
        <w:t>continue to work</w:t>
      </w:r>
      <w:r w:rsidRPr="00552AF2">
        <w:t xml:space="preserve"> to create a comprehensive view of adult services performance.   Our </w:t>
      </w:r>
      <w:r>
        <w:t xml:space="preserve">ongoing </w:t>
      </w:r>
      <w:r w:rsidRPr="00552AF2">
        <w:t xml:space="preserve">performance review is running in tandem with wider Union work to create a performance framework which measures against the five place-based outcomes (adult services’ performance </w:t>
      </w:r>
      <w:r>
        <w:t>feeds</w:t>
      </w:r>
      <w:r w:rsidRPr="00552AF2">
        <w:t xml:space="preserve"> into the health and wellbeing outcome), </w:t>
      </w:r>
      <w:r>
        <w:t>seeking</w:t>
      </w:r>
      <w:r w:rsidRPr="00552AF2">
        <w:t xml:space="preserve"> to evidence the Union’s added value for the entire local population- including those living in disadvantaged areas.</w:t>
      </w:r>
      <w:r w:rsidR="00986A89">
        <w:t xml:space="preserve">  Data collection in some service areas has improved </w:t>
      </w:r>
      <w:r w:rsidR="0068373E">
        <w:t xml:space="preserve">significantly </w:t>
      </w:r>
      <w:proofErr w:type="gramStart"/>
      <w:r w:rsidR="00986A89">
        <w:t>as a result of</w:t>
      </w:r>
      <w:proofErr w:type="gramEnd"/>
      <w:r w:rsidR="00986A89">
        <w:t xml:space="preserve"> the pandemic, but wider place-based data collation and analysis work is not yet concluded.  This is needed to ensure that governance mechanisms are supported by accurate evidence.</w:t>
      </w:r>
      <w:r w:rsidRPr="00552AF2">
        <w:t xml:space="preserve">  </w:t>
      </w:r>
    </w:p>
    <w:p w14:paraId="1C174E67" w14:textId="71231277" w:rsidR="0053020D" w:rsidRDefault="0053020D" w:rsidP="0053020D">
      <w:r w:rsidRPr="00552AF2">
        <w:t xml:space="preserve">SIGN OFF OF PLAN: the draft plan was </w:t>
      </w:r>
      <w:r w:rsidR="00C810AB">
        <w:t>support</w:t>
      </w:r>
      <w:r w:rsidRPr="00552AF2">
        <w:t xml:space="preserve">ed by </w:t>
      </w:r>
      <w:r w:rsidR="00C810AB">
        <w:t>the</w:t>
      </w:r>
      <w:r w:rsidR="00225834">
        <w:t xml:space="preserve"> Union Board</w:t>
      </w:r>
      <w:r w:rsidR="00C810AB" w:rsidRPr="00C810AB">
        <w:t xml:space="preserve"> </w:t>
      </w:r>
      <w:r w:rsidR="00C810AB">
        <w:t>on</w:t>
      </w:r>
      <w:r w:rsidR="00C810AB" w:rsidRPr="00552AF2">
        <w:t xml:space="preserve"> </w:t>
      </w:r>
      <w:r w:rsidR="00C810AB">
        <w:t>16</w:t>
      </w:r>
      <w:r w:rsidR="00C810AB" w:rsidRPr="00225834">
        <w:rPr>
          <w:vertAlign w:val="superscript"/>
        </w:rPr>
        <w:t>th</w:t>
      </w:r>
      <w:r w:rsidR="00C810AB">
        <w:t xml:space="preserve"> November 2021</w:t>
      </w:r>
      <w:r w:rsidRPr="00552AF2">
        <w:t xml:space="preserve">, pending final sign off by the </w:t>
      </w:r>
      <w:r w:rsidR="00C810AB">
        <w:t>Health and Wellbeing</w:t>
      </w:r>
      <w:r w:rsidRPr="00552AF2">
        <w:t xml:space="preserve"> Board</w:t>
      </w:r>
      <w:r w:rsidR="00C810AB">
        <w:t xml:space="preserve"> on 22</w:t>
      </w:r>
      <w:r w:rsidR="00C810AB" w:rsidRPr="00C810AB">
        <w:rPr>
          <w:vertAlign w:val="superscript"/>
        </w:rPr>
        <w:t>nd</w:t>
      </w:r>
      <w:r w:rsidR="00C810AB">
        <w:t xml:space="preserve"> November 2021</w:t>
      </w:r>
      <w:r w:rsidR="0068373E">
        <w:t>.</w:t>
      </w:r>
    </w:p>
    <w:p w14:paraId="7A1F7704" w14:textId="2425DDF3" w:rsidR="00EF1995" w:rsidRDefault="00EF1995" w:rsidP="0053020D"/>
    <w:p w14:paraId="7FE08B62" w14:textId="77777777" w:rsidR="00EF1995" w:rsidRPr="006B5A59" w:rsidRDefault="00EF1995" w:rsidP="006B5A59">
      <w:pPr>
        <w:pStyle w:val="Heading1"/>
        <w:rPr>
          <w:rFonts w:eastAsia="Arial"/>
          <w:b/>
          <w:bCs/>
          <w:color w:val="auto"/>
          <w:sz w:val="24"/>
          <w:szCs w:val="24"/>
        </w:rPr>
      </w:pPr>
      <w:r w:rsidRPr="006B5A59">
        <w:rPr>
          <w:rFonts w:eastAsia="Arial"/>
          <w:b/>
          <w:bCs/>
          <w:color w:val="auto"/>
          <w:sz w:val="24"/>
          <w:szCs w:val="24"/>
        </w:rPr>
        <w:t>Overall approach to integration</w:t>
      </w:r>
    </w:p>
    <w:p w14:paraId="64503373" w14:textId="029C9B47" w:rsidR="00EF1995" w:rsidRPr="006B5A59" w:rsidRDefault="00257FCF" w:rsidP="006B5A59">
      <w:pPr>
        <w:pStyle w:val="Heading1"/>
        <w:rPr>
          <w:rFonts w:eastAsia="Arial"/>
          <w:b/>
          <w:bCs/>
          <w:color w:val="auto"/>
          <w:sz w:val="24"/>
          <w:szCs w:val="24"/>
        </w:rPr>
      </w:pPr>
      <w:r w:rsidRPr="006B5A59">
        <w:rPr>
          <w:rFonts w:eastAsia="Arial"/>
          <w:b/>
          <w:bCs/>
          <w:color w:val="auto"/>
          <w:sz w:val="24"/>
          <w:szCs w:val="24"/>
        </w:rPr>
        <w:t>3</w:t>
      </w:r>
      <w:r w:rsidRPr="006B5A59">
        <w:rPr>
          <w:rFonts w:eastAsia="Arial"/>
          <w:b/>
          <w:bCs/>
          <w:color w:val="auto"/>
          <w:sz w:val="24"/>
          <w:szCs w:val="24"/>
        </w:rPr>
        <w:tab/>
      </w:r>
      <w:r w:rsidR="00EF1995" w:rsidRPr="006B5A59">
        <w:rPr>
          <w:rFonts w:eastAsia="Arial"/>
          <w:b/>
          <w:bCs/>
          <w:color w:val="auto"/>
          <w:sz w:val="24"/>
          <w:szCs w:val="24"/>
        </w:rPr>
        <w:t xml:space="preserve">Brief outline of approach to embedding integrated, </w:t>
      </w:r>
      <w:r w:rsidR="00BE2AC7" w:rsidRPr="006B5A59">
        <w:rPr>
          <w:rFonts w:eastAsia="Arial"/>
          <w:b/>
          <w:bCs/>
          <w:color w:val="auto"/>
          <w:sz w:val="24"/>
          <w:szCs w:val="24"/>
        </w:rPr>
        <w:t>person-centred</w:t>
      </w:r>
      <w:r w:rsidR="00EF1995" w:rsidRPr="006B5A59">
        <w:rPr>
          <w:rFonts w:eastAsia="Arial"/>
          <w:b/>
          <w:bCs/>
          <w:color w:val="auto"/>
          <w:sz w:val="24"/>
          <w:szCs w:val="24"/>
        </w:rPr>
        <w:t xml:space="preserve"> health, social care and housing services including</w:t>
      </w:r>
    </w:p>
    <w:p w14:paraId="73D29E90" w14:textId="77777777" w:rsidR="00EF1995" w:rsidRPr="006B5A59" w:rsidRDefault="00EF1995" w:rsidP="006B5A59">
      <w:pPr>
        <w:pStyle w:val="Heading3"/>
        <w:numPr>
          <w:ilvl w:val="0"/>
          <w:numId w:val="34"/>
        </w:numPr>
        <w:rPr>
          <w:rFonts w:eastAsia="Arial"/>
          <w:color w:val="auto"/>
        </w:rPr>
      </w:pPr>
      <w:r w:rsidRPr="006B5A59">
        <w:rPr>
          <w:rFonts w:eastAsia="Arial"/>
          <w:color w:val="auto"/>
        </w:rPr>
        <w:t>Joint priorities for 2021-22</w:t>
      </w:r>
    </w:p>
    <w:p w14:paraId="7219E7B4" w14:textId="77777777" w:rsidR="00EF1995" w:rsidRPr="006B5A59" w:rsidRDefault="00EF1995" w:rsidP="006B5A59">
      <w:pPr>
        <w:pStyle w:val="Heading3"/>
        <w:numPr>
          <w:ilvl w:val="0"/>
          <w:numId w:val="34"/>
        </w:numPr>
        <w:rPr>
          <w:rFonts w:eastAsia="Arial"/>
          <w:color w:val="auto"/>
        </w:rPr>
      </w:pPr>
      <w:r w:rsidRPr="006B5A59">
        <w:rPr>
          <w:rFonts w:eastAsia="Arial"/>
          <w:color w:val="auto"/>
        </w:rPr>
        <w:t>Approaches to joint/collaborative commissioning</w:t>
      </w:r>
    </w:p>
    <w:p w14:paraId="46190BB9" w14:textId="77777777" w:rsidR="00EF1995" w:rsidRPr="006B5A59" w:rsidRDefault="00EF1995" w:rsidP="006B5A59">
      <w:pPr>
        <w:pStyle w:val="Heading3"/>
        <w:numPr>
          <w:ilvl w:val="0"/>
          <w:numId w:val="34"/>
        </w:numPr>
        <w:rPr>
          <w:rFonts w:eastAsia="Arial"/>
          <w:color w:val="auto"/>
        </w:rPr>
      </w:pPr>
      <w:r w:rsidRPr="006B5A59">
        <w:rPr>
          <w:rFonts w:eastAsia="Arial"/>
          <w:color w:val="auto"/>
        </w:rPr>
        <w:t>Overarching approach to supporting people to remain independent at home, including strengths-based approaches and person-centred care.</w:t>
      </w:r>
    </w:p>
    <w:p w14:paraId="2641E50D" w14:textId="2A851EBA" w:rsidR="00EF1995" w:rsidRPr="006B5A59" w:rsidRDefault="00EF1995" w:rsidP="006B5A59">
      <w:pPr>
        <w:pStyle w:val="Heading3"/>
        <w:numPr>
          <w:ilvl w:val="0"/>
          <w:numId w:val="34"/>
        </w:numPr>
        <w:rPr>
          <w:rFonts w:eastAsia="Arial"/>
          <w:color w:val="auto"/>
        </w:rPr>
      </w:pPr>
      <w:r w:rsidRPr="006B5A59">
        <w:rPr>
          <w:rFonts w:eastAsia="Arial"/>
          <w:color w:val="auto"/>
        </w:rPr>
        <w:t>How BCF funded services are supporting your approach to integration. Briefly describe any changes to the services you are commissioning through the BCF from 2020-21</w:t>
      </w:r>
    </w:p>
    <w:p w14:paraId="0D88E3D3" w14:textId="5798D198" w:rsidR="00753342" w:rsidRDefault="00753342" w:rsidP="00974AB6">
      <w:pPr>
        <w:spacing w:after="0" w:line="240" w:lineRule="auto"/>
        <w:rPr>
          <w:rFonts w:cstheme="minorHAnsi"/>
        </w:rPr>
      </w:pPr>
    </w:p>
    <w:p w14:paraId="6F27BDA2" w14:textId="1B4F8969" w:rsidR="00EF1995" w:rsidRPr="006B5A59" w:rsidRDefault="00753342" w:rsidP="006B5A59">
      <w:pPr>
        <w:pStyle w:val="Heading3"/>
        <w:numPr>
          <w:ilvl w:val="0"/>
          <w:numId w:val="35"/>
        </w:numPr>
        <w:rPr>
          <w:color w:val="auto"/>
          <w:sz w:val="22"/>
          <w:szCs w:val="22"/>
        </w:rPr>
      </w:pPr>
      <w:r w:rsidRPr="006B5A59">
        <w:rPr>
          <w:color w:val="auto"/>
          <w:sz w:val="22"/>
          <w:szCs w:val="22"/>
        </w:rPr>
        <w:t xml:space="preserve">Joint </w:t>
      </w:r>
      <w:r w:rsidR="00EF1995" w:rsidRPr="006B5A59">
        <w:rPr>
          <w:color w:val="auto"/>
          <w:sz w:val="22"/>
          <w:szCs w:val="22"/>
        </w:rPr>
        <w:t>Priorities</w:t>
      </w:r>
    </w:p>
    <w:p w14:paraId="13700F17" w14:textId="77777777" w:rsidR="00C533FE" w:rsidRPr="00974AB6" w:rsidRDefault="00C533FE" w:rsidP="00C533FE">
      <w:pPr>
        <w:spacing w:after="0" w:line="240" w:lineRule="auto"/>
        <w:rPr>
          <w:rFonts w:cstheme="minorHAnsi"/>
        </w:rPr>
      </w:pPr>
      <w:r>
        <w:rPr>
          <w:rFonts w:cstheme="minorHAnsi"/>
        </w:rPr>
        <w:t xml:space="preserve">This section of the plan sets out priorities and notes </w:t>
      </w:r>
      <w:proofErr w:type="gramStart"/>
      <w:r>
        <w:rPr>
          <w:rFonts w:cstheme="minorHAnsi"/>
        </w:rPr>
        <w:t>changes</w:t>
      </w:r>
      <w:proofErr w:type="gramEnd"/>
      <w:r>
        <w:rPr>
          <w:rFonts w:cstheme="minorHAnsi"/>
        </w:rPr>
        <w:t xml:space="preserve"> when compared with narrative offered in previous BCF plans.</w:t>
      </w:r>
    </w:p>
    <w:p w14:paraId="136DCF70" w14:textId="77777777" w:rsidR="00C533FE" w:rsidRDefault="00C533FE" w:rsidP="00974AB6">
      <w:pPr>
        <w:spacing w:after="0" w:line="240" w:lineRule="auto"/>
        <w:rPr>
          <w:rFonts w:cstheme="minorHAnsi"/>
        </w:rPr>
      </w:pPr>
    </w:p>
    <w:p w14:paraId="62A2D1DB" w14:textId="6F4A60BB" w:rsidR="00EF1995" w:rsidRDefault="00EF1995" w:rsidP="00974AB6">
      <w:pPr>
        <w:spacing w:after="0" w:line="240" w:lineRule="auto"/>
        <w:rPr>
          <w:rFonts w:cstheme="minorHAnsi"/>
        </w:rPr>
      </w:pPr>
      <w:r w:rsidRPr="00974AB6">
        <w:rPr>
          <w:rFonts w:cstheme="minorHAnsi"/>
        </w:rPr>
        <w:t xml:space="preserve">The Adult Strategy, which focuses on health and care services but seeks to influence wider services which support wellbeing, remains the backdrop for local prioritisation.  It sets out how the ambitions of the local </w:t>
      </w:r>
      <w:proofErr w:type="gramStart"/>
      <w:r w:rsidRPr="00974AB6">
        <w:rPr>
          <w:rFonts w:cstheme="minorHAnsi"/>
        </w:rPr>
        <w:t>outcomes</w:t>
      </w:r>
      <w:proofErr w:type="gramEnd"/>
      <w:r w:rsidRPr="00974AB6">
        <w:rPr>
          <w:rFonts w:cstheme="minorHAnsi"/>
        </w:rPr>
        <w:t xml:space="preserve"> framework, and place-based vision for health and wellbeing (also referenced in our previous BCF plans), can be delivered by adult services.  </w:t>
      </w:r>
    </w:p>
    <w:p w14:paraId="6BBCA3AE" w14:textId="3EE02B65" w:rsidR="00C533FE" w:rsidRDefault="00C533FE" w:rsidP="00974AB6">
      <w:pPr>
        <w:spacing w:after="0" w:line="240" w:lineRule="auto"/>
        <w:rPr>
          <w:rFonts w:cstheme="minorHAnsi"/>
        </w:rPr>
      </w:pPr>
    </w:p>
    <w:p w14:paraId="2EC32AF3" w14:textId="703B8A63" w:rsidR="009D7C30" w:rsidRPr="00974AB6" w:rsidRDefault="009D7C30" w:rsidP="00974AB6">
      <w:pPr>
        <w:spacing w:after="0" w:line="240" w:lineRule="auto"/>
        <w:rPr>
          <w:rFonts w:cstheme="minorHAnsi"/>
        </w:rPr>
      </w:pPr>
      <w:r w:rsidRPr="00974AB6">
        <w:rPr>
          <w:rFonts w:cstheme="minorHAnsi"/>
        </w:rPr>
        <w:t xml:space="preserve">Information and advice and the Single Point of Access (SPA) </w:t>
      </w:r>
    </w:p>
    <w:p w14:paraId="3569C276" w14:textId="6D23105C" w:rsidR="009D7C30" w:rsidRPr="00974AB6" w:rsidRDefault="009D7C30" w:rsidP="00974AB6">
      <w:pPr>
        <w:spacing w:after="0" w:line="240" w:lineRule="auto"/>
        <w:rPr>
          <w:rFonts w:cstheme="minorHAnsi"/>
        </w:rPr>
      </w:pPr>
      <w:r w:rsidRPr="00974AB6">
        <w:rPr>
          <w:rFonts w:cstheme="minorHAnsi"/>
        </w:rPr>
        <w:t xml:space="preserve">The launch of the Livewell site last year, which replaces services for me and now acts as our single point of information (referenced in our previous plan), enables professionals and local people to access low level support to help themselves.  </w:t>
      </w:r>
      <w:r w:rsidRPr="009D7C30">
        <w:rPr>
          <w:rFonts w:cstheme="minorHAnsi"/>
        </w:rPr>
        <w:t xml:space="preserve">The </w:t>
      </w:r>
      <w:r w:rsidRPr="00974AB6">
        <w:rPr>
          <w:rFonts w:cstheme="minorHAnsi"/>
        </w:rPr>
        <w:t xml:space="preserve">Livewell site </w:t>
      </w:r>
      <w:r w:rsidRPr="00974AB6">
        <w:rPr>
          <w:rFonts w:cstheme="minorHAnsi"/>
          <w:color w:val="363435"/>
        </w:rPr>
        <w:t xml:space="preserve">- </w:t>
      </w:r>
      <w:hyperlink r:id="rId8" w:history="1">
        <w:r w:rsidRPr="009D7C30">
          <w:rPr>
            <w:rFonts w:cstheme="minorHAnsi"/>
            <w:color w:val="0563C1" w:themeColor="hyperlink"/>
            <w:u w:val="single"/>
          </w:rPr>
          <w:t>https://livewell.nelincs.gov.uk/</w:t>
        </w:r>
      </w:hyperlink>
      <w:r w:rsidRPr="00974AB6">
        <w:rPr>
          <w:rFonts w:cstheme="minorHAnsi"/>
          <w:color w:val="0563C1" w:themeColor="hyperlink"/>
          <w:u w:val="single"/>
        </w:rPr>
        <w:t xml:space="preserve"> -</w:t>
      </w:r>
      <w:r w:rsidRPr="00974AB6">
        <w:rPr>
          <w:rFonts w:cstheme="minorHAnsi"/>
          <w:color w:val="363435"/>
        </w:rPr>
        <w:t xml:space="preserve"> </w:t>
      </w:r>
      <w:r w:rsidRPr="00974AB6">
        <w:rPr>
          <w:rFonts w:cstheme="minorHAnsi"/>
        </w:rPr>
        <w:t>will continue to be developed during this year.  To date it includes a self-assessment</w:t>
      </w:r>
      <w:r w:rsidRPr="009D7C30">
        <w:rPr>
          <w:rFonts w:cstheme="minorHAnsi"/>
        </w:rPr>
        <w:t xml:space="preserve"> tool which offers specific tailored advice or enables results to be sent to the SPA for telephone contact to be made.  In </w:t>
      </w:r>
      <w:r w:rsidRPr="00974AB6">
        <w:rPr>
          <w:rFonts w:cstheme="minorHAnsi"/>
        </w:rPr>
        <w:t>addition,</w:t>
      </w:r>
      <w:r w:rsidRPr="009D7C30">
        <w:rPr>
          <w:rFonts w:cstheme="minorHAnsi"/>
        </w:rPr>
        <w:t xml:space="preserve"> there are specific portals of information relating to dementia, sensory </w:t>
      </w:r>
      <w:proofErr w:type="gramStart"/>
      <w:r w:rsidRPr="009D7C30">
        <w:rPr>
          <w:rFonts w:cstheme="minorHAnsi"/>
        </w:rPr>
        <w:t>impairment</w:t>
      </w:r>
      <w:proofErr w:type="gramEnd"/>
      <w:r w:rsidRPr="009D7C30">
        <w:rPr>
          <w:rFonts w:cstheme="minorHAnsi"/>
        </w:rPr>
        <w:t xml:space="preserve"> and carers. </w:t>
      </w:r>
      <w:r w:rsidRPr="00974AB6">
        <w:rPr>
          <w:rFonts w:cstheme="minorHAnsi"/>
        </w:rPr>
        <w:t xml:space="preserve"> </w:t>
      </w:r>
      <w:r w:rsidRPr="009D7C30">
        <w:rPr>
          <w:rFonts w:cstheme="minorHAnsi"/>
        </w:rPr>
        <w:t xml:space="preserve">The </w:t>
      </w:r>
      <w:r w:rsidRPr="00974AB6">
        <w:rPr>
          <w:rFonts w:cstheme="minorHAnsi"/>
        </w:rPr>
        <w:t>L</w:t>
      </w:r>
      <w:r w:rsidRPr="009D7C30">
        <w:rPr>
          <w:rFonts w:cstheme="minorHAnsi"/>
        </w:rPr>
        <w:t xml:space="preserve">ivewell site is integrated with another </w:t>
      </w:r>
      <w:r w:rsidRPr="00974AB6">
        <w:rPr>
          <w:rFonts w:cstheme="minorHAnsi"/>
        </w:rPr>
        <w:t xml:space="preserve">digital </w:t>
      </w:r>
      <w:r w:rsidRPr="009D7C30">
        <w:rPr>
          <w:rFonts w:cstheme="minorHAnsi"/>
        </w:rPr>
        <w:t>platform</w:t>
      </w:r>
      <w:r w:rsidR="00407255" w:rsidRPr="00974AB6">
        <w:rPr>
          <w:rFonts w:cstheme="minorHAnsi"/>
        </w:rPr>
        <w:t xml:space="preserve">, Simply Connect - </w:t>
      </w:r>
      <w:r w:rsidRPr="009D7C30">
        <w:rPr>
          <w:rFonts w:cstheme="minorHAnsi"/>
        </w:rPr>
        <w:t xml:space="preserve"> </w:t>
      </w:r>
      <w:hyperlink r:id="rId9" w:history="1">
        <w:r w:rsidR="00407255" w:rsidRPr="00974AB6">
          <w:rPr>
            <w:rStyle w:val="Hyperlink"/>
            <w:rFonts w:cstheme="minorHAnsi"/>
          </w:rPr>
          <w:t>https://nelincs.simplyconnect.uk/</w:t>
        </w:r>
      </w:hyperlink>
      <w:r w:rsidR="00407255" w:rsidRPr="00974AB6">
        <w:rPr>
          <w:rFonts w:cstheme="minorHAnsi"/>
        </w:rPr>
        <w:t xml:space="preserve"> - </w:t>
      </w:r>
      <w:r w:rsidRPr="009D7C30">
        <w:rPr>
          <w:rFonts w:cstheme="minorHAnsi"/>
        </w:rPr>
        <w:t xml:space="preserve">offering advice and information </w:t>
      </w:r>
      <w:r w:rsidR="00407255" w:rsidRPr="00974AB6">
        <w:rPr>
          <w:rFonts w:cstheme="minorHAnsi"/>
        </w:rPr>
        <w:t>on</w:t>
      </w:r>
      <w:r w:rsidRPr="009D7C30">
        <w:rPr>
          <w:rFonts w:cstheme="minorHAnsi"/>
        </w:rPr>
        <w:t xml:space="preserve"> community resources</w:t>
      </w:r>
      <w:r w:rsidR="00A73C72" w:rsidRPr="00974AB6">
        <w:rPr>
          <w:rFonts w:cstheme="minorHAnsi"/>
        </w:rPr>
        <w:t xml:space="preserve"> and activities</w:t>
      </w:r>
      <w:r w:rsidR="00A27479" w:rsidRPr="00974AB6">
        <w:rPr>
          <w:rFonts w:cstheme="minorHAnsi"/>
        </w:rPr>
        <w:t xml:space="preserve"> such as ‘knit and natter’</w:t>
      </w:r>
      <w:r w:rsidR="00A73C72" w:rsidRPr="00974AB6">
        <w:rPr>
          <w:rFonts w:cstheme="minorHAnsi"/>
        </w:rPr>
        <w:t>.</w:t>
      </w:r>
    </w:p>
    <w:p w14:paraId="0BFFBDDA" w14:textId="77777777" w:rsidR="005C585E" w:rsidRDefault="005C585E" w:rsidP="00974AB6">
      <w:pPr>
        <w:spacing w:after="0" w:line="240" w:lineRule="auto"/>
        <w:rPr>
          <w:rFonts w:cstheme="minorHAnsi"/>
        </w:rPr>
      </w:pPr>
    </w:p>
    <w:p w14:paraId="6BD5FD60" w14:textId="77777777" w:rsidR="00986A89" w:rsidRDefault="009D7C30" w:rsidP="00974AB6">
      <w:pPr>
        <w:spacing w:after="0" w:line="240" w:lineRule="auto"/>
        <w:rPr>
          <w:rFonts w:cstheme="minorHAnsi"/>
        </w:rPr>
      </w:pPr>
      <w:r w:rsidRPr="00974AB6">
        <w:rPr>
          <w:rFonts w:cstheme="minorHAnsi"/>
        </w:rPr>
        <w:t xml:space="preserve">Our ‘front door’ is a focus for continuous improvement, building on efforts to assess the impact from engagement at the SPA.  </w:t>
      </w:r>
      <w:r w:rsidRPr="009D7C30">
        <w:rPr>
          <w:rFonts w:cstheme="minorHAnsi"/>
        </w:rPr>
        <w:t>The SPA continues to offer integrated health, mental health</w:t>
      </w:r>
      <w:r w:rsidR="00831116" w:rsidRPr="00974AB6">
        <w:rPr>
          <w:rFonts w:cstheme="minorHAnsi"/>
        </w:rPr>
        <w:t xml:space="preserve">, social care </w:t>
      </w:r>
      <w:r w:rsidRPr="009D7C30">
        <w:rPr>
          <w:rFonts w:cstheme="minorHAnsi"/>
        </w:rPr>
        <w:t xml:space="preserve">and therapy access for professionals and </w:t>
      </w:r>
      <w:r w:rsidR="00831116" w:rsidRPr="00974AB6">
        <w:rPr>
          <w:rFonts w:cstheme="minorHAnsi"/>
        </w:rPr>
        <w:t xml:space="preserve">the </w:t>
      </w:r>
      <w:r w:rsidRPr="009D7C30">
        <w:rPr>
          <w:rFonts w:cstheme="minorHAnsi"/>
        </w:rPr>
        <w:t xml:space="preserve">public within NEL.  It has </w:t>
      </w:r>
      <w:r w:rsidR="00831116" w:rsidRPr="00974AB6">
        <w:rPr>
          <w:rFonts w:cstheme="minorHAnsi"/>
        </w:rPr>
        <w:t>been pivotal</w:t>
      </w:r>
      <w:r w:rsidRPr="009D7C30">
        <w:rPr>
          <w:rFonts w:cstheme="minorHAnsi"/>
        </w:rPr>
        <w:t xml:space="preserve"> during the pandemic, working collaboratively with the </w:t>
      </w:r>
      <w:r w:rsidR="00831116" w:rsidRPr="00974AB6">
        <w:rPr>
          <w:rFonts w:cstheme="minorHAnsi"/>
        </w:rPr>
        <w:t>Council’s</w:t>
      </w:r>
      <w:r w:rsidRPr="009D7C30">
        <w:rPr>
          <w:rFonts w:cstheme="minorHAnsi"/>
        </w:rPr>
        <w:t xml:space="preserve"> contact centre, enabling co-ordinated </w:t>
      </w:r>
      <w:r w:rsidR="00831116" w:rsidRPr="00974AB6">
        <w:rPr>
          <w:rFonts w:cstheme="minorHAnsi"/>
        </w:rPr>
        <w:t>multi-disciplinary</w:t>
      </w:r>
      <w:r w:rsidRPr="009D7C30">
        <w:rPr>
          <w:rFonts w:cstheme="minorHAnsi"/>
        </w:rPr>
        <w:t xml:space="preserve"> responses to callers.</w:t>
      </w:r>
      <w:r w:rsidR="00831116" w:rsidRPr="00974AB6">
        <w:rPr>
          <w:rFonts w:cstheme="minorHAnsi"/>
        </w:rPr>
        <w:t xml:space="preserve">  </w:t>
      </w:r>
      <w:bookmarkStart w:id="0" w:name="_Hlk86406833"/>
      <w:r w:rsidRPr="009D7C30">
        <w:rPr>
          <w:rFonts w:cstheme="minorHAnsi"/>
        </w:rPr>
        <w:t xml:space="preserve">To date </w:t>
      </w:r>
      <w:r w:rsidR="00831116" w:rsidRPr="00974AB6">
        <w:rPr>
          <w:rFonts w:cstheme="minorHAnsi"/>
        </w:rPr>
        <w:t xml:space="preserve">in </w:t>
      </w:r>
      <w:r w:rsidRPr="009D7C30">
        <w:rPr>
          <w:rFonts w:cstheme="minorHAnsi"/>
        </w:rPr>
        <w:t>2021/22</w:t>
      </w:r>
      <w:r w:rsidR="00831116" w:rsidRPr="00974AB6">
        <w:rPr>
          <w:rFonts w:cstheme="minorHAnsi"/>
        </w:rPr>
        <w:t>,</w:t>
      </w:r>
      <w:r w:rsidRPr="009D7C30">
        <w:rPr>
          <w:rFonts w:cstheme="minorHAnsi"/>
        </w:rPr>
        <w:t xml:space="preserve"> calls have averaged at 13</w:t>
      </w:r>
      <w:r w:rsidR="00831116" w:rsidRPr="00974AB6">
        <w:rPr>
          <w:rFonts w:cstheme="minorHAnsi"/>
        </w:rPr>
        <w:t xml:space="preserve">, </w:t>
      </w:r>
      <w:r w:rsidRPr="009D7C30">
        <w:rPr>
          <w:rFonts w:cstheme="minorHAnsi"/>
        </w:rPr>
        <w:t>851 per month across all disciplines</w:t>
      </w:r>
      <w:r w:rsidR="00831116" w:rsidRPr="00974AB6">
        <w:rPr>
          <w:rFonts w:cstheme="minorHAnsi"/>
        </w:rPr>
        <w:t>:</w:t>
      </w:r>
      <w:r w:rsidRPr="009D7C30">
        <w:rPr>
          <w:rFonts w:cstheme="minorHAnsi"/>
        </w:rPr>
        <w:t xml:space="preserve"> an increase of approximately 11% from 2019/20</w:t>
      </w:r>
      <w:bookmarkEnd w:id="0"/>
      <w:r w:rsidR="00831116" w:rsidRPr="00974AB6">
        <w:rPr>
          <w:rFonts w:cstheme="minorHAnsi"/>
        </w:rPr>
        <w:t>.</w:t>
      </w:r>
    </w:p>
    <w:p w14:paraId="4106F342" w14:textId="42AEFFDF" w:rsidR="00A05C00" w:rsidRDefault="00A05C00" w:rsidP="00974AB6">
      <w:pPr>
        <w:spacing w:after="0" w:line="240" w:lineRule="auto"/>
        <w:rPr>
          <w:rFonts w:cstheme="minorHAnsi"/>
          <w:i/>
          <w:iCs/>
          <w:color w:val="FF0000"/>
        </w:rPr>
      </w:pPr>
    </w:p>
    <w:p w14:paraId="4E9AE022" w14:textId="14E24C25" w:rsidR="00A05C00" w:rsidRPr="00A05C00" w:rsidRDefault="00A05C00" w:rsidP="00974AB6">
      <w:pPr>
        <w:spacing w:after="0" w:line="240" w:lineRule="auto"/>
        <w:rPr>
          <w:rFonts w:cstheme="minorHAnsi"/>
          <w:i/>
          <w:iCs/>
        </w:rPr>
      </w:pPr>
      <w:bookmarkStart w:id="1" w:name="_Hlk85103208"/>
      <w:r w:rsidRPr="00A05C00">
        <w:rPr>
          <w:rFonts w:cstheme="minorHAnsi"/>
          <w:i/>
          <w:iCs/>
        </w:rPr>
        <w:t xml:space="preserve">Priority: ensure </w:t>
      </w:r>
      <w:r w:rsidR="00B1244C">
        <w:rPr>
          <w:rFonts w:cstheme="minorHAnsi"/>
          <w:i/>
          <w:iCs/>
        </w:rPr>
        <w:t>our integrated</w:t>
      </w:r>
      <w:r w:rsidRPr="00A05C00">
        <w:rPr>
          <w:rFonts w:cstheme="minorHAnsi"/>
          <w:i/>
          <w:iCs/>
        </w:rPr>
        <w:t xml:space="preserve"> information and advice offer</w:t>
      </w:r>
      <w:r w:rsidR="00B1244C">
        <w:rPr>
          <w:rFonts w:cstheme="minorHAnsi"/>
          <w:i/>
          <w:iCs/>
        </w:rPr>
        <w:t xml:space="preserve"> (Live Well)</w:t>
      </w:r>
      <w:r>
        <w:rPr>
          <w:rFonts w:cstheme="minorHAnsi"/>
          <w:i/>
          <w:iCs/>
        </w:rPr>
        <w:t>,</w:t>
      </w:r>
      <w:r w:rsidRPr="00A05C00">
        <w:rPr>
          <w:rFonts w:cstheme="minorHAnsi"/>
          <w:i/>
          <w:iCs/>
        </w:rPr>
        <w:t xml:space="preserve"> and engagement via the ‘front door’ (SPA)</w:t>
      </w:r>
      <w:r>
        <w:rPr>
          <w:rFonts w:cstheme="minorHAnsi"/>
          <w:i/>
          <w:iCs/>
        </w:rPr>
        <w:t>,</w:t>
      </w:r>
      <w:r w:rsidRPr="00A05C00">
        <w:rPr>
          <w:rFonts w:cstheme="minorHAnsi"/>
          <w:i/>
          <w:iCs/>
        </w:rPr>
        <w:t xml:space="preserve"> is person-centred, and focused on promoting independence.  </w:t>
      </w:r>
    </w:p>
    <w:bookmarkEnd w:id="1"/>
    <w:p w14:paraId="5FF6252C" w14:textId="00FCFF4D" w:rsidR="004F460B" w:rsidRDefault="004F460B" w:rsidP="00974AB6">
      <w:pPr>
        <w:spacing w:after="0" w:line="240" w:lineRule="auto"/>
        <w:rPr>
          <w:rFonts w:cstheme="minorHAnsi"/>
          <w:i/>
          <w:iCs/>
          <w:color w:val="FF0000"/>
        </w:rPr>
      </w:pPr>
    </w:p>
    <w:p w14:paraId="2B342AAF" w14:textId="77777777" w:rsidR="009055BD" w:rsidRDefault="009055BD" w:rsidP="00974AB6">
      <w:pPr>
        <w:spacing w:after="0" w:line="240" w:lineRule="auto"/>
        <w:rPr>
          <w:rFonts w:cstheme="minorHAnsi"/>
        </w:rPr>
      </w:pPr>
      <w:r>
        <w:rPr>
          <w:rFonts w:cstheme="minorHAnsi"/>
        </w:rPr>
        <w:t>Housing based help</w:t>
      </w:r>
    </w:p>
    <w:p w14:paraId="4833BE5B" w14:textId="34DA0665" w:rsidR="00235952" w:rsidRPr="00974AB6" w:rsidRDefault="00BB3E80" w:rsidP="00974AB6">
      <w:pPr>
        <w:spacing w:after="0" w:line="240" w:lineRule="auto"/>
        <w:rPr>
          <w:rFonts w:cstheme="minorHAnsi"/>
        </w:rPr>
      </w:pPr>
      <w:r w:rsidRPr="00974AB6">
        <w:rPr>
          <w:rFonts w:cstheme="minorHAnsi"/>
        </w:rPr>
        <w:t>Care home provision and s</w:t>
      </w:r>
      <w:r w:rsidR="00235952" w:rsidRPr="00974AB6">
        <w:rPr>
          <w:rFonts w:cstheme="minorHAnsi"/>
        </w:rPr>
        <w:t>upport to care homes</w:t>
      </w:r>
    </w:p>
    <w:p w14:paraId="697CFA8A" w14:textId="191EF64E" w:rsidR="00235952" w:rsidRPr="00974AB6" w:rsidRDefault="00235952" w:rsidP="00974AB6">
      <w:pPr>
        <w:pStyle w:val="ListParagraph"/>
        <w:spacing w:after="0" w:line="240" w:lineRule="auto"/>
        <w:ind w:left="0"/>
        <w:rPr>
          <w:rFonts w:cstheme="minorHAnsi"/>
        </w:rPr>
      </w:pPr>
      <w:r w:rsidRPr="00974AB6">
        <w:rPr>
          <w:rFonts w:cstheme="minorHAnsi"/>
        </w:rPr>
        <w:t xml:space="preserve">As a result </w:t>
      </w:r>
      <w:r w:rsidR="0068373E">
        <w:rPr>
          <w:rFonts w:cstheme="minorHAnsi"/>
        </w:rPr>
        <w:t xml:space="preserve">of </w:t>
      </w:r>
      <w:r w:rsidRPr="00974AB6">
        <w:rPr>
          <w:rFonts w:cstheme="minorHAnsi"/>
        </w:rPr>
        <w:t>the fall in demand for residential care during the pandemic our local market has weakened. Two care homes have closed, and one has temporarily closed in the interim, reducing the number of bedspaces by 96.</w:t>
      </w:r>
      <w:r w:rsidR="00416314" w:rsidRPr="00974AB6">
        <w:rPr>
          <w:rFonts w:cstheme="minorHAnsi"/>
        </w:rPr>
        <w:t xml:space="preserve"> </w:t>
      </w:r>
      <w:r w:rsidRPr="00974AB6">
        <w:rPr>
          <w:rFonts w:cstheme="minorHAnsi"/>
        </w:rPr>
        <w:t xml:space="preserve"> However, this still represents more places that are needed by commissioners.   We recognise the need to change our approach to care home commissioning and contracting. </w:t>
      </w:r>
      <w:r w:rsidR="00986A89">
        <w:rPr>
          <w:rFonts w:cstheme="minorHAnsi"/>
        </w:rPr>
        <w:t xml:space="preserve"> </w:t>
      </w:r>
      <w:r w:rsidRPr="00974AB6">
        <w:rPr>
          <w:rFonts w:cstheme="minorHAnsi"/>
        </w:rPr>
        <w:t xml:space="preserve">We will begin this process following the </w:t>
      </w:r>
      <w:r w:rsidR="00A05C00">
        <w:rPr>
          <w:rFonts w:cstheme="minorHAnsi"/>
        </w:rPr>
        <w:t>update</w:t>
      </w:r>
      <w:r w:rsidRPr="00974AB6">
        <w:rPr>
          <w:rFonts w:cstheme="minorHAnsi"/>
        </w:rPr>
        <w:t xml:space="preserve"> of the market position statement.</w:t>
      </w:r>
    </w:p>
    <w:p w14:paraId="0EC60F81" w14:textId="77777777" w:rsidR="00235952" w:rsidRPr="00974AB6" w:rsidRDefault="00235952" w:rsidP="00974AB6">
      <w:pPr>
        <w:pStyle w:val="ListParagraph"/>
        <w:spacing w:after="0" w:line="240" w:lineRule="auto"/>
        <w:ind w:left="0"/>
        <w:rPr>
          <w:rFonts w:cstheme="minorHAnsi"/>
        </w:rPr>
      </w:pPr>
    </w:p>
    <w:p w14:paraId="59A6DFCA" w14:textId="74909194" w:rsidR="00FA33A8" w:rsidRPr="00974AB6" w:rsidRDefault="00235952" w:rsidP="00974AB6">
      <w:pPr>
        <w:pStyle w:val="ListParagraph"/>
        <w:spacing w:after="0" w:line="240" w:lineRule="auto"/>
        <w:ind w:left="0"/>
        <w:rPr>
          <w:rFonts w:cstheme="minorHAnsi"/>
        </w:rPr>
      </w:pPr>
      <w:r w:rsidRPr="00974AB6">
        <w:rPr>
          <w:rFonts w:cstheme="minorHAnsi"/>
        </w:rPr>
        <w:t xml:space="preserve">We have made progress in </w:t>
      </w:r>
      <w:proofErr w:type="gramStart"/>
      <w:r w:rsidR="00C63272" w:rsidRPr="00974AB6">
        <w:rPr>
          <w:rFonts w:cstheme="minorHAnsi"/>
        </w:rPr>
        <w:t>a number of</w:t>
      </w:r>
      <w:proofErr w:type="gramEnd"/>
      <w:r w:rsidRPr="00974AB6">
        <w:rPr>
          <w:rFonts w:cstheme="minorHAnsi"/>
        </w:rPr>
        <w:t xml:space="preserve"> areas</w:t>
      </w:r>
      <w:r w:rsidR="00C63272" w:rsidRPr="00974AB6">
        <w:rPr>
          <w:rFonts w:cstheme="minorHAnsi"/>
        </w:rPr>
        <w:t xml:space="preserve">.  </w:t>
      </w:r>
      <w:r w:rsidRPr="00974AB6">
        <w:rPr>
          <w:rFonts w:cstheme="minorHAnsi"/>
        </w:rPr>
        <w:t xml:space="preserve">All </w:t>
      </w:r>
      <w:r w:rsidR="00986A89">
        <w:rPr>
          <w:rFonts w:cstheme="minorHAnsi"/>
        </w:rPr>
        <w:t xml:space="preserve">residential </w:t>
      </w:r>
      <w:r w:rsidRPr="00974AB6">
        <w:rPr>
          <w:rFonts w:cstheme="minorHAnsi"/>
        </w:rPr>
        <w:t>providers met the required contractual standards and are on the new rate i.e., the rate agreed via our cost of care exercise</w:t>
      </w:r>
      <w:r w:rsidR="00C63272" w:rsidRPr="00974AB6">
        <w:rPr>
          <w:rFonts w:cstheme="minorHAnsi"/>
        </w:rPr>
        <w:t xml:space="preserve">.  </w:t>
      </w:r>
      <w:r w:rsidR="00BB3E80" w:rsidRPr="00974AB6">
        <w:rPr>
          <w:rFonts w:eastAsia="Times New Roman" w:cstheme="minorHAnsi"/>
          <w:color w:val="000000"/>
          <w:lang w:eastAsia="en-GB"/>
        </w:rPr>
        <w:t>The capacity tracker and adult care dashboard provides up to date monitoring information and weekly webinars provide a discussion forum to clarify practice issues.</w:t>
      </w:r>
      <w:r w:rsidR="00D05DCB" w:rsidRPr="00974AB6">
        <w:rPr>
          <w:rFonts w:eastAsia="Times New Roman" w:cstheme="minorHAnsi"/>
          <w:color w:val="000000"/>
          <w:lang w:eastAsia="en-GB"/>
        </w:rPr>
        <w:t xml:space="preserve">  </w:t>
      </w:r>
      <w:r w:rsidR="00BB3E80" w:rsidRPr="00974AB6">
        <w:rPr>
          <w:rFonts w:eastAsia="Times New Roman" w:cstheme="minorHAnsi"/>
          <w:color w:val="000000"/>
          <w:lang w:eastAsia="en-GB"/>
        </w:rPr>
        <w:t>Weekly and sometimes daily contact is made with providers regarding on going assurance and advice via the contracts team.</w:t>
      </w:r>
    </w:p>
    <w:p w14:paraId="3F5E37B7" w14:textId="77777777" w:rsidR="005C585E" w:rsidRDefault="005C585E" w:rsidP="00974AB6">
      <w:pPr>
        <w:spacing w:after="0" w:line="240" w:lineRule="auto"/>
        <w:rPr>
          <w:rFonts w:eastAsia="Times New Roman" w:cstheme="minorHAnsi"/>
          <w:color w:val="000000"/>
          <w:lang w:eastAsia="en-GB"/>
        </w:rPr>
      </w:pPr>
    </w:p>
    <w:p w14:paraId="3AED91F1" w14:textId="53DBD31F" w:rsidR="00A06421" w:rsidRPr="00974AB6" w:rsidRDefault="00986A89" w:rsidP="00974AB6">
      <w:pPr>
        <w:spacing w:after="0" w:line="240" w:lineRule="auto"/>
        <w:rPr>
          <w:rFonts w:eastAsia="Times New Roman" w:cstheme="minorHAnsi"/>
          <w:color w:val="000000"/>
          <w:lang w:eastAsia="en-GB"/>
        </w:rPr>
      </w:pPr>
      <w:r w:rsidRPr="00974AB6">
        <w:rPr>
          <w:rFonts w:eastAsia="Times New Roman" w:cstheme="minorHAnsi"/>
          <w:color w:val="000000"/>
          <w:lang w:eastAsia="en-GB"/>
        </w:rPr>
        <w:t xml:space="preserve">Processes are established for regular review and assurance regarding all elements of support to care homes.  </w:t>
      </w:r>
      <w:r w:rsidR="00FA33A8" w:rsidRPr="00974AB6">
        <w:rPr>
          <w:rFonts w:eastAsia="Times New Roman" w:cstheme="minorHAnsi"/>
          <w:color w:val="000000"/>
          <w:lang w:eastAsia="en-GB"/>
        </w:rPr>
        <w:t xml:space="preserve">A working group </w:t>
      </w:r>
      <w:r w:rsidR="003E0B8F" w:rsidRPr="00974AB6">
        <w:rPr>
          <w:rFonts w:eastAsia="Times New Roman" w:cstheme="minorHAnsi"/>
          <w:color w:val="000000"/>
          <w:lang w:eastAsia="en-GB"/>
        </w:rPr>
        <w:t>is focused on</w:t>
      </w:r>
      <w:r w:rsidR="00FA33A8" w:rsidRPr="00974AB6">
        <w:rPr>
          <w:rFonts w:eastAsia="Times New Roman" w:cstheme="minorHAnsi"/>
          <w:color w:val="000000"/>
          <w:lang w:eastAsia="en-GB"/>
        </w:rPr>
        <w:t xml:space="preserve"> ensur</w:t>
      </w:r>
      <w:r w:rsidR="003E0B8F" w:rsidRPr="00974AB6">
        <w:rPr>
          <w:rFonts w:eastAsia="Times New Roman" w:cstheme="minorHAnsi"/>
          <w:color w:val="000000"/>
          <w:lang w:eastAsia="en-GB"/>
        </w:rPr>
        <w:t>ing</w:t>
      </w:r>
      <w:r w:rsidR="00FA33A8" w:rsidRPr="00974AB6">
        <w:rPr>
          <w:rFonts w:eastAsia="Times New Roman" w:cstheme="minorHAnsi"/>
          <w:color w:val="000000"/>
          <w:lang w:eastAsia="en-GB"/>
        </w:rPr>
        <w:t xml:space="preserve"> that multi-disciplinary support teams are engaging, via linked primary care networks and GPs</w:t>
      </w:r>
      <w:r w:rsidR="0068373E">
        <w:rPr>
          <w:rFonts w:eastAsia="Times New Roman" w:cstheme="minorHAnsi"/>
          <w:color w:val="000000"/>
          <w:lang w:eastAsia="en-GB"/>
        </w:rPr>
        <w:t>,</w:t>
      </w:r>
      <w:r w:rsidR="00FA33A8" w:rsidRPr="00974AB6">
        <w:rPr>
          <w:rFonts w:eastAsia="Times New Roman" w:cstheme="minorHAnsi"/>
          <w:color w:val="000000"/>
          <w:lang w:eastAsia="en-GB"/>
        </w:rPr>
        <w:t xml:space="preserve"> to ensure the best quality health and care delivery within settings. </w:t>
      </w:r>
      <w:r w:rsidR="00DA43B6" w:rsidRPr="00974AB6">
        <w:rPr>
          <w:rFonts w:eastAsia="Times New Roman" w:cstheme="minorHAnsi"/>
          <w:color w:val="000000"/>
          <w:lang w:eastAsia="en-GB"/>
        </w:rPr>
        <w:t xml:space="preserve">  </w:t>
      </w:r>
      <w:r w:rsidR="00DA43B6" w:rsidRPr="00974AB6">
        <w:rPr>
          <w:rFonts w:eastAsia="Times New Roman" w:cstheme="minorHAnsi"/>
          <w:lang w:eastAsia="en-GB"/>
        </w:rPr>
        <w:t xml:space="preserve">Part of this work will help homes to support people with more complex needs </w:t>
      </w:r>
      <w:r w:rsidR="002B3E12" w:rsidRPr="00974AB6">
        <w:rPr>
          <w:rFonts w:eastAsia="Times New Roman" w:cstheme="minorHAnsi"/>
          <w:lang w:eastAsia="en-GB"/>
        </w:rPr>
        <w:t>following</w:t>
      </w:r>
      <w:r w:rsidR="00DA43B6" w:rsidRPr="00974AB6">
        <w:rPr>
          <w:rFonts w:eastAsia="Times New Roman" w:cstheme="minorHAnsi"/>
          <w:lang w:eastAsia="en-GB"/>
        </w:rPr>
        <w:t xml:space="preserve"> discharge </w:t>
      </w:r>
      <w:r w:rsidR="002B3E12" w:rsidRPr="00974AB6">
        <w:rPr>
          <w:rFonts w:eastAsia="Times New Roman" w:cstheme="minorHAnsi"/>
          <w:lang w:eastAsia="en-GB"/>
        </w:rPr>
        <w:t xml:space="preserve">from hospital, </w:t>
      </w:r>
      <w:r w:rsidR="00DA43B6" w:rsidRPr="00974AB6">
        <w:rPr>
          <w:rFonts w:eastAsia="Times New Roman" w:cstheme="minorHAnsi"/>
          <w:lang w:eastAsia="en-GB"/>
        </w:rPr>
        <w:t xml:space="preserve">and some of the work will aim to prevent hospital admissions.  </w:t>
      </w:r>
    </w:p>
    <w:p w14:paraId="14B0E9B5" w14:textId="77777777" w:rsidR="00A06421" w:rsidRPr="00974AB6" w:rsidRDefault="00A06421" w:rsidP="00974AB6">
      <w:pPr>
        <w:spacing w:after="0" w:line="240" w:lineRule="auto"/>
        <w:rPr>
          <w:rFonts w:eastAsia="Times New Roman" w:cstheme="minorHAnsi"/>
          <w:color w:val="000000"/>
          <w:lang w:eastAsia="en-GB"/>
        </w:rPr>
      </w:pPr>
    </w:p>
    <w:p w14:paraId="4B2A9EDB" w14:textId="5C82578B" w:rsidR="00A06421" w:rsidRPr="00974AB6" w:rsidRDefault="00A06421" w:rsidP="00974AB6">
      <w:pPr>
        <w:spacing w:after="0" w:line="240" w:lineRule="auto"/>
        <w:rPr>
          <w:rFonts w:eastAsia="Times New Roman" w:cstheme="minorHAnsi"/>
          <w:color w:val="000000"/>
          <w:lang w:eastAsia="en-GB"/>
        </w:rPr>
      </w:pPr>
      <w:r w:rsidRPr="00974AB6">
        <w:rPr>
          <w:rFonts w:eastAsia="Times New Roman" w:cstheme="minorHAnsi"/>
          <w:lang w:eastAsia="en-GB"/>
        </w:rPr>
        <w:t xml:space="preserve">We provide an enhanced nursing support offer to care homes, as well as providing each home with training in </w:t>
      </w:r>
      <w:r w:rsidR="0068373E">
        <w:rPr>
          <w:rFonts w:eastAsia="Times New Roman" w:cstheme="minorHAnsi"/>
          <w:lang w:eastAsia="en-GB"/>
        </w:rPr>
        <w:t>infection control</w:t>
      </w:r>
      <w:r w:rsidRPr="00974AB6">
        <w:rPr>
          <w:rFonts w:eastAsia="Times New Roman" w:cstheme="minorHAnsi"/>
          <w:lang w:eastAsia="en-GB"/>
        </w:rPr>
        <w:t xml:space="preserve"> and use of PPE, followed up by regular contacts to maintain those skills.</w:t>
      </w:r>
      <w:r w:rsidR="00634A4D" w:rsidRPr="00974AB6">
        <w:rPr>
          <w:rFonts w:eastAsia="Times New Roman" w:cstheme="minorHAnsi"/>
          <w:lang w:eastAsia="en-GB"/>
        </w:rPr>
        <w:t xml:space="preserve">  C</w:t>
      </w:r>
      <w:r w:rsidR="00634A4D" w:rsidRPr="00974AB6">
        <w:rPr>
          <w:rFonts w:cstheme="minorHAnsi"/>
        </w:rPr>
        <w:t xml:space="preserve">are homes have been provided with equipment and training to undertake basic observations. </w:t>
      </w:r>
      <w:r w:rsidRPr="00974AB6">
        <w:rPr>
          <w:rFonts w:eastAsia="Times New Roman" w:cstheme="minorHAnsi"/>
          <w:lang w:eastAsia="en-GB"/>
        </w:rPr>
        <w:t xml:space="preserve"> </w:t>
      </w:r>
      <w:r w:rsidR="00686B5F" w:rsidRPr="00974AB6">
        <w:rPr>
          <w:rFonts w:eastAsia="Times New Roman" w:cstheme="minorHAnsi"/>
          <w:lang w:eastAsia="en-GB"/>
        </w:rPr>
        <w:t xml:space="preserve"> </w:t>
      </w:r>
      <w:r w:rsidRPr="00974AB6">
        <w:rPr>
          <w:rFonts w:eastAsia="Times New Roman" w:cstheme="minorHAnsi"/>
          <w:lang w:eastAsia="en-GB"/>
        </w:rPr>
        <w:t>We are also training care home staff to recognise deterioration in residents’ health</w:t>
      </w:r>
      <w:r w:rsidR="00686B5F" w:rsidRPr="00974AB6">
        <w:rPr>
          <w:rFonts w:eastAsia="Times New Roman" w:cstheme="minorHAnsi"/>
          <w:lang w:eastAsia="en-GB"/>
        </w:rPr>
        <w:t>, supported by</w:t>
      </w:r>
      <w:r w:rsidRPr="00974AB6">
        <w:rPr>
          <w:rFonts w:eastAsia="Times New Roman" w:cstheme="minorHAnsi"/>
          <w:lang w:eastAsia="en-GB"/>
        </w:rPr>
        <w:t xml:space="preserve"> a clear process for raising these concerns with the GP. </w:t>
      </w:r>
      <w:r w:rsidR="005F3F1D" w:rsidRPr="00974AB6">
        <w:rPr>
          <w:rFonts w:eastAsia="Times New Roman" w:cstheme="minorHAnsi"/>
          <w:lang w:eastAsia="en-GB"/>
        </w:rPr>
        <w:t xml:space="preserve"> </w:t>
      </w:r>
      <w:r w:rsidRPr="00974AB6">
        <w:rPr>
          <w:rFonts w:eastAsia="Times New Roman" w:cstheme="minorHAnsi"/>
          <w:lang w:eastAsia="en-GB"/>
        </w:rPr>
        <w:t>The CCG director of nursing leads on an area of the public health outbreak plan which focuses on the enhanced nursing offer to care homes and on nursing leadership in and out of hospital, as well as leading for the health and care executive across the whole system on workforce response during escalated COVID19 cases and how we support the system</w:t>
      </w:r>
      <w:r w:rsidR="0068373E">
        <w:rPr>
          <w:rFonts w:eastAsia="Times New Roman" w:cstheme="minorHAnsi"/>
          <w:lang w:eastAsia="en-GB"/>
        </w:rPr>
        <w:t>,</w:t>
      </w:r>
      <w:r w:rsidRPr="00974AB6">
        <w:rPr>
          <w:rFonts w:eastAsia="Times New Roman" w:cstheme="minorHAnsi"/>
          <w:lang w:eastAsia="en-GB"/>
        </w:rPr>
        <w:t xml:space="preserve"> including care homes.</w:t>
      </w:r>
    </w:p>
    <w:p w14:paraId="1CBEE428" w14:textId="77777777" w:rsidR="0096389B" w:rsidRPr="00974AB6" w:rsidRDefault="0096389B" w:rsidP="00974AB6">
      <w:pPr>
        <w:spacing w:after="0" w:line="240" w:lineRule="auto"/>
        <w:rPr>
          <w:rFonts w:cstheme="minorHAnsi"/>
        </w:rPr>
      </w:pPr>
    </w:p>
    <w:p w14:paraId="027D10E6" w14:textId="1831829C" w:rsidR="009953F6" w:rsidRPr="003325AE" w:rsidRDefault="006D22B3" w:rsidP="00974AB6">
      <w:pPr>
        <w:spacing w:after="0" w:line="240" w:lineRule="auto"/>
        <w:rPr>
          <w:rFonts w:cstheme="minorHAnsi"/>
        </w:rPr>
      </w:pPr>
      <w:bookmarkStart w:id="2" w:name="_Hlk85020013"/>
      <w:r>
        <w:rPr>
          <w:rFonts w:cstheme="minorHAnsi"/>
        </w:rPr>
        <w:t xml:space="preserve">It remains our intention, as set out in previous BCF plans, to progress extra care housing </w:t>
      </w:r>
      <w:r w:rsidR="003325AE">
        <w:rPr>
          <w:rFonts w:cstheme="minorHAnsi"/>
        </w:rPr>
        <w:t xml:space="preserve">(ECH) </w:t>
      </w:r>
      <w:r>
        <w:rPr>
          <w:rFonts w:cstheme="minorHAnsi"/>
        </w:rPr>
        <w:t>schemes</w:t>
      </w:r>
      <w:r w:rsidR="009055BD">
        <w:rPr>
          <w:rFonts w:cstheme="minorHAnsi"/>
        </w:rPr>
        <w:t xml:space="preserve"> as part of our accommodation with care offer</w:t>
      </w:r>
      <w:r>
        <w:rPr>
          <w:rFonts w:cstheme="minorHAnsi"/>
        </w:rPr>
        <w:t>.  Ou</w:t>
      </w:r>
      <w:r w:rsidR="003325AE">
        <w:rPr>
          <w:rFonts w:cstheme="minorHAnsi"/>
        </w:rPr>
        <w:t>r</w:t>
      </w:r>
      <w:r>
        <w:rPr>
          <w:rFonts w:cstheme="minorHAnsi"/>
        </w:rPr>
        <w:t xml:space="preserve"> plans to develop</w:t>
      </w:r>
      <w:r w:rsidR="003325AE">
        <w:rPr>
          <w:rFonts w:cstheme="minorHAnsi"/>
        </w:rPr>
        <w:t xml:space="preserve"> such schemes have generally been behind schedule, but are making progress, as follows</w:t>
      </w:r>
      <w:r w:rsidR="009953F6" w:rsidRPr="00974AB6">
        <w:rPr>
          <w:rFonts w:cstheme="minorHAnsi"/>
        </w:rPr>
        <w:t>:</w:t>
      </w:r>
    </w:p>
    <w:p w14:paraId="12FE09CB" w14:textId="66FB7C3A" w:rsidR="009953F6" w:rsidRPr="00974AB6" w:rsidRDefault="009953F6" w:rsidP="00974AB6">
      <w:pPr>
        <w:pStyle w:val="ListParagraph"/>
        <w:numPr>
          <w:ilvl w:val="1"/>
          <w:numId w:val="9"/>
        </w:numPr>
        <w:spacing w:after="0" w:line="240" w:lineRule="auto"/>
        <w:rPr>
          <w:rFonts w:cstheme="minorHAnsi"/>
          <w:b/>
        </w:rPr>
      </w:pPr>
      <w:proofErr w:type="spellStart"/>
      <w:r w:rsidRPr="00974AB6">
        <w:rPr>
          <w:rFonts w:cstheme="minorHAnsi"/>
        </w:rPr>
        <w:t>Burchester</w:t>
      </w:r>
      <w:proofErr w:type="spellEnd"/>
      <w:r w:rsidRPr="00974AB6">
        <w:rPr>
          <w:rFonts w:cstheme="minorHAnsi"/>
        </w:rPr>
        <w:t xml:space="preserve"> Court (Winchester Avenue) was completed during the </w:t>
      </w:r>
      <w:proofErr w:type="gramStart"/>
      <w:r w:rsidRPr="00974AB6">
        <w:rPr>
          <w:rFonts w:cstheme="minorHAnsi"/>
        </w:rPr>
        <w:t>pandemic</w:t>
      </w:r>
      <w:proofErr w:type="gramEnd"/>
      <w:r w:rsidRPr="00974AB6">
        <w:rPr>
          <w:rFonts w:cstheme="minorHAnsi"/>
        </w:rPr>
        <w:t xml:space="preserve"> and we successfully moved people in under COVID restrictions</w:t>
      </w:r>
      <w:r w:rsidR="00516AD5">
        <w:rPr>
          <w:rFonts w:cstheme="minorHAnsi"/>
        </w:rPr>
        <w:t>,</w:t>
      </w:r>
      <w:r w:rsidRPr="00974AB6">
        <w:rPr>
          <w:rFonts w:cstheme="minorHAnsi"/>
        </w:rPr>
        <w:t xml:space="preserve"> offering 60 further modern, adapted self-contained </w:t>
      </w:r>
      <w:r w:rsidR="009055BD">
        <w:rPr>
          <w:rFonts w:cstheme="minorHAnsi"/>
        </w:rPr>
        <w:t>units</w:t>
      </w:r>
      <w:r w:rsidR="00516AD5">
        <w:rPr>
          <w:rFonts w:cstheme="minorHAnsi"/>
        </w:rPr>
        <w:t>.  This means that we now have two fully functioning ECH schemes (the other scheme being Strang Court, previously reported on)</w:t>
      </w:r>
    </w:p>
    <w:p w14:paraId="36CA7A1B" w14:textId="1E8990A0" w:rsidR="009953F6" w:rsidRPr="00974AB6" w:rsidRDefault="009953F6" w:rsidP="00974AB6">
      <w:pPr>
        <w:pStyle w:val="ListParagraph"/>
        <w:numPr>
          <w:ilvl w:val="1"/>
          <w:numId w:val="9"/>
        </w:numPr>
        <w:spacing w:after="0" w:line="240" w:lineRule="auto"/>
        <w:rPr>
          <w:rFonts w:cstheme="minorHAnsi"/>
          <w:b/>
          <w:color w:val="FF0000"/>
        </w:rPr>
      </w:pPr>
      <w:r w:rsidRPr="00974AB6">
        <w:rPr>
          <w:rFonts w:cstheme="minorHAnsi"/>
        </w:rPr>
        <w:t xml:space="preserve">Davenport Drive (former Matthew </w:t>
      </w:r>
      <w:proofErr w:type="spellStart"/>
      <w:r w:rsidRPr="00974AB6">
        <w:rPr>
          <w:rFonts w:cstheme="minorHAnsi"/>
        </w:rPr>
        <w:t>Humberstone</w:t>
      </w:r>
      <w:proofErr w:type="spellEnd"/>
      <w:r w:rsidRPr="00974AB6">
        <w:rPr>
          <w:rFonts w:cstheme="minorHAnsi"/>
        </w:rPr>
        <w:t xml:space="preserve"> school site) </w:t>
      </w:r>
      <w:r w:rsidR="006D22B3">
        <w:rPr>
          <w:rFonts w:cstheme="minorHAnsi"/>
        </w:rPr>
        <w:t xml:space="preserve">– we are </w:t>
      </w:r>
      <w:r w:rsidRPr="00974AB6">
        <w:rPr>
          <w:rFonts w:cstheme="minorHAnsi"/>
        </w:rPr>
        <w:t>now grappling with the shape of the site and negotiations regarding the land value.</w:t>
      </w:r>
      <w:r w:rsidR="006D22B3">
        <w:rPr>
          <w:rFonts w:cstheme="minorHAnsi"/>
        </w:rPr>
        <w:t xml:space="preserve">  This scheme should offer between 70-90 further units</w:t>
      </w:r>
      <w:r w:rsidRPr="00974AB6">
        <w:rPr>
          <w:rFonts w:cstheme="minorHAnsi"/>
        </w:rPr>
        <w:t xml:space="preserve"> </w:t>
      </w:r>
    </w:p>
    <w:p w14:paraId="1F3F7E87" w14:textId="756A5D36" w:rsidR="00516AD5" w:rsidRPr="003B1CFF" w:rsidRDefault="006D22B3" w:rsidP="002E4631">
      <w:pPr>
        <w:pStyle w:val="ListParagraph"/>
        <w:numPr>
          <w:ilvl w:val="1"/>
          <w:numId w:val="9"/>
        </w:numPr>
        <w:spacing w:after="0" w:line="240" w:lineRule="auto"/>
        <w:rPr>
          <w:rFonts w:cstheme="minorHAnsi"/>
          <w:b/>
        </w:rPr>
      </w:pPr>
      <w:r>
        <w:t xml:space="preserve">Cambridge Road </w:t>
      </w:r>
      <w:r w:rsidRPr="003B1CFF">
        <w:rPr>
          <w:rFonts w:cstheme="minorHAnsi"/>
        </w:rPr>
        <w:t>(f</w:t>
      </w:r>
      <w:r w:rsidR="009953F6" w:rsidRPr="003B1CFF">
        <w:rPr>
          <w:rFonts w:cstheme="minorHAnsi"/>
        </w:rPr>
        <w:t>orme</w:t>
      </w:r>
      <w:r w:rsidR="003325AE" w:rsidRPr="003B1CFF">
        <w:rPr>
          <w:rFonts w:cstheme="minorHAnsi"/>
        </w:rPr>
        <w:t>r</w:t>
      </w:r>
      <w:r w:rsidR="009953F6" w:rsidRPr="003B1CFF">
        <w:rPr>
          <w:rFonts w:cstheme="minorHAnsi"/>
        </w:rPr>
        <w:t xml:space="preserve"> Western School site</w:t>
      </w:r>
      <w:r w:rsidRPr="003B1CFF">
        <w:rPr>
          <w:rFonts w:cstheme="minorHAnsi"/>
        </w:rPr>
        <w:t>)</w:t>
      </w:r>
      <w:r w:rsidR="009953F6" w:rsidRPr="003B1CFF">
        <w:rPr>
          <w:rFonts w:cstheme="minorHAnsi"/>
        </w:rPr>
        <w:t xml:space="preserve"> – site evaluation is starting.</w:t>
      </w:r>
      <w:r w:rsidRPr="003B1CFF">
        <w:rPr>
          <w:rFonts w:cstheme="minorHAnsi"/>
        </w:rPr>
        <w:t xml:space="preserve">  It is hoped this scheme will also offer between 70-90 further units.  </w:t>
      </w:r>
    </w:p>
    <w:p w14:paraId="0C86E791" w14:textId="77777777" w:rsidR="003B1CFF" w:rsidRPr="003B1CFF" w:rsidRDefault="003B1CFF" w:rsidP="003B1CFF">
      <w:pPr>
        <w:pStyle w:val="ListParagraph"/>
        <w:spacing w:after="0" w:line="240" w:lineRule="auto"/>
        <w:ind w:left="1080"/>
        <w:rPr>
          <w:rFonts w:cstheme="minorHAnsi"/>
          <w:b/>
        </w:rPr>
      </w:pPr>
    </w:p>
    <w:p w14:paraId="363F3B4E" w14:textId="4E63D079" w:rsidR="00516AD5" w:rsidRDefault="006D22B3" w:rsidP="00516AD5">
      <w:r>
        <w:t>B</w:t>
      </w:r>
      <w:r w:rsidR="00516AD5">
        <w:t xml:space="preserve">oth </w:t>
      </w:r>
      <w:r>
        <w:t>Davenport Drive and Cambridge Road</w:t>
      </w:r>
      <w:r w:rsidR="00516AD5">
        <w:t xml:space="preserve"> form part of wider housing development schemes by the </w:t>
      </w:r>
      <w:r>
        <w:t>C</w:t>
      </w:r>
      <w:r w:rsidR="00516AD5">
        <w:t xml:space="preserve">ouncil. </w:t>
      </w:r>
      <w:r>
        <w:t xml:space="preserve"> </w:t>
      </w:r>
      <w:r w:rsidR="00516AD5">
        <w:t>Agreement from Sports England has been granted (as these were both old school sites, with playing pitches) to use the land for ECH, and we are now seeking interested registered providers to act as housing provider; the</w:t>
      </w:r>
      <w:r>
        <w:t xml:space="preserve"> providers</w:t>
      </w:r>
      <w:r w:rsidR="00516AD5">
        <w:t xml:space="preserve"> will form part of the team that designs more detailed plans of the building</w:t>
      </w:r>
      <w:r>
        <w:t>s themselves</w:t>
      </w:r>
      <w:r w:rsidR="00516AD5">
        <w:t>.</w:t>
      </w:r>
      <w:r w:rsidR="003B1CFF">
        <w:t xml:space="preserve">  </w:t>
      </w:r>
    </w:p>
    <w:p w14:paraId="2B0EB1CA" w14:textId="77777777" w:rsidR="007D6B32" w:rsidRDefault="00A05C00" w:rsidP="00974AB6">
      <w:pPr>
        <w:spacing w:after="0" w:line="240" w:lineRule="auto"/>
        <w:rPr>
          <w:rFonts w:cstheme="minorHAnsi"/>
          <w:i/>
          <w:iCs/>
        </w:rPr>
      </w:pPr>
      <w:r w:rsidRPr="00A05C00">
        <w:rPr>
          <w:rFonts w:cstheme="minorHAnsi"/>
          <w:i/>
          <w:iCs/>
        </w:rPr>
        <w:t xml:space="preserve">Priority: ensure our </w:t>
      </w:r>
      <w:r w:rsidR="007D6B32">
        <w:rPr>
          <w:rFonts w:cstheme="minorHAnsi"/>
          <w:i/>
          <w:iCs/>
        </w:rPr>
        <w:t>housing-based</w:t>
      </w:r>
      <w:r>
        <w:rPr>
          <w:rFonts w:cstheme="minorHAnsi"/>
          <w:i/>
          <w:iCs/>
        </w:rPr>
        <w:t xml:space="preserve"> help offer is a) sustainable, b) </w:t>
      </w:r>
      <w:r w:rsidR="007D6B32">
        <w:rPr>
          <w:rFonts w:cstheme="minorHAnsi"/>
          <w:i/>
          <w:iCs/>
        </w:rPr>
        <w:t>supported by appropriate professional input,</w:t>
      </w:r>
      <w:r>
        <w:rPr>
          <w:rFonts w:cstheme="minorHAnsi"/>
          <w:i/>
          <w:iCs/>
        </w:rPr>
        <w:t xml:space="preserve"> c) sufficiently diverse to meet the needs of</w:t>
      </w:r>
      <w:r w:rsidR="007D6B32">
        <w:rPr>
          <w:rFonts w:cstheme="minorHAnsi"/>
          <w:i/>
          <w:iCs/>
        </w:rPr>
        <w:t xml:space="preserve"> local people and enable independence</w:t>
      </w:r>
      <w:r w:rsidRPr="00A05C00">
        <w:rPr>
          <w:rFonts w:cstheme="minorHAnsi"/>
          <w:i/>
          <w:iCs/>
        </w:rPr>
        <w:t>.</w:t>
      </w:r>
      <w:bookmarkEnd w:id="2"/>
    </w:p>
    <w:p w14:paraId="1686F8C5" w14:textId="77777777" w:rsidR="007D6B32" w:rsidRDefault="007D6B32" w:rsidP="00974AB6">
      <w:pPr>
        <w:spacing w:after="0" w:line="240" w:lineRule="auto"/>
        <w:rPr>
          <w:rFonts w:cstheme="minorHAnsi"/>
          <w:i/>
          <w:iCs/>
        </w:rPr>
      </w:pPr>
    </w:p>
    <w:p w14:paraId="01DC35CB" w14:textId="6DC76BFF" w:rsidR="00235952" w:rsidRPr="007D6B32" w:rsidRDefault="00235952" w:rsidP="00974AB6">
      <w:pPr>
        <w:spacing w:after="0" w:line="240" w:lineRule="auto"/>
        <w:rPr>
          <w:rFonts w:cstheme="minorHAnsi"/>
          <w:i/>
          <w:iCs/>
        </w:rPr>
      </w:pPr>
      <w:r w:rsidRPr="00974AB6">
        <w:rPr>
          <w:rFonts w:cstheme="minorHAnsi"/>
        </w:rPr>
        <w:t>Care at home</w:t>
      </w:r>
    </w:p>
    <w:p w14:paraId="4DC1F8FD" w14:textId="047C6C68" w:rsidR="00235952" w:rsidRPr="00974AB6" w:rsidRDefault="00235952" w:rsidP="00974AB6">
      <w:pPr>
        <w:spacing w:after="0" w:line="240" w:lineRule="auto"/>
        <w:rPr>
          <w:rFonts w:cstheme="minorHAnsi"/>
        </w:rPr>
      </w:pPr>
      <w:r w:rsidRPr="00974AB6">
        <w:rPr>
          <w:rFonts w:cstheme="minorHAnsi"/>
        </w:rPr>
        <w:t>We implemented our new support at home model based on “teams not times</w:t>
      </w:r>
      <w:r w:rsidR="009055BD">
        <w:rPr>
          <w:rFonts w:cstheme="minorHAnsi"/>
        </w:rPr>
        <w:t>”</w:t>
      </w:r>
      <w:r w:rsidRPr="00974AB6">
        <w:rPr>
          <w:rFonts w:cstheme="minorHAnsi"/>
        </w:rPr>
        <w:t xml:space="preserve"> and are developing the impact/</w:t>
      </w:r>
      <w:r w:rsidR="009055BD">
        <w:rPr>
          <w:rFonts w:cstheme="minorHAnsi"/>
        </w:rPr>
        <w:t xml:space="preserve"> </w:t>
      </w:r>
      <w:r w:rsidRPr="00974AB6">
        <w:rPr>
          <w:rFonts w:cstheme="minorHAnsi"/>
        </w:rPr>
        <w:t xml:space="preserve">user outcome measures as part of the planned work that followed the tendering process. </w:t>
      </w:r>
    </w:p>
    <w:p w14:paraId="4BC9B76D" w14:textId="77777777" w:rsidR="005C585E" w:rsidRDefault="005C585E" w:rsidP="00974AB6">
      <w:pPr>
        <w:pStyle w:val="ListParagraph"/>
        <w:spacing w:after="0" w:line="240" w:lineRule="auto"/>
        <w:ind w:left="0"/>
        <w:rPr>
          <w:rFonts w:cstheme="minorHAnsi"/>
        </w:rPr>
      </w:pPr>
    </w:p>
    <w:p w14:paraId="25B2E928" w14:textId="756744F2" w:rsidR="009055BD" w:rsidRPr="00974AB6" w:rsidRDefault="009055BD" w:rsidP="009055BD">
      <w:pPr>
        <w:spacing w:after="0" w:line="240" w:lineRule="auto"/>
        <w:rPr>
          <w:rFonts w:cstheme="minorHAnsi"/>
          <w:iCs/>
        </w:rPr>
      </w:pPr>
      <w:bookmarkStart w:id="3" w:name="_Hlk86406247"/>
      <w:r w:rsidRPr="00974AB6">
        <w:rPr>
          <w:rFonts w:cstheme="minorHAnsi"/>
          <w:iCs/>
        </w:rPr>
        <w:t xml:space="preserve">Evidence suggests that the just checking scheme – which offers additional flexibility to our care at home model - continues to offer cost avoidance by avoiding attendance at hospital, respite admission and unnecessary use of other community services.  This responsive service provides improved qualitative benefits for service users by being personally centred to their immediate needs.  Support at home staff benefit from the flexibility of being able to respond effectively to support the individual.  This service supports people who have multiple health and care needs when most in need of temporary support and don’t have alternative support available. </w:t>
      </w:r>
      <w:bookmarkEnd w:id="3"/>
      <w:r w:rsidR="008F0C2B">
        <w:rPr>
          <w:rFonts w:cstheme="minorHAnsi"/>
          <w:iCs/>
        </w:rPr>
        <w:t xml:space="preserve"> </w:t>
      </w:r>
      <w:r w:rsidRPr="00974AB6">
        <w:rPr>
          <w:rFonts w:cstheme="minorHAnsi"/>
          <w:iCs/>
        </w:rPr>
        <w:t xml:space="preserve">Building on the learning from just checking continues to inform ongoing development of our support at home model.  Through working differently with our support at home providers we make better use of the care and support staff working within the community and ensure that the service overall is more productive, focusing effort on outcomes rather than the traditional time and task model. </w:t>
      </w:r>
    </w:p>
    <w:p w14:paraId="426D8399" w14:textId="77777777" w:rsidR="009055BD" w:rsidRDefault="009055BD" w:rsidP="00974AB6">
      <w:pPr>
        <w:pStyle w:val="ListParagraph"/>
        <w:spacing w:after="0" w:line="240" w:lineRule="auto"/>
        <w:ind w:left="0"/>
        <w:rPr>
          <w:rFonts w:cstheme="minorHAnsi"/>
        </w:rPr>
      </w:pPr>
    </w:p>
    <w:p w14:paraId="220000AF" w14:textId="15CCE11E" w:rsidR="00235952" w:rsidRPr="00974AB6" w:rsidRDefault="00235952" w:rsidP="00974AB6">
      <w:pPr>
        <w:pStyle w:val="ListParagraph"/>
        <w:spacing w:after="0" w:line="240" w:lineRule="auto"/>
        <w:ind w:left="0"/>
        <w:rPr>
          <w:rFonts w:cstheme="minorHAnsi"/>
        </w:rPr>
      </w:pPr>
      <w:r w:rsidRPr="00974AB6">
        <w:rPr>
          <w:rFonts w:cstheme="minorHAnsi"/>
        </w:rPr>
        <w:t xml:space="preserve">During the pandemic, we were not successful in recruiting therapy support to enable us to progress our </w:t>
      </w:r>
      <w:r w:rsidR="009055BD">
        <w:rPr>
          <w:rFonts w:cstheme="minorHAnsi"/>
        </w:rPr>
        <w:t xml:space="preserve">accompanying </w:t>
      </w:r>
      <w:r w:rsidRPr="00974AB6">
        <w:rPr>
          <w:rFonts w:cstheme="minorHAnsi"/>
        </w:rPr>
        <w:t xml:space="preserve">single-handed care initiative. This is designed to improve the efficiency and effectiveness of care at home services, by reducing the number of calls reliant on two or more care workers. </w:t>
      </w:r>
      <w:r w:rsidR="008F0C2B">
        <w:rPr>
          <w:rFonts w:cstheme="minorHAnsi"/>
        </w:rPr>
        <w:t xml:space="preserve"> </w:t>
      </w:r>
      <w:r w:rsidRPr="00974AB6">
        <w:rPr>
          <w:rFonts w:cstheme="minorHAnsi"/>
        </w:rPr>
        <w:t xml:space="preserve">This enables more agile care rostering and improves services capacity and responsiveness. </w:t>
      </w:r>
      <w:r w:rsidR="009055BD">
        <w:rPr>
          <w:rFonts w:cstheme="minorHAnsi"/>
        </w:rPr>
        <w:t>We have recently</w:t>
      </w:r>
      <w:r w:rsidRPr="00974AB6">
        <w:rPr>
          <w:rFonts w:cstheme="minorHAnsi"/>
        </w:rPr>
        <w:t xml:space="preserve"> recruited </w:t>
      </w:r>
      <w:r w:rsidR="009055BD">
        <w:rPr>
          <w:rFonts w:cstheme="minorHAnsi"/>
        </w:rPr>
        <w:t xml:space="preserve">to </w:t>
      </w:r>
      <w:r w:rsidRPr="00974AB6">
        <w:rPr>
          <w:rFonts w:cstheme="minorHAnsi"/>
        </w:rPr>
        <w:t xml:space="preserve">the posts that are needed and will </w:t>
      </w:r>
      <w:r w:rsidR="009055BD">
        <w:rPr>
          <w:rFonts w:cstheme="minorHAnsi"/>
        </w:rPr>
        <w:t xml:space="preserve">now </w:t>
      </w:r>
      <w:r w:rsidRPr="00974AB6">
        <w:rPr>
          <w:rFonts w:cstheme="minorHAnsi"/>
        </w:rPr>
        <w:t>be able to progress this work.</w:t>
      </w:r>
    </w:p>
    <w:p w14:paraId="14B3B531" w14:textId="77777777" w:rsidR="0096389B" w:rsidRPr="00974AB6" w:rsidRDefault="0096389B" w:rsidP="00974AB6">
      <w:pPr>
        <w:spacing w:after="0" w:line="240" w:lineRule="auto"/>
        <w:rPr>
          <w:rFonts w:cstheme="minorHAnsi"/>
        </w:rPr>
      </w:pPr>
    </w:p>
    <w:p w14:paraId="32E02BD2" w14:textId="14F29B8F" w:rsidR="0096389B" w:rsidRDefault="009055BD" w:rsidP="00974AB6">
      <w:pPr>
        <w:spacing w:after="0" w:line="240" w:lineRule="auto"/>
        <w:rPr>
          <w:rFonts w:cstheme="minorHAnsi"/>
        </w:rPr>
      </w:pPr>
      <w:r>
        <w:rPr>
          <w:rFonts w:cstheme="minorHAnsi"/>
        </w:rPr>
        <w:t>The care at home market is currently experienc</w:t>
      </w:r>
      <w:r w:rsidR="00150820">
        <w:rPr>
          <w:rFonts w:cstheme="minorHAnsi"/>
        </w:rPr>
        <w:t>ing</w:t>
      </w:r>
      <w:r>
        <w:rPr>
          <w:rFonts w:cstheme="minorHAnsi"/>
        </w:rPr>
        <w:t xml:space="preserve"> multiple, nationally well-rehearsed challenges.  However, our intention remains to</w:t>
      </w:r>
      <w:r w:rsidR="0096389B" w:rsidRPr="00974AB6">
        <w:rPr>
          <w:rFonts w:cstheme="minorHAnsi"/>
        </w:rPr>
        <w:t xml:space="preserve"> deliver an enhanced service</w:t>
      </w:r>
      <w:r w:rsidR="00150820">
        <w:rPr>
          <w:rFonts w:cstheme="minorHAnsi"/>
        </w:rPr>
        <w:t xml:space="preserve"> as well as</w:t>
      </w:r>
      <w:r w:rsidR="0096389B" w:rsidRPr="00974AB6">
        <w:rPr>
          <w:rFonts w:cstheme="minorHAnsi"/>
        </w:rPr>
        <w:t xml:space="preserve"> additional capacity in our care at home service to ensure a </w:t>
      </w:r>
      <w:r w:rsidR="00150820">
        <w:rPr>
          <w:rFonts w:cstheme="minorHAnsi"/>
        </w:rPr>
        <w:t>‘</w:t>
      </w:r>
      <w:r w:rsidR="0096389B" w:rsidRPr="00974AB6">
        <w:rPr>
          <w:rFonts w:cstheme="minorHAnsi"/>
        </w:rPr>
        <w:t>home first</w:t>
      </w:r>
      <w:r w:rsidR="00150820">
        <w:rPr>
          <w:rFonts w:cstheme="minorHAnsi"/>
        </w:rPr>
        <w:t>’</w:t>
      </w:r>
      <w:r w:rsidR="0096389B" w:rsidRPr="00974AB6">
        <w:rPr>
          <w:rFonts w:cstheme="minorHAnsi"/>
        </w:rPr>
        <w:t xml:space="preserve"> approach, reduce the reliance on short stay residential placements and protect and preserve the more limited reablement bed-based capacity. </w:t>
      </w:r>
    </w:p>
    <w:p w14:paraId="0A68E139" w14:textId="52C3A3FE" w:rsidR="00B1244C" w:rsidRDefault="00B1244C" w:rsidP="00974AB6">
      <w:pPr>
        <w:spacing w:after="0" w:line="240" w:lineRule="auto"/>
        <w:rPr>
          <w:rFonts w:cstheme="minorHAnsi"/>
        </w:rPr>
      </w:pPr>
    </w:p>
    <w:p w14:paraId="36773B1D" w14:textId="23783AF2" w:rsidR="00B1244C" w:rsidRDefault="00B1244C" w:rsidP="00974AB6">
      <w:pPr>
        <w:spacing w:after="0" w:line="240" w:lineRule="auto"/>
        <w:rPr>
          <w:rFonts w:cstheme="minorHAnsi"/>
          <w:i/>
          <w:iCs/>
        </w:rPr>
      </w:pPr>
      <w:r w:rsidRPr="00B1244C">
        <w:rPr>
          <w:rFonts w:cstheme="minorHAnsi"/>
          <w:i/>
          <w:iCs/>
        </w:rPr>
        <w:t xml:space="preserve">Priority: </w:t>
      </w:r>
      <w:r w:rsidR="00150820">
        <w:rPr>
          <w:rFonts w:cstheme="minorHAnsi"/>
          <w:i/>
          <w:iCs/>
        </w:rPr>
        <w:t xml:space="preserve">appropriately resource and </w:t>
      </w:r>
      <w:r w:rsidRPr="00B1244C">
        <w:rPr>
          <w:rFonts w:cstheme="minorHAnsi"/>
          <w:i/>
          <w:iCs/>
        </w:rPr>
        <w:t>embed new support at home model to ensure personalisation</w:t>
      </w:r>
      <w:r w:rsidR="00097855">
        <w:rPr>
          <w:rFonts w:cstheme="minorHAnsi"/>
          <w:i/>
          <w:iCs/>
        </w:rPr>
        <w:t xml:space="preserve"> </w:t>
      </w:r>
      <w:r w:rsidRPr="00B1244C">
        <w:rPr>
          <w:rFonts w:cstheme="minorHAnsi"/>
          <w:i/>
          <w:iCs/>
        </w:rPr>
        <w:t xml:space="preserve">and promotion of independence is </w:t>
      </w:r>
      <w:r>
        <w:rPr>
          <w:rFonts w:cstheme="minorHAnsi"/>
          <w:i/>
          <w:iCs/>
        </w:rPr>
        <w:t>maximised</w:t>
      </w:r>
      <w:r w:rsidR="008F0C2B">
        <w:rPr>
          <w:rFonts w:cstheme="minorHAnsi"/>
          <w:i/>
          <w:iCs/>
        </w:rPr>
        <w:t xml:space="preserve"> (evaluated using Making it Real Framework)</w:t>
      </w:r>
      <w:r w:rsidRPr="00B1244C">
        <w:rPr>
          <w:rFonts w:cstheme="minorHAnsi"/>
          <w:i/>
          <w:iCs/>
        </w:rPr>
        <w:t xml:space="preserve">.  </w:t>
      </w:r>
    </w:p>
    <w:p w14:paraId="1CF1957E" w14:textId="77777777" w:rsidR="00097855" w:rsidRPr="00B1244C" w:rsidRDefault="00097855" w:rsidP="00974AB6">
      <w:pPr>
        <w:spacing w:after="0" w:line="240" w:lineRule="auto"/>
        <w:rPr>
          <w:rFonts w:cstheme="minorHAnsi"/>
          <w:i/>
          <w:iCs/>
        </w:rPr>
      </w:pPr>
    </w:p>
    <w:p w14:paraId="6E85BA46" w14:textId="0AD80A7E" w:rsidR="00EF1995" w:rsidRPr="00974AB6" w:rsidRDefault="009953F6" w:rsidP="00974AB6">
      <w:pPr>
        <w:spacing w:after="0" w:line="240" w:lineRule="auto"/>
        <w:rPr>
          <w:rFonts w:cstheme="minorHAnsi"/>
        </w:rPr>
      </w:pPr>
      <w:r w:rsidRPr="00974AB6">
        <w:rPr>
          <w:rFonts w:cstheme="minorHAnsi"/>
        </w:rPr>
        <w:t>Reablement</w:t>
      </w:r>
    </w:p>
    <w:p w14:paraId="02794F45" w14:textId="567A0FC2" w:rsidR="005506FC" w:rsidRPr="00974AB6" w:rsidRDefault="00A44876" w:rsidP="00974AB6">
      <w:pPr>
        <w:spacing w:after="0" w:line="240" w:lineRule="auto"/>
        <w:contextualSpacing/>
        <w:rPr>
          <w:rFonts w:cstheme="minorHAnsi"/>
        </w:rPr>
      </w:pPr>
      <w:r w:rsidRPr="00974AB6">
        <w:rPr>
          <w:rFonts w:cstheme="minorHAnsi"/>
        </w:rPr>
        <w:t>Creating a</w:t>
      </w:r>
      <w:r w:rsidRPr="00A77685">
        <w:rPr>
          <w:rFonts w:cstheme="minorHAnsi"/>
        </w:rPr>
        <w:t>dditional reablement capacity (step up/step down)</w:t>
      </w:r>
      <w:r w:rsidRPr="00974AB6">
        <w:rPr>
          <w:rFonts w:cstheme="minorHAnsi"/>
        </w:rPr>
        <w:t xml:space="preserve"> </w:t>
      </w:r>
      <w:r w:rsidR="00B123B3" w:rsidRPr="00974AB6">
        <w:rPr>
          <w:rFonts w:cstheme="minorHAnsi"/>
        </w:rPr>
        <w:t>remains a focus of activity during 2021/22.  Plans</w:t>
      </w:r>
      <w:r w:rsidRPr="00A77685">
        <w:rPr>
          <w:rFonts w:cstheme="minorHAnsi"/>
        </w:rPr>
        <w:t xml:space="preserve"> to bolster bed availability at Cambridge Park and intermediate care at home </w:t>
      </w:r>
      <w:r w:rsidR="00B123B3" w:rsidRPr="00974AB6">
        <w:rPr>
          <w:rFonts w:cstheme="minorHAnsi"/>
        </w:rPr>
        <w:t xml:space="preserve">are </w:t>
      </w:r>
      <w:r w:rsidR="00F5650F" w:rsidRPr="00974AB6">
        <w:rPr>
          <w:rFonts w:cstheme="minorHAnsi"/>
        </w:rPr>
        <w:t>especially challenging, as both</w:t>
      </w:r>
      <w:r w:rsidRPr="00A77685">
        <w:rPr>
          <w:rFonts w:cstheme="minorHAnsi"/>
        </w:rPr>
        <w:t xml:space="preserve"> services have lacked staff capacity for a prolonged period.</w:t>
      </w:r>
    </w:p>
    <w:p w14:paraId="4CF08D4E" w14:textId="77777777" w:rsidR="005506FC" w:rsidRPr="00974AB6" w:rsidRDefault="005506FC" w:rsidP="00974AB6">
      <w:pPr>
        <w:spacing w:after="0" w:line="240" w:lineRule="auto"/>
        <w:contextualSpacing/>
        <w:rPr>
          <w:rFonts w:cstheme="minorHAnsi"/>
        </w:rPr>
      </w:pPr>
    </w:p>
    <w:p w14:paraId="0D8F10BF" w14:textId="136E75C0" w:rsidR="009953F6" w:rsidRPr="00974AB6" w:rsidRDefault="009953F6" w:rsidP="00974AB6">
      <w:pPr>
        <w:spacing w:after="0" w:line="240" w:lineRule="auto"/>
        <w:contextualSpacing/>
        <w:rPr>
          <w:rFonts w:cstheme="minorHAnsi"/>
        </w:rPr>
      </w:pPr>
      <w:r w:rsidRPr="00974AB6">
        <w:rPr>
          <w:rFonts w:cstheme="minorHAnsi"/>
          <w:bCs/>
        </w:rPr>
        <w:t xml:space="preserve">Cambridge Park </w:t>
      </w:r>
      <w:r w:rsidR="00D96AF5">
        <w:rPr>
          <w:rFonts w:eastAsia="Times New Roman"/>
        </w:rPr>
        <w:t>enhanced recovery unit</w:t>
      </w:r>
      <w:r w:rsidR="00D96AF5" w:rsidRPr="00974AB6">
        <w:rPr>
          <w:rFonts w:cstheme="minorHAnsi"/>
          <w:bCs/>
        </w:rPr>
        <w:t xml:space="preserve"> </w:t>
      </w:r>
      <w:r w:rsidRPr="00974AB6">
        <w:rPr>
          <w:rFonts w:cstheme="minorHAnsi"/>
          <w:bCs/>
        </w:rPr>
        <w:t xml:space="preserve">was commissioned during the pandemic in 2020 to provide </w:t>
      </w:r>
      <w:r w:rsidRPr="005141AA">
        <w:rPr>
          <w:rFonts w:cstheme="minorHAnsi"/>
          <w:bCs/>
        </w:rPr>
        <w:t>5</w:t>
      </w:r>
      <w:r w:rsidR="00B45B2E" w:rsidRPr="005141AA">
        <w:rPr>
          <w:rFonts w:cstheme="minorHAnsi"/>
          <w:bCs/>
        </w:rPr>
        <w:t xml:space="preserve">0 </w:t>
      </w:r>
      <w:r w:rsidRPr="005141AA">
        <w:rPr>
          <w:rFonts w:cstheme="minorHAnsi"/>
          <w:bCs/>
        </w:rPr>
        <w:t>b</w:t>
      </w:r>
      <w:r w:rsidRPr="00974AB6">
        <w:rPr>
          <w:rFonts w:cstheme="minorHAnsi"/>
          <w:bCs/>
        </w:rPr>
        <w:t xml:space="preserve">eds to replace the smaller and outdated facilities at the Beacons (intermediate </w:t>
      </w:r>
      <w:r w:rsidR="00E8340B" w:rsidRPr="00974AB6">
        <w:rPr>
          <w:rFonts w:cstheme="minorHAnsi"/>
          <w:bCs/>
        </w:rPr>
        <w:t xml:space="preserve">care/ </w:t>
      </w:r>
      <w:r w:rsidR="00BC2465">
        <w:rPr>
          <w:rFonts w:cstheme="minorHAnsi"/>
          <w:bCs/>
        </w:rPr>
        <w:t>discharge to assess</w:t>
      </w:r>
      <w:r w:rsidR="00E8340B" w:rsidRPr="00974AB6">
        <w:rPr>
          <w:rFonts w:cstheme="minorHAnsi"/>
          <w:bCs/>
        </w:rPr>
        <w:t xml:space="preserve"> </w:t>
      </w:r>
      <w:r w:rsidRPr="00974AB6">
        <w:rPr>
          <w:rFonts w:cstheme="minorHAnsi"/>
          <w:bCs/>
        </w:rPr>
        <w:t>setting).</w:t>
      </w:r>
      <w:r w:rsidR="00C3592A" w:rsidRPr="00974AB6">
        <w:rPr>
          <w:rFonts w:cstheme="minorHAnsi"/>
          <w:bCs/>
        </w:rPr>
        <w:t xml:space="preserve">  We </w:t>
      </w:r>
      <w:r w:rsidRPr="00974AB6">
        <w:rPr>
          <w:rFonts w:cstheme="minorHAnsi"/>
          <w:bCs/>
        </w:rPr>
        <w:t xml:space="preserve">intend to widen the scope of services to accommodate new needs such as </w:t>
      </w:r>
      <w:r w:rsidR="000A0FCC" w:rsidRPr="004B72A6">
        <w:rPr>
          <w:rFonts w:cstheme="minorHAnsi"/>
          <w:bCs/>
        </w:rPr>
        <w:t xml:space="preserve">plus size </w:t>
      </w:r>
      <w:r w:rsidRPr="004B72A6">
        <w:rPr>
          <w:rFonts w:cstheme="minorHAnsi"/>
          <w:bCs/>
        </w:rPr>
        <w:t xml:space="preserve">care and improve stroke recovery.  Cambridge Park has not yet operated at full capacity </w:t>
      </w:r>
      <w:r w:rsidRPr="00974AB6">
        <w:rPr>
          <w:rFonts w:cstheme="minorHAnsi"/>
          <w:bCs/>
        </w:rPr>
        <w:t xml:space="preserve">and </w:t>
      </w:r>
      <w:r w:rsidR="00213678">
        <w:rPr>
          <w:rFonts w:cstheme="minorHAnsi"/>
          <w:bCs/>
        </w:rPr>
        <w:t xml:space="preserve">due to limitations during the pandemic in being able to recruit and retain </w:t>
      </w:r>
      <w:proofErr w:type="gramStart"/>
      <w:r w:rsidR="00213678">
        <w:rPr>
          <w:rFonts w:cstheme="minorHAnsi"/>
          <w:bCs/>
        </w:rPr>
        <w:t>a number of</w:t>
      </w:r>
      <w:proofErr w:type="gramEnd"/>
      <w:r w:rsidR="00213678">
        <w:rPr>
          <w:rFonts w:cstheme="minorHAnsi"/>
          <w:bCs/>
        </w:rPr>
        <w:t xml:space="preserve"> suitably qualified staff</w:t>
      </w:r>
      <w:r w:rsidRPr="00974AB6">
        <w:rPr>
          <w:rFonts w:cstheme="minorHAnsi"/>
          <w:bCs/>
        </w:rPr>
        <w:t xml:space="preserve">, building suitability, outbreaks and most recently a CQC </w:t>
      </w:r>
      <w:r w:rsidR="00097855">
        <w:rPr>
          <w:rFonts w:cstheme="minorHAnsi"/>
          <w:bCs/>
        </w:rPr>
        <w:t>report requiring further improvements to be made</w:t>
      </w:r>
      <w:r w:rsidRPr="00974AB6">
        <w:rPr>
          <w:rFonts w:cstheme="minorHAnsi"/>
          <w:bCs/>
        </w:rPr>
        <w:t xml:space="preserve">.  The site is currently offering </w:t>
      </w:r>
      <w:r w:rsidR="000A0FCC" w:rsidRPr="006B0CC1">
        <w:rPr>
          <w:rFonts w:cstheme="minorHAnsi"/>
          <w:bCs/>
        </w:rPr>
        <w:t>3</w:t>
      </w:r>
      <w:r w:rsidRPr="006B0CC1">
        <w:rPr>
          <w:rFonts w:cstheme="minorHAnsi"/>
          <w:bCs/>
        </w:rPr>
        <w:t>2</w:t>
      </w:r>
      <w:r w:rsidRPr="00974AB6">
        <w:rPr>
          <w:rFonts w:cstheme="minorHAnsi"/>
          <w:bCs/>
        </w:rPr>
        <w:t xml:space="preserve"> rehab beds.</w:t>
      </w:r>
    </w:p>
    <w:p w14:paraId="12474D85" w14:textId="77777777" w:rsidR="005C585E" w:rsidRDefault="005C585E" w:rsidP="00974AB6">
      <w:pPr>
        <w:spacing w:after="0" w:line="240" w:lineRule="auto"/>
        <w:rPr>
          <w:rFonts w:cstheme="minorHAnsi"/>
          <w:bCs/>
        </w:rPr>
      </w:pPr>
    </w:p>
    <w:p w14:paraId="77ECFEEE" w14:textId="68F0CDFF" w:rsidR="00D90740" w:rsidRDefault="0078672A" w:rsidP="00D90740">
      <w:pPr>
        <w:spacing w:after="0" w:line="240" w:lineRule="auto"/>
      </w:pPr>
      <w:r>
        <w:t>T</w:t>
      </w:r>
      <w:r w:rsidR="00D90740">
        <w:t>he reablement improvement programme will run over several years</w:t>
      </w:r>
      <w:r>
        <w:t>;</w:t>
      </w:r>
      <w:r w:rsidR="00D90740">
        <w:t xml:space="preserve"> the priorities </w:t>
      </w:r>
      <w:proofErr w:type="gramStart"/>
      <w:r w:rsidR="00D90740">
        <w:t>include;</w:t>
      </w:r>
      <w:proofErr w:type="gramEnd"/>
    </w:p>
    <w:p w14:paraId="59FCDD2E" w14:textId="35722593" w:rsidR="00D90740" w:rsidRDefault="00D90740" w:rsidP="00D90740">
      <w:pPr>
        <w:pStyle w:val="ListParagraph"/>
        <w:numPr>
          <w:ilvl w:val="0"/>
          <w:numId w:val="20"/>
        </w:numPr>
        <w:spacing w:after="0" w:line="240" w:lineRule="auto"/>
        <w:contextualSpacing w:val="0"/>
        <w:rPr>
          <w:rFonts w:eastAsia="Times New Roman"/>
        </w:rPr>
      </w:pPr>
      <w:r>
        <w:rPr>
          <w:rFonts w:eastAsia="Times New Roman"/>
        </w:rPr>
        <w:t xml:space="preserve">Increasing the capacity within our </w:t>
      </w:r>
      <w:r w:rsidR="00D96AF5">
        <w:rPr>
          <w:rFonts w:eastAsia="Times New Roman"/>
        </w:rPr>
        <w:t xml:space="preserve">intermediate care </w:t>
      </w:r>
      <w:r w:rsidR="0078672A">
        <w:rPr>
          <w:rFonts w:eastAsia="Times New Roman"/>
        </w:rPr>
        <w:t>bed-based</w:t>
      </w:r>
      <w:r>
        <w:rPr>
          <w:rFonts w:eastAsia="Times New Roman"/>
        </w:rPr>
        <w:t xml:space="preserve"> facility (Cambridge Park</w:t>
      </w:r>
      <w:r w:rsidR="00D96AF5">
        <w:rPr>
          <w:rFonts w:eastAsia="Times New Roman"/>
        </w:rPr>
        <w:t>, as above</w:t>
      </w:r>
      <w:r>
        <w:rPr>
          <w:rFonts w:eastAsia="Times New Roman"/>
        </w:rPr>
        <w:t>)</w:t>
      </w:r>
    </w:p>
    <w:p w14:paraId="54BE1D21" w14:textId="4BE1FD10" w:rsidR="00D90740" w:rsidRDefault="00D90740" w:rsidP="00D90740">
      <w:pPr>
        <w:pStyle w:val="ListParagraph"/>
        <w:numPr>
          <w:ilvl w:val="0"/>
          <w:numId w:val="20"/>
        </w:numPr>
        <w:spacing w:after="0" w:line="240" w:lineRule="auto"/>
        <w:contextualSpacing w:val="0"/>
        <w:rPr>
          <w:rFonts w:eastAsia="Times New Roman"/>
        </w:rPr>
      </w:pPr>
      <w:r>
        <w:rPr>
          <w:rFonts w:eastAsia="Times New Roman"/>
        </w:rPr>
        <w:t xml:space="preserve">Enhancing the offer within intermediate care to include enhanced nursing functions for </w:t>
      </w:r>
      <w:r w:rsidR="0078672A">
        <w:rPr>
          <w:rFonts w:eastAsia="Times New Roman"/>
        </w:rPr>
        <w:t>e.g.,</w:t>
      </w:r>
      <w:r>
        <w:rPr>
          <w:rFonts w:eastAsia="Times New Roman"/>
        </w:rPr>
        <w:t xml:space="preserve"> </w:t>
      </w:r>
      <w:r w:rsidR="00D96AF5">
        <w:rPr>
          <w:rFonts w:eastAsia="Times New Roman"/>
        </w:rPr>
        <w:t>intravenous</w:t>
      </w:r>
      <w:r>
        <w:rPr>
          <w:rFonts w:eastAsia="Times New Roman"/>
        </w:rPr>
        <w:t xml:space="preserve"> therapy </w:t>
      </w:r>
    </w:p>
    <w:p w14:paraId="1C7058A7" w14:textId="77777777" w:rsidR="00D90740" w:rsidRDefault="00D90740" w:rsidP="00D90740">
      <w:pPr>
        <w:pStyle w:val="ListParagraph"/>
        <w:numPr>
          <w:ilvl w:val="0"/>
          <w:numId w:val="20"/>
        </w:numPr>
        <w:spacing w:after="0" w:line="240" w:lineRule="auto"/>
        <w:contextualSpacing w:val="0"/>
        <w:rPr>
          <w:rFonts w:eastAsia="Times New Roman"/>
        </w:rPr>
      </w:pPr>
      <w:r>
        <w:rPr>
          <w:rFonts w:eastAsia="Times New Roman"/>
        </w:rPr>
        <w:t>Block booking additional enhanced recovery beds to support discharge and avoidable admissions  </w:t>
      </w:r>
    </w:p>
    <w:p w14:paraId="1D05B418" w14:textId="7405D31E" w:rsidR="00D90740" w:rsidRDefault="00D90740" w:rsidP="00D90740">
      <w:pPr>
        <w:pStyle w:val="ListParagraph"/>
        <w:numPr>
          <w:ilvl w:val="0"/>
          <w:numId w:val="20"/>
        </w:numPr>
        <w:spacing w:after="0" w:line="240" w:lineRule="auto"/>
        <w:contextualSpacing w:val="0"/>
        <w:rPr>
          <w:rFonts w:eastAsia="Times New Roman"/>
        </w:rPr>
      </w:pPr>
      <w:r>
        <w:rPr>
          <w:rFonts w:eastAsia="Times New Roman"/>
        </w:rPr>
        <w:t xml:space="preserve">Reviewing the demand and complexity of need for </w:t>
      </w:r>
      <w:r w:rsidR="00D96AF5">
        <w:rPr>
          <w:rFonts w:eastAsia="Times New Roman"/>
        </w:rPr>
        <w:t xml:space="preserve">intermediate care at </w:t>
      </w:r>
      <w:r>
        <w:rPr>
          <w:rFonts w:eastAsia="Times New Roman"/>
        </w:rPr>
        <w:t>home provision compared with capacity and developing a model fit for the future</w:t>
      </w:r>
    </w:p>
    <w:p w14:paraId="7EDAC3BF" w14:textId="77777777" w:rsidR="00D90740" w:rsidRDefault="00D90740" w:rsidP="00D90740">
      <w:pPr>
        <w:pStyle w:val="ListParagraph"/>
        <w:numPr>
          <w:ilvl w:val="0"/>
          <w:numId w:val="20"/>
        </w:numPr>
        <w:spacing w:after="0" w:line="240" w:lineRule="auto"/>
        <w:contextualSpacing w:val="0"/>
        <w:rPr>
          <w:rFonts w:eastAsia="Times New Roman"/>
        </w:rPr>
      </w:pPr>
      <w:r>
        <w:rPr>
          <w:rFonts w:eastAsia="Times New Roman"/>
        </w:rPr>
        <w:t>Creating a re-</w:t>
      </w:r>
      <w:proofErr w:type="spellStart"/>
      <w:r>
        <w:rPr>
          <w:rFonts w:eastAsia="Times New Roman"/>
        </w:rPr>
        <w:t>ablement</w:t>
      </w:r>
      <w:proofErr w:type="spellEnd"/>
      <w:r>
        <w:rPr>
          <w:rFonts w:eastAsia="Times New Roman"/>
        </w:rPr>
        <w:t xml:space="preserve"> culture across NEL</w:t>
      </w:r>
    </w:p>
    <w:p w14:paraId="29947E15" w14:textId="4BBE50D3" w:rsidR="00D90740" w:rsidRDefault="00D90740" w:rsidP="00D90740">
      <w:pPr>
        <w:pStyle w:val="ListParagraph"/>
        <w:numPr>
          <w:ilvl w:val="0"/>
          <w:numId w:val="20"/>
        </w:numPr>
        <w:spacing w:after="0" w:line="240" w:lineRule="auto"/>
        <w:contextualSpacing w:val="0"/>
        <w:rPr>
          <w:rFonts w:eastAsia="Times New Roman"/>
        </w:rPr>
      </w:pPr>
      <w:r>
        <w:rPr>
          <w:rFonts w:eastAsia="Times New Roman"/>
        </w:rPr>
        <w:t>Launching the singlehanded care initiative</w:t>
      </w:r>
      <w:r w:rsidR="00D96AF5">
        <w:rPr>
          <w:rFonts w:eastAsia="Times New Roman"/>
        </w:rPr>
        <w:t xml:space="preserve"> (see care at home section above).</w:t>
      </w:r>
      <w:r>
        <w:rPr>
          <w:rFonts w:eastAsia="Times New Roman"/>
        </w:rPr>
        <w:t xml:space="preserve"> </w:t>
      </w:r>
    </w:p>
    <w:p w14:paraId="44821B85" w14:textId="40B5C3AC" w:rsidR="009953F6" w:rsidRPr="00974AB6" w:rsidRDefault="009953F6" w:rsidP="00974AB6">
      <w:pPr>
        <w:spacing w:after="0" w:line="240" w:lineRule="auto"/>
        <w:rPr>
          <w:rFonts w:cstheme="minorHAnsi"/>
          <w:bCs/>
        </w:rPr>
      </w:pPr>
    </w:p>
    <w:p w14:paraId="3650B20C" w14:textId="6B50C0EB" w:rsidR="00D96AF5" w:rsidRDefault="00D90740" w:rsidP="00D96AF5">
      <w:pPr>
        <w:spacing w:after="0" w:line="240" w:lineRule="auto"/>
        <w:rPr>
          <w:rFonts w:cstheme="minorHAnsi"/>
        </w:rPr>
      </w:pPr>
      <w:r w:rsidRPr="00974AB6">
        <w:rPr>
          <w:rFonts w:cstheme="minorHAnsi"/>
          <w:bCs/>
        </w:rPr>
        <w:t>Community re-</w:t>
      </w:r>
      <w:proofErr w:type="spellStart"/>
      <w:r w:rsidRPr="00974AB6">
        <w:rPr>
          <w:rFonts w:cstheme="minorHAnsi"/>
          <w:bCs/>
        </w:rPr>
        <w:t>ablement</w:t>
      </w:r>
      <w:proofErr w:type="spellEnd"/>
      <w:r w:rsidRPr="00974AB6">
        <w:rPr>
          <w:rFonts w:cstheme="minorHAnsi"/>
          <w:bCs/>
        </w:rPr>
        <w:t xml:space="preserve"> support is also an ICP priorit</w:t>
      </w:r>
      <w:r w:rsidR="00D96AF5">
        <w:rPr>
          <w:rFonts w:cstheme="minorHAnsi"/>
          <w:bCs/>
        </w:rPr>
        <w:t>y</w:t>
      </w:r>
      <w:r w:rsidRPr="00974AB6">
        <w:rPr>
          <w:rFonts w:cstheme="minorHAnsi"/>
          <w:bCs/>
        </w:rPr>
        <w:t xml:space="preserve">. </w:t>
      </w:r>
      <w:r w:rsidR="0078672A">
        <w:rPr>
          <w:rFonts w:cstheme="minorHAnsi"/>
          <w:bCs/>
        </w:rPr>
        <w:t xml:space="preserve"> </w:t>
      </w:r>
      <w:r w:rsidRPr="00974AB6">
        <w:rPr>
          <w:rFonts w:cstheme="minorHAnsi"/>
          <w:bCs/>
        </w:rPr>
        <w:t>An early discussion has been held to identify project management arrangements and agree support to deliver the programme of work.</w:t>
      </w:r>
      <w:r>
        <w:rPr>
          <w:rFonts w:cstheme="minorHAnsi"/>
          <w:bCs/>
        </w:rPr>
        <w:t xml:space="preserve">  </w:t>
      </w:r>
    </w:p>
    <w:p w14:paraId="233DC149" w14:textId="77777777" w:rsidR="00D96AF5" w:rsidRDefault="00D96AF5" w:rsidP="00D96AF5">
      <w:pPr>
        <w:spacing w:after="0" w:line="240" w:lineRule="auto"/>
        <w:rPr>
          <w:rFonts w:cstheme="minorHAnsi"/>
        </w:rPr>
      </w:pPr>
    </w:p>
    <w:p w14:paraId="4755455B" w14:textId="1C514519" w:rsidR="00D96AF5" w:rsidRDefault="00CA5BC3" w:rsidP="00D96AF5">
      <w:pPr>
        <w:spacing w:after="0" w:line="240" w:lineRule="auto"/>
      </w:pPr>
      <w:r>
        <w:t xml:space="preserve">The Council and CCG have been working with the Assisted Living Centre (ALC) to improve the performance dashboard and financial monitoring of the service. </w:t>
      </w:r>
      <w:r w:rsidR="0078672A">
        <w:t xml:space="preserve"> </w:t>
      </w:r>
      <w:r>
        <w:t xml:space="preserve">The service has moved onto a new version of the BEST system which will allow for easier reporting and monitoring of the service. </w:t>
      </w:r>
      <w:r w:rsidR="0078672A">
        <w:t xml:space="preserve"> </w:t>
      </w:r>
      <w:r>
        <w:t xml:space="preserve">Work has progressed to explore the equipment required to support the single-handed care agenda and provision has been made available within the service to support this. </w:t>
      </w:r>
      <w:r w:rsidR="0078672A">
        <w:t xml:space="preserve"> </w:t>
      </w:r>
      <w:r>
        <w:t xml:space="preserve">The ALC continued to deliver aids for daily living and wheelchairs to meet need throughout the pandemic. </w:t>
      </w:r>
      <w:r w:rsidR="0078672A">
        <w:t xml:space="preserve"> </w:t>
      </w:r>
      <w:r>
        <w:t xml:space="preserve">Work recently commenced to improve the out of hours repairs service, </w:t>
      </w:r>
      <w:r w:rsidR="0078672A">
        <w:t xml:space="preserve">and </w:t>
      </w:r>
      <w:r>
        <w:t>a new provider has been commissioned.  Work will continue during this year to ensure the specification is fit for purpose and that the KPIS demonstrate the service quality and delivery of user outcomes.  </w:t>
      </w:r>
    </w:p>
    <w:p w14:paraId="74D49025" w14:textId="19AAC0E6" w:rsidR="0078672A" w:rsidRDefault="0078672A" w:rsidP="00D96AF5">
      <w:pPr>
        <w:spacing w:after="0" w:line="240" w:lineRule="auto"/>
      </w:pPr>
    </w:p>
    <w:p w14:paraId="46B6E8EF" w14:textId="25D9AF53" w:rsidR="0078672A" w:rsidRPr="0078672A" w:rsidRDefault="0078672A" w:rsidP="00D96AF5">
      <w:pPr>
        <w:spacing w:after="0" w:line="240" w:lineRule="auto"/>
        <w:rPr>
          <w:i/>
          <w:iCs/>
        </w:rPr>
      </w:pPr>
      <w:r w:rsidRPr="0078672A">
        <w:rPr>
          <w:i/>
          <w:iCs/>
        </w:rPr>
        <w:t>Priority: ensure effective delivery of reablement provision and wider services which support it (e.g., the ALC)</w:t>
      </w:r>
      <w:r>
        <w:rPr>
          <w:i/>
          <w:iCs/>
        </w:rPr>
        <w:t>, whilst working to embed a ‘reablement culture’ across all levels and types of support.</w:t>
      </w:r>
    </w:p>
    <w:p w14:paraId="2920B297" w14:textId="3C2A8C4D" w:rsidR="00CA5BC3" w:rsidRPr="00D96AF5" w:rsidRDefault="00CA5BC3" w:rsidP="00D96AF5">
      <w:pPr>
        <w:spacing w:after="0" w:line="240" w:lineRule="auto"/>
        <w:rPr>
          <w:rFonts w:cstheme="minorHAnsi"/>
        </w:rPr>
      </w:pPr>
      <w:r>
        <w:t xml:space="preserve"> </w:t>
      </w:r>
    </w:p>
    <w:p w14:paraId="1A01AFAE" w14:textId="066BCA81" w:rsidR="00F33992" w:rsidRPr="00974AB6" w:rsidRDefault="00F33992" w:rsidP="00974AB6">
      <w:pPr>
        <w:spacing w:after="0" w:line="240" w:lineRule="auto"/>
        <w:rPr>
          <w:rFonts w:cstheme="minorHAnsi"/>
        </w:rPr>
      </w:pPr>
      <w:r w:rsidRPr="00974AB6">
        <w:rPr>
          <w:rFonts w:cstheme="minorHAnsi"/>
        </w:rPr>
        <w:t>VCSE</w:t>
      </w:r>
      <w:r w:rsidR="00150820">
        <w:rPr>
          <w:rFonts w:cstheme="minorHAnsi"/>
        </w:rPr>
        <w:t xml:space="preserve"> (voluntary, community and social enterprise)</w:t>
      </w:r>
    </w:p>
    <w:p w14:paraId="75264203" w14:textId="37C9E572" w:rsidR="00CA5BC3" w:rsidRPr="00974AB6" w:rsidRDefault="00C438B7" w:rsidP="00CA5BC3">
      <w:pPr>
        <w:spacing w:after="0" w:line="240" w:lineRule="auto"/>
        <w:rPr>
          <w:rFonts w:cstheme="minorHAnsi"/>
        </w:rPr>
      </w:pPr>
      <w:r>
        <w:rPr>
          <w:rFonts w:cstheme="minorHAnsi"/>
        </w:rPr>
        <w:t>Joint working with the voluntary sector has been crucial in meeting local need throughout the pandemic.  Building on that, w</w:t>
      </w:r>
      <w:r w:rsidR="00F33992" w:rsidRPr="00974AB6">
        <w:rPr>
          <w:rFonts w:cstheme="minorHAnsi"/>
        </w:rPr>
        <w:t xml:space="preserve">e are working closely with the sector to ensure that the wellbeing hub (Connect NEL) development is part of our preventative offer.  The wellbeing hub will enable signposting to sources of support and will focus on stimulating community action and involvement to prevent loneliness and social isolation. There is scope for this to be an all-age approach. </w:t>
      </w:r>
      <w:r w:rsidR="00CA5BC3">
        <w:rPr>
          <w:rFonts w:cstheme="minorHAnsi"/>
        </w:rPr>
        <w:t xml:space="preserve"> </w:t>
      </w:r>
      <w:r w:rsidR="00CA5BC3" w:rsidRPr="00974AB6">
        <w:rPr>
          <w:rFonts w:cstheme="minorHAnsi"/>
          <w:color w:val="242424"/>
          <w:shd w:val="clear" w:color="auto" w:fill="FFFFFF"/>
        </w:rPr>
        <w:t xml:space="preserve">We estimate that </w:t>
      </w:r>
      <w:r w:rsidR="00CA5BC3" w:rsidRPr="00974AB6">
        <w:rPr>
          <w:rFonts w:cstheme="minorHAnsi"/>
        </w:rPr>
        <w:t>for every £1 spent, £12 in costs to the system can be avoided</w:t>
      </w:r>
      <w:r w:rsidR="00CA5BC3">
        <w:rPr>
          <w:rFonts w:cstheme="minorHAnsi"/>
        </w:rPr>
        <w:t>.</w:t>
      </w:r>
    </w:p>
    <w:p w14:paraId="731FC7A3" w14:textId="57BF7216" w:rsidR="00F33992" w:rsidRPr="00974AB6" w:rsidRDefault="00F33992" w:rsidP="00974AB6">
      <w:pPr>
        <w:spacing w:after="0" w:line="240" w:lineRule="auto"/>
        <w:rPr>
          <w:rFonts w:cstheme="minorHAnsi"/>
        </w:rPr>
      </w:pPr>
    </w:p>
    <w:p w14:paraId="177D9798" w14:textId="451CF016" w:rsidR="008477C6" w:rsidRPr="00974AB6" w:rsidRDefault="005647AD" w:rsidP="00974AB6">
      <w:pPr>
        <w:keepNext/>
        <w:keepLines/>
        <w:spacing w:after="0" w:line="240" w:lineRule="auto"/>
        <w:outlineLvl w:val="0"/>
        <w:rPr>
          <w:rFonts w:cstheme="minorHAnsi"/>
        </w:rPr>
      </w:pPr>
      <w:r w:rsidRPr="00974AB6">
        <w:rPr>
          <w:rFonts w:cstheme="minorHAnsi"/>
        </w:rPr>
        <w:t>This year</w:t>
      </w:r>
      <w:r w:rsidR="0011409C" w:rsidRPr="00974AB6">
        <w:rPr>
          <w:rFonts w:cstheme="minorHAnsi"/>
        </w:rPr>
        <w:t xml:space="preserve"> </w:t>
      </w:r>
      <w:r w:rsidRPr="00974AB6">
        <w:rPr>
          <w:rFonts w:cstheme="minorHAnsi"/>
        </w:rPr>
        <w:t>the Preventative Services Market Development Board (PSMDB) has continued to develop a</w:t>
      </w:r>
      <w:r w:rsidR="00D154B0" w:rsidRPr="00974AB6">
        <w:rPr>
          <w:rFonts w:cstheme="minorHAnsi"/>
        </w:rPr>
        <w:t xml:space="preserve">n </w:t>
      </w:r>
      <w:r w:rsidRPr="00974AB6">
        <w:rPr>
          <w:rFonts w:cstheme="minorHAnsi"/>
        </w:rPr>
        <w:t xml:space="preserve">approach to the development of </w:t>
      </w:r>
      <w:r w:rsidR="00150820">
        <w:rPr>
          <w:rFonts w:cstheme="minorHAnsi"/>
        </w:rPr>
        <w:t>community-based</w:t>
      </w:r>
      <w:r w:rsidR="00307617">
        <w:rPr>
          <w:rFonts w:cstheme="minorHAnsi"/>
        </w:rPr>
        <w:t xml:space="preserve"> </w:t>
      </w:r>
      <w:r w:rsidRPr="00974AB6">
        <w:rPr>
          <w:rFonts w:cstheme="minorHAnsi"/>
        </w:rPr>
        <w:t xml:space="preserve">initiatives that can impact health and social care issues, based on the success of previously funded projects. </w:t>
      </w:r>
      <w:r w:rsidR="00EC3ADE" w:rsidRPr="00974AB6">
        <w:rPr>
          <w:rFonts w:cstheme="minorHAnsi"/>
        </w:rPr>
        <w:t xml:space="preserve"> The PSMDB has</w:t>
      </w:r>
      <w:r w:rsidRPr="00974AB6">
        <w:rPr>
          <w:rFonts w:cstheme="minorHAnsi"/>
        </w:rPr>
        <w:t xml:space="preserve"> assessed the projects that have delivered the most impact for the investment provided and used Social Return on Investment to undertake cost/benefit analysis.</w:t>
      </w:r>
      <w:r w:rsidR="004B1CD2" w:rsidRPr="00974AB6">
        <w:rPr>
          <w:rFonts w:cstheme="minorHAnsi"/>
        </w:rPr>
        <w:t xml:space="preserve">  </w:t>
      </w:r>
      <w:r w:rsidR="0020423A" w:rsidRPr="00974AB6">
        <w:rPr>
          <w:rFonts w:cstheme="minorHAnsi"/>
        </w:rPr>
        <w:t>The Board</w:t>
      </w:r>
      <w:r w:rsidRPr="00974AB6">
        <w:rPr>
          <w:rFonts w:cstheme="minorHAnsi"/>
        </w:rPr>
        <w:t xml:space="preserve"> concluded that investment into community hubs provided an optimum return. </w:t>
      </w:r>
      <w:r w:rsidR="0020423A" w:rsidRPr="00974AB6">
        <w:rPr>
          <w:rFonts w:cstheme="minorHAnsi"/>
        </w:rPr>
        <w:t xml:space="preserve"> These</w:t>
      </w:r>
      <w:r w:rsidRPr="00974AB6">
        <w:rPr>
          <w:rFonts w:cstheme="minorHAnsi"/>
        </w:rPr>
        <w:t xml:space="preserve"> are located across the borough in carefully targeted community settings</w:t>
      </w:r>
      <w:r w:rsidR="0020423A" w:rsidRPr="00974AB6">
        <w:rPr>
          <w:rFonts w:cstheme="minorHAnsi"/>
        </w:rPr>
        <w:t xml:space="preserve">, offering </w:t>
      </w:r>
      <w:r w:rsidRPr="00974AB6">
        <w:rPr>
          <w:rFonts w:cstheme="minorHAnsi"/>
        </w:rPr>
        <w:t xml:space="preserve">a wide range of activities and services. </w:t>
      </w:r>
      <w:r w:rsidR="0020423A" w:rsidRPr="00974AB6">
        <w:rPr>
          <w:rFonts w:cstheme="minorHAnsi"/>
        </w:rPr>
        <w:t xml:space="preserve">  The PSMDB has </w:t>
      </w:r>
      <w:r w:rsidRPr="00974AB6">
        <w:rPr>
          <w:rFonts w:cstheme="minorHAnsi"/>
        </w:rPr>
        <w:t>also created added-value projects to exi</w:t>
      </w:r>
      <w:r w:rsidR="00150820">
        <w:rPr>
          <w:rFonts w:cstheme="minorHAnsi"/>
        </w:rPr>
        <w:t>s</w:t>
      </w:r>
      <w:r w:rsidRPr="00974AB6">
        <w:rPr>
          <w:rFonts w:cstheme="minorHAnsi"/>
        </w:rPr>
        <w:t xml:space="preserve">ting services, including a </w:t>
      </w:r>
      <w:r w:rsidR="008477C6" w:rsidRPr="00974AB6">
        <w:rPr>
          <w:rFonts w:cstheme="minorHAnsi"/>
        </w:rPr>
        <w:t>c</w:t>
      </w:r>
      <w:r w:rsidRPr="00974AB6">
        <w:rPr>
          <w:rFonts w:cstheme="minorHAnsi"/>
        </w:rPr>
        <w:t xml:space="preserve">ommunity </w:t>
      </w:r>
      <w:r w:rsidR="008477C6" w:rsidRPr="00974AB6">
        <w:rPr>
          <w:rFonts w:cstheme="minorHAnsi"/>
        </w:rPr>
        <w:t>h</w:t>
      </w:r>
      <w:r w:rsidRPr="00974AB6">
        <w:rPr>
          <w:rFonts w:cstheme="minorHAnsi"/>
        </w:rPr>
        <w:t xml:space="preserve">andyman </w:t>
      </w:r>
      <w:r w:rsidR="008477C6" w:rsidRPr="00974AB6">
        <w:rPr>
          <w:rFonts w:cstheme="minorHAnsi"/>
        </w:rPr>
        <w:t>s</w:t>
      </w:r>
      <w:r w:rsidRPr="00974AB6">
        <w:rPr>
          <w:rFonts w:cstheme="minorHAnsi"/>
        </w:rPr>
        <w:t xml:space="preserve">ervice, </w:t>
      </w:r>
      <w:r w:rsidR="008477C6" w:rsidRPr="00974AB6">
        <w:rPr>
          <w:rFonts w:cstheme="minorHAnsi"/>
        </w:rPr>
        <w:t>g</w:t>
      </w:r>
      <w:r w:rsidRPr="00974AB6">
        <w:rPr>
          <w:rFonts w:cstheme="minorHAnsi"/>
        </w:rPr>
        <w:t xml:space="preserve">ardening </w:t>
      </w:r>
      <w:r w:rsidR="008477C6" w:rsidRPr="00974AB6">
        <w:rPr>
          <w:rFonts w:cstheme="minorHAnsi"/>
        </w:rPr>
        <w:t>s</w:t>
      </w:r>
      <w:r w:rsidRPr="00974AB6">
        <w:rPr>
          <w:rFonts w:cstheme="minorHAnsi"/>
        </w:rPr>
        <w:t>ervice and enhanc</w:t>
      </w:r>
      <w:r w:rsidR="008477C6" w:rsidRPr="00974AB6">
        <w:rPr>
          <w:rFonts w:cstheme="minorHAnsi"/>
        </w:rPr>
        <w:t>ed</w:t>
      </w:r>
      <w:r w:rsidRPr="00974AB6">
        <w:rPr>
          <w:rFonts w:cstheme="minorHAnsi"/>
        </w:rPr>
        <w:t xml:space="preserve"> meals on wheels service.</w:t>
      </w:r>
    </w:p>
    <w:p w14:paraId="46A9D56A" w14:textId="77777777" w:rsidR="00EF6C78" w:rsidRDefault="00EF6C78" w:rsidP="00974AB6">
      <w:pPr>
        <w:keepNext/>
        <w:keepLines/>
        <w:spacing w:after="0" w:line="240" w:lineRule="auto"/>
        <w:outlineLvl w:val="0"/>
        <w:rPr>
          <w:rFonts w:cstheme="minorHAnsi"/>
        </w:rPr>
      </w:pPr>
    </w:p>
    <w:p w14:paraId="3FBB67F9" w14:textId="189C7E66" w:rsidR="005647AD" w:rsidRPr="00974AB6" w:rsidRDefault="008477C6" w:rsidP="00974AB6">
      <w:pPr>
        <w:keepNext/>
        <w:keepLines/>
        <w:spacing w:after="0" w:line="240" w:lineRule="auto"/>
        <w:outlineLvl w:val="0"/>
        <w:rPr>
          <w:rFonts w:cstheme="minorHAnsi"/>
        </w:rPr>
      </w:pPr>
      <w:r w:rsidRPr="00974AB6">
        <w:rPr>
          <w:rFonts w:cstheme="minorHAnsi"/>
        </w:rPr>
        <w:t xml:space="preserve">Although </w:t>
      </w:r>
      <w:r w:rsidR="005647AD" w:rsidRPr="00974AB6">
        <w:rPr>
          <w:rFonts w:cstheme="minorHAnsi"/>
        </w:rPr>
        <w:t xml:space="preserve">Covid-19 has had a significant impact on </w:t>
      </w:r>
      <w:r w:rsidR="00783667" w:rsidRPr="00974AB6">
        <w:rPr>
          <w:rFonts w:cstheme="minorHAnsi"/>
        </w:rPr>
        <w:t>the Board’s work</w:t>
      </w:r>
      <w:r w:rsidR="005647AD" w:rsidRPr="00974AB6">
        <w:rPr>
          <w:rFonts w:cstheme="minorHAnsi"/>
        </w:rPr>
        <w:t>, and progress has been hampered</w:t>
      </w:r>
      <w:r w:rsidR="00783667" w:rsidRPr="00974AB6">
        <w:rPr>
          <w:rFonts w:cstheme="minorHAnsi"/>
        </w:rPr>
        <w:t xml:space="preserve">, </w:t>
      </w:r>
      <w:r w:rsidR="00E76F2C" w:rsidRPr="00974AB6">
        <w:rPr>
          <w:rFonts w:cstheme="minorHAnsi"/>
        </w:rPr>
        <w:t>work has continued as follows:</w:t>
      </w:r>
    </w:p>
    <w:p w14:paraId="34AD7FCC" w14:textId="77777777" w:rsidR="005647AD" w:rsidRPr="00974AB6" w:rsidRDefault="005647AD" w:rsidP="00974AB6">
      <w:pPr>
        <w:pStyle w:val="ListParagraph"/>
        <w:numPr>
          <w:ilvl w:val="0"/>
          <w:numId w:val="14"/>
        </w:numPr>
        <w:spacing w:after="0" w:line="240" w:lineRule="auto"/>
        <w:jc w:val="both"/>
        <w:rPr>
          <w:rFonts w:eastAsia="Times New Roman" w:cstheme="minorHAnsi"/>
          <w:bCs/>
        </w:rPr>
      </w:pPr>
      <w:r w:rsidRPr="00974AB6">
        <w:rPr>
          <w:rFonts w:eastAsia="Times New Roman" w:cstheme="minorHAnsi"/>
          <w:bCs/>
        </w:rPr>
        <w:t>Total value of Awards</w:t>
      </w:r>
      <w:r w:rsidRPr="00974AB6">
        <w:rPr>
          <w:rFonts w:eastAsia="Times New Roman" w:cstheme="minorHAnsi"/>
          <w:bCs/>
        </w:rPr>
        <w:tab/>
      </w:r>
      <w:r w:rsidRPr="00974AB6">
        <w:rPr>
          <w:rFonts w:eastAsia="Times New Roman" w:cstheme="minorHAnsi"/>
          <w:bCs/>
        </w:rPr>
        <w:tab/>
      </w:r>
      <w:r w:rsidRPr="00974AB6">
        <w:rPr>
          <w:rFonts w:eastAsia="Times New Roman" w:cstheme="minorHAnsi"/>
          <w:bCs/>
        </w:rPr>
        <w:tab/>
      </w:r>
      <w:r w:rsidRPr="00974AB6">
        <w:rPr>
          <w:rFonts w:eastAsia="Times New Roman" w:cstheme="minorHAnsi"/>
          <w:bCs/>
        </w:rPr>
        <w:tab/>
      </w:r>
      <w:r w:rsidRPr="00974AB6">
        <w:rPr>
          <w:rFonts w:eastAsia="Times New Roman" w:cstheme="minorHAnsi"/>
          <w:bCs/>
        </w:rPr>
        <w:tab/>
      </w:r>
      <w:r w:rsidRPr="00974AB6">
        <w:rPr>
          <w:rFonts w:eastAsia="Times New Roman" w:cstheme="minorHAnsi"/>
          <w:bCs/>
        </w:rPr>
        <w:tab/>
      </w:r>
      <w:r w:rsidRPr="00974AB6">
        <w:rPr>
          <w:rFonts w:eastAsia="Times New Roman" w:cstheme="minorHAnsi"/>
          <w:bCs/>
        </w:rPr>
        <w:tab/>
        <w:t>£35,000.00</w:t>
      </w:r>
    </w:p>
    <w:p w14:paraId="7F0C8953" w14:textId="076AB2CE" w:rsidR="005647AD" w:rsidRPr="00974AB6" w:rsidRDefault="005647AD" w:rsidP="00974AB6">
      <w:pPr>
        <w:pStyle w:val="ListParagraph"/>
        <w:numPr>
          <w:ilvl w:val="0"/>
          <w:numId w:val="14"/>
        </w:numPr>
        <w:spacing w:after="0" w:line="240" w:lineRule="auto"/>
        <w:jc w:val="both"/>
        <w:rPr>
          <w:rFonts w:eastAsia="Times New Roman" w:cstheme="minorHAnsi"/>
          <w:bCs/>
        </w:rPr>
      </w:pPr>
      <w:r w:rsidRPr="00974AB6">
        <w:rPr>
          <w:rFonts w:eastAsia="Times New Roman" w:cstheme="minorHAnsi"/>
          <w:bCs/>
        </w:rPr>
        <w:t xml:space="preserve">Additional Funds </w:t>
      </w:r>
      <w:r w:rsidR="00150820">
        <w:rPr>
          <w:rFonts w:eastAsia="Times New Roman" w:cstheme="minorHAnsi"/>
          <w:bCs/>
        </w:rPr>
        <w:t>l</w:t>
      </w:r>
      <w:r w:rsidRPr="00974AB6">
        <w:rPr>
          <w:rFonts w:eastAsia="Times New Roman" w:cstheme="minorHAnsi"/>
          <w:bCs/>
        </w:rPr>
        <w:t>evered into the health and social care sector</w:t>
      </w:r>
      <w:r w:rsidRPr="00974AB6">
        <w:rPr>
          <w:rFonts w:eastAsia="Times New Roman" w:cstheme="minorHAnsi"/>
          <w:bCs/>
        </w:rPr>
        <w:tab/>
        <w:t xml:space="preserve"> </w:t>
      </w:r>
      <w:r w:rsidRPr="00974AB6">
        <w:rPr>
          <w:rFonts w:eastAsia="Times New Roman" w:cstheme="minorHAnsi"/>
          <w:bCs/>
        </w:rPr>
        <w:tab/>
        <w:t>£202,700.00</w:t>
      </w:r>
    </w:p>
    <w:p w14:paraId="1EFD3BA7" w14:textId="33663AE0" w:rsidR="005647AD" w:rsidRDefault="005647AD" w:rsidP="00974AB6">
      <w:pPr>
        <w:pStyle w:val="ListParagraph"/>
        <w:numPr>
          <w:ilvl w:val="0"/>
          <w:numId w:val="14"/>
        </w:numPr>
        <w:spacing w:after="0" w:line="240" w:lineRule="auto"/>
        <w:jc w:val="both"/>
        <w:rPr>
          <w:rFonts w:eastAsia="Times New Roman" w:cstheme="minorHAnsi"/>
          <w:bCs/>
        </w:rPr>
      </w:pPr>
      <w:r w:rsidRPr="00974AB6">
        <w:rPr>
          <w:rFonts w:eastAsia="Times New Roman" w:cstheme="minorHAnsi"/>
          <w:bCs/>
        </w:rPr>
        <w:t xml:space="preserve">For £10 spent by PSMDB, it has attracted a </w:t>
      </w:r>
      <w:proofErr w:type="gramStart"/>
      <w:r w:rsidRPr="00974AB6">
        <w:rPr>
          <w:rFonts w:eastAsia="Times New Roman" w:cstheme="minorHAnsi"/>
          <w:bCs/>
        </w:rPr>
        <w:t xml:space="preserve">further  </w:t>
      </w:r>
      <w:r w:rsidRPr="00974AB6">
        <w:rPr>
          <w:rFonts w:eastAsia="Times New Roman" w:cstheme="minorHAnsi"/>
          <w:bCs/>
        </w:rPr>
        <w:tab/>
      </w:r>
      <w:proofErr w:type="gramEnd"/>
      <w:r w:rsidRPr="00974AB6">
        <w:rPr>
          <w:rFonts w:eastAsia="Times New Roman" w:cstheme="minorHAnsi"/>
          <w:bCs/>
        </w:rPr>
        <w:tab/>
      </w:r>
      <w:r w:rsidRPr="00974AB6">
        <w:rPr>
          <w:rFonts w:eastAsia="Times New Roman" w:cstheme="minorHAnsi"/>
          <w:bCs/>
        </w:rPr>
        <w:tab/>
        <w:t>£57.91</w:t>
      </w:r>
    </w:p>
    <w:p w14:paraId="73ED67EE" w14:textId="3C717521" w:rsidR="00B47D61" w:rsidRPr="00B47D61" w:rsidRDefault="00B47D61" w:rsidP="00B47D61">
      <w:pPr>
        <w:pStyle w:val="ListParagraph"/>
        <w:spacing w:after="0" w:line="240" w:lineRule="auto"/>
        <w:jc w:val="both"/>
        <w:rPr>
          <w:rFonts w:eastAsia="Times New Roman" w:cstheme="minorHAnsi"/>
          <w:bCs/>
        </w:rPr>
      </w:pPr>
      <w:r w:rsidRPr="00B47D61">
        <w:rPr>
          <w:rFonts w:eastAsia="Times New Roman" w:cstheme="minorHAnsi"/>
          <w:bCs/>
        </w:rPr>
        <w:t>(</w:t>
      </w:r>
      <w:proofErr w:type="gramStart"/>
      <w:r w:rsidRPr="00B47D61">
        <w:rPr>
          <w:rFonts w:eastAsia="Times New Roman" w:cstheme="minorHAnsi"/>
          <w:bCs/>
        </w:rPr>
        <w:t>in</w:t>
      </w:r>
      <w:proofErr w:type="gramEnd"/>
      <w:r w:rsidRPr="00B47D61">
        <w:rPr>
          <w:rFonts w:eastAsia="Times New Roman" w:cstheme="minorHAnsi"/>
          <w:bCs/>
        </w:rPr>
        <w:t xml:space="preserve"> </w:t>
      </w:r>
      <w:r w:rsidRPr="00B47D61">
        <w:rPr>
          <w:rFonts w:cstheme="minorHAnsi"/>
        </w:rPr>
        <w:t>organisations’ own contributions and external funding attracted)</w:t>
      </w:r>
    </w:p>
    <w:p w14:paraId="00960D33" w14:textId="77777777" w:rsidR="00F33992" w:rsidRPr="00974AB6" w:rsidRDefault="00F33992" w:rsidP="00974AB6">
      <w:pPr>
        <w:spacing w:after="0" w:line="240" w:lineRule="auto"/>
        <w:rPr>
          <w:rFonts w:cstheme="minorHAnsi"/>
        </w:rPr>
      </w:pPr>
    </w:p>
    <w:p w14:paraId="7B8DDD64" w14:textId="571673B8" w:rsidR="004D24D1" w:rsidRPr="004D24D1" w:rsidRDefault="004D24D1" w:rsidP="00974AB6">
      <w:pPr>
        <w:spacing w:after="0" w:line="240" w:lineRule="auto"/>
        <w:rPr>
          <w:rFonts w:cstheme="minorHAnsi"/>
          <w:i/>
          <w:iCs/>
        </w:rPr>
      </w:pPr>
      <w:r w:rsidRPr="004D24D1">
        <w:rPr>
          <w:rFonts w:cstheme="minorHAnsi"/>
          <w:i/>
          <w:iCs/>
        </w:rPr>
        <w:t xml:space="preserve">Priority: </w:t>
      </w:r>
      <w:r w:rsidR="00150820">
        <w:rPr>
          <w:rFonts w:cstheme="minorHAnsi"/>
          <w:i/>
          <w:iCs/>
        </w:rPr>
        <w:t xml:space="preserve">work with VCSE colleagues to </w:t>
      </w:r>
      <w:r w:rsidRPr="004D24D1">
        <w:rPr>
          <w:rFonts w:cstheme="minorHAnsi"/>
          <w:i/>
          <w:iCs/>
        </w:rPr>
        <w:t>ensure coordinated</w:t>
      </w:r>
      <w:r w:rsidR="00E14F71">
        <w:rPr>
          <w:rFonts w:cstheme="minorHAnsi"/>
          <w:i/>
          <w:iCs/>
        </w:rPr>
        <w:t xml:space="preserve"> and accessible</w:t>
      </w:r>
      <w:r w:rsidRPr="004D24D1">
        <w:rPr>
          <w:rFonts w:cstheme="minorHAnsi"/>
          <w:i/>
          <w:iCs/>
        </w:rPr>
        <w:t xml:space="preserve"> </w:t>
      </w:r>
      <w:r w:rsidR="00150820">
        <w:rPr>
          <w:rFonts w:cstheme="minorHAnsi"/>
          <w:i/>
          <w:iCs/>
        </w:rPr>
        <w:t xml:space="preserve">preventative </w:t>
      </w:r>
      <w:proofErr w:type="gramStart"/>
      <w:r w:rsidR="00150820">
        <w:rPr>
          <w:rFonts w:cstheme="minorHAnsi"/>
          <w:i/>
          <w:iCs/>
        </w:rPr>
        <w:t>opportunities</w:t>
      </w:r>
      <w:r w:rsidRPr="004D24D1">
        <w:rPr>
          <w:rFonts w:cstheme="minorHAnsi"/>
          <w:i/>
          <w:iCs/>
        </w:rPr>
        <w:t>, and</w:t>
      </w:r>
      <w:proofErr w:type="gramEnd"/>
      <w:r w:rsidRPr="004D24D1">
        <w:rPr>
          <w:rFonts w:cstheme="minorHAnsi"/>
          <w:i/>
          <w:iCs/>
        </w:rPr>
        <w:t xml:space="preserve"> use existing mechanisms to support projects designed to achieve the same.  </w:t>
      </w:r>
    </w:p>
    <w:p w14:paraId="3C424F89" w14:textId="77777777" w:rsidR="004D24D1" w:rsidRDefault="004D24D1" w:rsidP="00974AB6">
      <w:pPr>
        <w:spacing w:after="0" w:line="240" w:lineRule="auto"/>
        <w:rPr>
          <w:rFonts w:cstheme="minorHAnsi"/>
        </w:rPr>
      </w:pPr>
    </w:p>
    <w:p w14:paraId="781A7016" w14:textId="0C733EF1" w:rsidR="00F33992" w:rsidRDefault="0086131B" w:rsidP="00974AB6">
      <w:pPr>
        <w:spacing w:after="0" w:line="240" w:lineRule="auto"/>
        <w:rPr>
          <w:rFonts w:cstheme="minorHAnsi"/>
        </w:rPr>
      </w:pPr>
      <w:r>
        <w:rPr>
          <w:rFonts w:cstheme="minorHAnsi"/>
        </w:rPr>
        <w:t>Workforce development</w:t>
      </w:r>
      <w:r w:rsidR="00BF6E8D">
        <w:rPr>
          <w:rFonts w:cstheme="minorHAnsi"/>
        </w:rPr>
        <w:t>,</w:t>
      </w:r>
      <w:r w:rsidR="0006775A">
        <w:rPr>
          <w:rFonts w:cstheme="minorHAnsi"/>
        </w:rPr>
        <w:t xml:space="preserve"> </w:t>
      </w:r>
      <w:proofErr w:type="gramStart"/>
      <w:r w:rsidR="0006775A">
        <w:rPr>
          <w:rFonts w:cstheme="minorHAnsi"/>
        </w:rPr>
        <w:t>assessments</w:t>
      </w:r>
      <w:proofErr w:type="gramEnd"/>
      <w:r w:rsidR="00BF6E8D">
        <w:rPr>
          <w:rFonts w:cstheme="minorHAnsi"/>
        </w:rPr>
        <w:t xml:space="preserve"> and interface between services </w:t>
      </w:r>
    </w:p>
    <w:p w14:paraId="2D855342" w14:textId="1481FBAE" w:rsidR="007F3344" w:rsidRDefault="0086131B" w:rsidP="0086131B">
      <w:pPr>
        <w:spacing w:after="0" w:line="240" w:lineRule="auto"/>
        <w:rPr>
          <w:rFonts w:eastAsia="Times New Roman" w:cstheme="minorHAnsi"/>
          <w:lang w:eastAsia="en-GB"/>
        </w:rPr>
      </w:pPr>
      <w:r w:rsidRPr="00974AB6">
        <w:rPr>
          <w:rFonts w:eastAsia="Times New Roman" w:cstheme="minorHAnsi"/>
          <w:lang w:eastAsia="en-GB"/>
        </w:rPr>
        <w:t>N</w:t>
      </w:r>
      <w:r w:rsidR="004D24D1">
        <w:rPr>
          <w:rFonts w:eastAsia="Times New Roman" w:cstheme="minorHAnsi"/>
          <w:lang w:eastAsia="en-GB"/>
        </w:rPr>
        <w:t>EL</w:t>
      </w:r>
      <w:r w:rsidRPr="00974AB6">
        <w:rPr>
          <w:rFonts w:eastAsia="Times New Roman" w:cstheme="minorHAnsi"/>
          <w:lang w:eastAsia="en-GB"/>
        </w:rPr>
        <w:t xml:space="preserve"> has been promoting and embedding an </w:t>
      </w:r>
      <w:r w:rsidR="00E14F71" w:rsidRPr="00974AB6">
        <w:rPr>
          <w:rFonts w:eastAsia="Times New Roman" w:cstheme="minorHAnsi"/>
          <w:lang w:eastAsia="en-GB"/>
        </w:rPr>
        <w:t>asset-based</w:t>
      </w:r>
      <w:r w:rsidRPr="00974AB6">
        <w:rPr>
          <w:rFonts w:eastAsia="Times New Roman" w:cstheme="minorHAnsi"/>
          <w:lang w:eastAsia="en-GB"/>
        </w:rPr>
        <w:t xml:space="preserve"> approach to practice for some years.  All staff micro-commissioning placements (social work, mental health, continuing health care and community nurse practitioners) are expected to work under the local ethical and pragmatic decision-making policy.  This is our micro-commissioning framework which advocates an asset</w:t>
      </w:r>
      <w:r w:rsidR="00E14F71">
        <w:rPr>
          <w:rFonts w:eastAsia="Times New Roman" w:cstheme="minorHAnsi"/>
          <w:lang w:eastAsia="en-GB"/>
        </w:rPr>
        <w:t>-</w:t>
      </w:r>
      <w:r w:rsidRPr="00974AB6">
        <w:rPr>
          <w:rFonts w:eastAsia="Times New Roman" w:cstheme="minorHAnsi"/>
          <w:lang w:eastAsia="en-GB"/>
        </w:rPr>
        <w:t xml:space="preserve">based </w:t>
      </w:r>
      <w:proofErr w:type="gramStart"/>
      <w:r w:rsidRPr="00974AB6">
        <w:rPr>
          <w:rFonts w:eastAsia="Times New Roman" w:cstheme="minorHAnsi"/>
          <w:lang w:eastAsia="en-GB"/>
        </w:rPr>
        <w:t>approach, and</w:t>
      </w:r>
      <w:proofErr w:type="gramEnd"/>
      <w:r w:rsidRPr="00974AB6">
        <w:rPr>
          <w:rFonts w:eastAsia="Times New Roman" w:cstheme="minorHAnsi"/>
          <w:lang w:eastAsia="en-GB"/>
        </w:rPr>
        <w:t xml:space="preserve"> is reflective of the national ethical framework</w:t>
      </w:r>
      <w:r w:rsidR="004D24D1">
        <w:rPr>
          <w:rFonts w:eastAsia="Times New Roman" w:cstheme="minorHAnsi"/>
          <w:lang w:eastAsia="en-GB"/>
        </w:rPr>
        <w:t xml:space="preserve"> published during the pandemic</w:t>
      </w:r>
      <w:r w:rsidRPr="00974AB6">
        <w:rPr>
          <w:rFonts w:eastAsia="Times New Roman" w:cstheme="minorHAnsi"/>
          <w:lang w:eastAsia="en-GB"/>
        </w:rPr>
        <w:t>.  The asset-based approach is also embedded in the SPA.</w:t>
      </w:r>
      <w:r>
        <w:rPr>
          <w:rFonts w:eastAsia="Times New Roman" w:cstheme="minorHAnsi"/>
          <w:lang w:eastAsia="en-GB"/>
        </w:rPr>
        <w:t xml:space="preserve">  The </w:t>
      </w:r>
      <w:r w:rsidR="00C533FE">
        <w:rPr>
          <w:rFonts w:eastAsia="Times New Roman" w:cstheme="minorHAnsi"/>
          <w:lang w:eastAsia="en-GB"/>
        </w:rPr>
        <w:t xml:space="preserve">framework </w:t>
      </w:r>
      <w:r>
        <w:rPr>
          <w:rFonts w:eastAsia="Times New Roman" w:cstheme="minorHAnsi"/>
          <w:lang w:eastAsia="en-GB"/>
        </w:rPr>
        <w:t>has recently been updated, and an accompanying programme of public engagement and practice development work will be rolled out this year.</w:t>
      </w:r>
      <w:r w:rsidR="0006775A">
        <w:rPr>
          <w:rFonts w:eastAsia="Times New Roman" w:cstheme="minorHAnsi"/>
          <w:lang w:eastAsia="en-GB"/>
        </w:rPr>
        <w:t xml:space="preserve">  This will complement </w:t>
      </w:r>
      <w:r w:rsidR="004D24D1">
        <w:rPr>
          <w:rFonts w:eastAsia="Times New Roman" w:cstheme="minorHAnsi"/>
          <w:lang w:eastAsia="en-GB"/>
        </w:rPr>
        <w:t>existing</w:t>
      </w:r>
      <w:r w:rsidR="0006775A">
        <w:rPr>
          <w:rFonts w:eastAsia="Times New Roman" w:cstheme="minorHAnsi"/>
          <w:lang w:eastAsia="en-GB"/>
        </w:rPr>
        <w:t xml:space="preserve"> programmes of engagement and practice development noted in previous plans.</w:t>
      </w:r>
      <w:r w:rsidR="004D24D1">
        <w:rPr>
          <w:rFonts w:eastAsia="Times New Roman" w:cstheme="minorHAnsi"/>
          <w:lang w:eastAsia="en-GB"/>
        </w:rPr>
        <w:t xml:space="preserve">  Practice development </w:t>
      </w:r>
      <w:r w:rsidR="007F3344">
        <w:rPr>
          <w:rFonts w:eastAsia="Times New Roman" w:cstheme="minorHAnsi"/>
          <w:lang w:eastAsia="en-GB"/>
        </w:rPr>
        <w:t xml:space="preserve">events </w:t>
      </w:r>
      <w:r w:rsidR="00C533FE">
        <w:rPr>
          <w:rFonts w:eastAsia="Times New Roman" w:cstheme="minorHAnsi"/>
          <w:lang w:eastAsia="en-GB"/>
        </w:rPr>
        <w:t xml:space="preserve">this year </w:t>
      </w:r>
      <w:r w:rsidR="007F3344">
        <w:rPr>
          <w:rFonts w:eastAsia="Times New Roman" w:cstheme="minorHAnsi"/>
          <w:lang w:eastAsia="en-GB"/>
        </w:rPr>
        <w:t xml:space="preserve">(offered to all commissioner and provider staff across health and care) </w:t>
      </w:r>
      <w:r w:rsidR="004D24D1">
        <w:rPr>
          <w:rFonts w:eastAsia="Times New Roman" w:cstheme="minorHAnsi"/>
          <w:lang w:eastAsia="en-GB"/>
        </w:rPr>
        <w:t>include sessions</w:t>
      </w:r>
      <w:r w:rsidR="007F3344">
        <w:rPr>
          <w:rFonts w:eastAsia="Times New Roman" w:cstheme="minorHAnsi"/>
          <w:lang w:eastAsia="en-GB"/>
        </w:rPr>
        <w:t xml:space="preserve"> on:</w:t>
      </w:r>
    </w:p>
    <w:p w14:paraId="4E815501" w14:textId="1330DFF9" w:rsidR="007F3344" w:rsidRDefault="004D24D1" w:rsidP="007F3344">
      <w:pPr>
        <w:pStyle w:val="ListParagraph"/>
        <w:numPr>
          <w:ilvl w:val="0"/>
          <w:numId w:val="29"/>
        </w:numPr>
        <w:spacing w:after="0" w:line="240" w:lineRule="auto"/>
        <w:rPr>
          <w:rFonts w:eastAsia="Times New Roman" w:cstheme="minorHAnsi"/>
          <w:lang w:eastAsia="en-GB"/>
        </w:rPr>
      </w:pPr>
      <w:r w:rsidRPr="007F3344">
        <w:rPr>
          <w:rFonts w:eastAsia="Times New Roman" w:cstheme="minorHAnsi"/>
          <w:lang w:eastAsia="en-GB"/>
        </w:rPr>
        <w:t>the Mental Capacity Act 2005 (MCA) and its implications for people of faith</w:t>
      </w:r>
      <w:r w:rsidR="00C533FE">
        <w:rPr>
          <w:rFonts w:eastAsia="Times New Roman" w:cstheme="minorHAnsi"/>
          <w:lang w:eastAsia="en-GB"/>
        </w:rPr>
        <w:t>, and none</w:t>
      </w:r>
    </w:p>
    <w:p w14:paraId="77120337" w14:textId="77777777" w:rsidR="007F3344" w:rsidRDefault="007F3344" w:rsidP="007F3344">
      <w:pPr>
        <w:pStyle w:val="ListParagraph"/>
        <w:numPr>
          <w:ilvl w:val="0"/>
          <w:numId w:val="29"/>
        </w:numPr>
        <w:spacing w:after="0" w:line="240" w:lineRule="auto"/>
        <w:rPr>
          <w:rFonts w:eastAsia="Times New Roman" w:cstheme="minorHAnsi"/>
          <w:lang w:eastAsia="en-GB"/>
        </w:rPr>
      </w:pPr>
      <w:r w:rsidRPr="007F3344">
        <w:rPr>
          <w:rFonts w:eastAsia="Times New Roman" w:cstheme="minorHAnsi"/>
          <w:lang w:eastAsia="en-GB"/>
        </w:rPr>
        <w:t>the MCA and its implications for people with learning disabilities</w:t>
      </w:r>
    </w:p>
    <w:p w14:paraId="3252A03A" w14:textId="77777777" w:rsidR="00B142F6" w:rsidRDefault="007F3344" w:rsidP="007F3344">
      <w:pPr>
        <w:pStyle w:val="ListParagraph"/>
        <w:numPr>
          <w:ilvl w:val="0"/>
          <w:numId w:val="29"/>
        </w:numPr>
        <w:spacing w:after="0" w:line="240" w:lineRule="auto"/>
        <w:rPr>
          <w:rFonts w:eastAsia="Times New Roman" w:cstheme="minorHAnsi"/>
          <w:lang w:eastAsia="en-GB"/>
        </w:rPr>
      </w:pPr>
      <w:r>
        <w:rPr>
          <w:rFonts w:eastAsia="Times New Roman" w:cstheme="minorHAnsi"/>
          <w:lang w:eastAsia="en-GB"/>
        </w:rPr>
        <w:t>the MCA and working with those who refuse, or object to, health and care</w:t>
      </w:r>
    </w:p>
    <w:p w14:paraId="558ED3DF" w14:textId="71E9CFCD" w:rsidR="00B142F6" w:rsidRDefault="00B142F6" w:rsidP="007F3344">
      <w:pPr>
        <w:pStyle w:val="ListParagraph"/>
        <w:numPr>
          <w:ilvl w:val="0"/>
          <w:numId w:val="29"/>
        </w:numPr>
        <w:spacing w:after="0" w:line="240" w:lineRule="auto"/>
        <w:rPr>
          <w:rFonts w:eastAsia="Times New Roman" w:cstheme="minorHAnsi"/>
          <w:lang w:eastAsia="en-GB"/>
        </w:rPr>
      </w:pPr>
      <w:r>
        <w:rPr>
          <w:rFonts w:eastAsia="Times New Roman" w:cstheme="minorHAnsi"/>
          <w:lang w:eastAsia="en-GB"/>
        </w:rPr>
        <w:t>the interface between the MCA and Mental Health Act 1983.</w:t>
      </w:r>
    </w:p>
    <w:p w14:paraId="3B662EAF" w14:textId="77777777" w:rsidR="00B142F6" w:rsidRDefault="00B142F6" w:rsidP="00B142F6">
      <w:pPr>
        <w:spacing w:after="0" w:line="240" w:lineRule="auto"/>
        <w:rPr>
          <w:rFonts w:eastAsia="Times New Roman" w:cstheme="minorHAnsi"/>
          <w:lang w:eastAsia="en-GB"/>
        </w:rPr>
      </w:pPr>
    </w:p>
    <w:p w14:paraId="5383F27F" w14:textId="4A53A148" w:rsidR="0086131B" w:rsidRPr="00B142F6" w:rsidRDefault="00B142F6" w:rsidP="00B142F6">
      <w:pPr>
        <w:spacing w:after="0" w:line="240" w:lineRule="auto"/>
        <w:rPr>
          <w:rFonts w:eastAsia="Times New Roman" w:cstheme="minorHAnsi"/>
          <w:lang w:eastAsia="en-GB"/>
        </w:rPr>
      </w:pPr>
      <w:r>
        <w:rPr>
          <w:rFonts w:eastAsia="Times New Roman" w:cstheme="minorHAnsi"/>
          <w:lang w:eastAsia="en-GB"/>
        </w:rPr>
        <w:t>This programme of events</w:t>
      </w:r>
      <w:r w:rsidR="00C533FE">
        <w:rPr>
          <w:rFonts w:eastAsia="Times New Roman" w:cstheme="minorHAnsi"/>
          <w:lang w:eastAsia="en-GB"/>
        </w:rPr>
        <w:t xml:space="preserve"> also</w:t>
      </w:r>
      <w:r>
        <w:rPr>
          <w:rFonts w:eastAsia="Times New Roman" w:cstheme="minorHAnsi"/>
          <w:lang w:eastAsia="en-GB"/>
        </w:rPr>
        <w:t xml:space="preserve"> supports us in work to address inequalities</w:t>
      </w:r>
      <w:r w:rsidR="00C533FE">
        <w:rPr>
          <w:rFonts w:eastAsia="Times New Roman" w:cstheme="minorHAnsi"/>
          <w:lang w:eastAsia="en-GB"/>
        </w:rPr>
        <w:t xml:space="preserve"> (see section </w:t>
      </w:r>
      <w:r w:rsidR="00E14F71">
        <w:rPr>
          <w:rFonts w:eastAsia="Times New Roman" w:cstheme="minorHAnsi"/>
          <w:lang w:eastAsia="en-GB"/>
        </w:rPr>
        <w:t>6</w:t>
      </w:r>
      <w:r w:rsidR="00C533FE">
        <w:rPr>
          <w:rFonts w:eastAsia="Times New Roman" w:cstheme="minorHAnsi"/>
          <w:lang w:eastAsia="en-GB"/>
        </w:rPr>
        <w:t xml:space="preserve"> below)</w:t>
      </w:r>
      <w:r>
        <w:rPr>
          <w:rFonts w:eastAsia="Times New Roman" w:cstheme="minorHAnsi"/>
          <w:lang w:eastAsia="en-GB"/>
        </w:rPr>
        <w:t xml:space="preserve">.  </w:t>
      </w:r>
      <w:r w:rsidR="004D24D1" w:rsidRPr="00B142F6">
        <w:rPr>
          <w:rFonts w:eastAsia="Times New Roman" w:cstheme="minorHAnsi"/>
          <w:lang w:eastAsia="en-GB"/>
        </w:rPr>
        <w:t xml:space="preserve"> </w:t>
      </w:r>
      <w:r w:rsidR="0006775A" w:rsidRPr="00B142F6">
        <w:rPr>
          <w:rFonts w:eastAsia="Times New Roman" w:cstheme="minorHAnsi"/>
          <w:lang w:eastAsia="en-GB"/>
        </w:rPr>
        <w:t xml:space="preserve">  </w:t>
      </w:r>
    </w:p>
    <w:p w14:paraId="2DD9644D" w14:textId="07E996FF" w:rsidR="0006775A" w:rsidRDefault="0006775A" w:rsidP="0086131B">
      <w:pPr>
        <w:spacing w:after="0" w:line="240" w:lineRule="auto"/>
        <w:rPr>
          <w:rFonts w:eastAsia="Times New Roman" w:cstheme="minorHAnsi"/>
          <w:lang w:eastAsia="en-GB"/>
        </w:rPr>
      </w:pPr>
    </w:p>
    <w:p w14:paraId="0518862A" w14:textId="09608052" w:rsidR="008043A0" w:rsidRDefault="0006775A" w:rsidP="0006775A">
      <w:pPr>
        <w:spacing w:after="0" w:line="240" w:lineRule="auto"/>
        <w:rPr>
          <w:rFonts w:cstheme="minorHAnsi"/>
        </w:rPr>
      </w:pPr>
      <w:proofErr w:type="gramStart"/>
      <w:r>
        <w:rPr>
          <w:rFonts w:eastAsia="Times New Roman" w:cstheme="minorHAnsi"/>
          <w:lang w:eastAsia="en-GB"/>
        </w:rPr>
        <w:t>A number of</w:t>
      </w:r>
      <w:proofErr w:type="gramEnd"/>
      <w:r>
        <w:rPr>
          <w:rFonts w:eastAsia="Times New Roman" w:cstheme="minorHAnsi"/>
          <w:lang w:eastAsia="en-GB"/>
        </w:rPr>
        <w:t xml:space="preserve"> work programmes are in place to improve practice at the interface between services, such as that between children and adult services</w:t>
      </w:r>
      <w:r w:rsidR="00D9316C">
        <w:rPr>
          <w:rFonts w:eastAsia="Times New Roman" w:cstheme="minorHAnsi"/>
          <w:lang w:eastAsia="en-GB"/>
        </w:rPr>
        <w:t xml:space="preserve"> (both health and care)</w:t>
      </w:r>
      <w:r>
        <w:rPr>
          <w:rFonts w:eastAsia="Times New Roman" w:cstheme="minorHAnsi"/>
          <w:lang w:eastAsia="en-GB"/>
        </w:rPr>
        <w:t xml:space="preserve">.  </w:t>
      </w:r>
      <w:r>
        <w:rPr>
          <w:rFonts w:cstheme="minorHAnsi"/>
        </w:rPr>
        <w:t xml:space="preserve">The preparation for adulthood working group has supported the refresh of the </w:t>
      </w:r>
      <w:r w:rsidRPr="00974AB6">
        <w:rPr>
          <w:rFonts w:cstheme="minorHAnsi"/>
        </w:rPr>
        <w:t>preparation for adulthood protocol</w:t>
      </w:r>
      <w:r>
        <w:rPr>
          <w:rFonts w:cstheme="minorHAnsi"/>
        </w:rPr>
        <w:t xml:space="preserve">, the launch event for which is intended to take place later this year.  The protocol is accompanied by an action plan against which some progress has been made, although there is much more to do.  </w:t>
      </w:r>
    </w:p>
    <w:p w14:paraId="57266326" w14:textId="77777777" w:rsidR="008043A0" w:rsidRDefault="008043A0" w:rsidP="0006775A">
      <w:pPr>
        <w:spacing w:after="0" w:line="240" w:lineRule="auto"/>
        <w:rPr>
          <w:rFonts w:cstheme="minorHAnsi"/>
        </w:rPr>
      </w:pPr>
    </w:p>
    <w:p w14:paraId="792FF4EE" w14:textId="6524968D" w:rsidR="0006775A" w:rsidRDefault="0006775A" w:rsidP="0006775A">
      <w:pPr>
        <w:spacing w:after="0" w:line="240" w:lineRule="auto"/>
        <w:rPr>
          <w:rFonts w:cstheme="minorHAnsi"/>
        </w:rPr>
      </w:pPr>
      <w:r>
        <w:rPr>
          <w:rFonts w:cstheme="minorHAnsi"/>
        </w:rPr>
        <w:t>The working group, drawing on evidence from transition audits</w:t>
      </w:r>
      <w:r w:rsidR="008043A0">
        <w:rPr>
          <w:rFonts w:cstheme="minorHAnsi"/>
        </w:rPr>
        <w:t xml:space="preserve"> referenced in our previous plan</w:t>
      </w:r>
      <w:r>
        <w:rPr>
          <w:rFonts w:cstheme="minorHAnsi"/>
        </w:rPr>
        <w:t>, has highlighted the need for a</w:t>
      </w:r>
      <w:r w:rsidRPr="00974AB6">
        <w:rPr>
          <w:rFonts w:cstheme="minorHAnsi"/>
        </w:rPr>
        <w:t xml:space="preserve"> more effective strategy for managing younger adults</w:t>
      </w:r>
      <w:r w:rsidR="008043A0">
        <w:rPr>
          <w:rFonts w:cstheme="minorHAnsi"/>
        </w:rPr>
        <w:t xml:space="preserve">.  This includes the need to foster consistency of assessment and care planning practice across children and adult services – </w:t>
      </w:r>
      <w:proofErr w:type="gramStart"/>
      <w:r w:rsidR="008043A0">
        <w:rPr>
          <w:rFonts w:cstheme="minorHAnsi"/>
        </w:rPr>
        <w:t>including in particular</w:t>
      </w:r>
      <w:r w:rsidR="00E14F71">
        <w:rPr>
          <w:rFonts w:cstheme="minorHAnsi"/>
        </w:rPr>
        <w:t>,</w:t>
      </w:r>
      <w:r w:rsidR="008043A0">
        <w:rPr>
          <w:rFonts w:cstheme="minorHAnsi"/>
        </w:rPr>
        <w:t xml:space="preserve"> securing</w:t>
      </w:r>
      <w:proofErr w:type="gramEnd"/>
      <w:r w:rsidR="008043A0">
        <w:rPr>
          <w:rFonts w:cstheme="minorHAnsi"/>
        </w:rPr>
        <w:t xml:space="preserve"> greater value from review processes, to ensure that individual outcomes are clear and focused on promoting independence across the life course.  We are also working </w:t>
      </w:r>
      <w:r w:rsidRPr="00974AB6">
        <w:rPr>
          <w:rFonts w:cstheme="minorHAnsi"/>
        </w:rPr>
        <w:t>to develop</w:t>
      </w:r>
      <w:r w:rsidR="00D9316C">
        <w:rPr>
          <w:rFonts w:cstheme="minorHAnsi"/>
        </w:rPr>
        <w:t xml:space="preserve"> a</w:t>
      </w:r>
      <w:r w:rsidRPr="00974AB6">
        <w:rPr>
          <w:rFonts w:cstheme="minorHAnsi"/>
        </w:rPr>
        <w:t xml:space="preserve"> joint commissioning strategy for complex younger people with long term care needs</w:t>
      </w:r>
      <w:r w:rsidR="008043A0">
        <w:rPr>
          <w:rFonts w:cstheme="minorHAnsi"/>
        </w:rPr>
        <w:t>.</w:t>
      </w:r>
    </w:p>
    <w:p w14:paraId="12048A4D" w14:textId="5EA4BFE4" w:rsidR="008043A0" w:rsidRDefault="008043A0" w:rsidP="008043A0">
      <w:pPr>
        <w:spacing w:after="0" w:line="240" w:lineRule="auto"/>
        <w:rPr>
          <w:rFonts w:cstheme="minorHAnsi"/>
        </w:rPr>
      </w:pPr>
    </w:p>
    <w:p w14:paraId="54E14230" w14:textId="09547AEC" w:rsidR="00BF6E8D" w:rsidRPr="00BF6E8D" w:rsidRDefault="00BF6E8D" w:rsidP="00BF6E8D">
      <w:bookmarkStart w:id="4" w:name="_Hlk85101883"/>
      <w:proofErr w:type="gramStart"/>
      <w:r w:rsidRPr="00BF6E8D">
        <w:t>With regard to</w:t>
      </w:r>
      <w:proofErr w:type="gramEnd"/>
      <w:r w:rsidRPr="00BF6E8D">
        <w:t xml:space="preserve"> housing, there is significant engagement and improved methods of working, that pull together both the strategic, enforcement and home options teams </w:t>
      </w:r>
      <w:r w:rsidR="00D9316C">
        <w:t xml:space="preserve">in the Council </w:t>
      </w:r>
      <w:r w:rsidRPr="00BF6E8D">
        <w:t xml:space="preserve">as well as </w:t>
      </w:r>
      <w:r w:rsidR="00D9316C">
        <w:t xml:space="preserve">teams in </w:t>
      </w:r>
      <w:r w:rsidRPr="00BF6E8D">
        <w:t xml:space="preserve">the CCG.  This positive interface between services is beginning to deliver a pathway to address previous weaknesses.  Work will continue to shape the pathway, supported by agreed principles for shared working.  Housing plays a key role </w:t>
      </w:r>
      <w:r w:rsidR="00D9316C">
        <w:t xml:space="preserve">in </w:t>
      </w:r>
      <w:r w:rsidRPr="00BF6E8D">
        <w:t>complement</w:t>
      </w:r>
      <w:r w:rsidR="00D9316C">
        <w:t>ing</w:t>
      </w:r>
      <w:r w:rsidRPr="00BF6E8D">
        <w:t xml:space="preserve"> the delivery of the BCF. </w:t>
      </w:r>
    </w:p>
    <w:p w14:paraId="2ADC6CDD" w14:textId="24779C83" w:rsidR="008043A0" w:rsidRDefault="00BF6E8D" w:rsidP="00BF6E8D">
      <w:pPr>
        <w:spacing w:after="0" w:line="240" w:lineRule="auto"/>
      </w:pPr>
      <w:r w:rsidRPr="00BF6E8D">
        <w:t xml:space="preserve">The Strategic Housing Action Plan provides clarity around key housing challenges.  It sets out four key interdependent themes including housing’s contribution to improving health/ wellbeing. </w:t>
      </w:r>
      <w:r w:rsidR="00C2761E">
        <w:t xml:space="preserve"> </w:t>
      </w:r>
      <w:r w:rsidRPr="00BF6E8D">
        <w:t>The Plan includes building closer working relationships with adult services and other appropriate adult care agencies, promoting health and welfare, building independence and resilience and opportunity related to housing, and sharing resources to deliver positive housing outcomes for adults.</w:t>
      </w:r>
      <w:r w:rsidRPr="00A03090">
        <w:t xml:space="preserve">  </w:t>
      </w:r>
    </w:p>
    <w:p w14:paraId="7333E970" w14:textId="298F5C82" w:rsidR="00C533FE" w:rsidRDefault="00C533FE" w:rsidP="00BF6E8D">
      <w:pPr>
        <w:spacing w:after="0" w:line="240" w:lineRule="auto"/>
      </w:pPr>
    </w:p>
    <w:p w14:paraId="7BDCB393" w14:textId="5B14DFF7" w:rsidR="00C533FE" w:rsidRPr="00C533FE" w:rsidRDefault="00C533FE" w:rsidP="00BF6E8D">
      <w:pPr>
        <w:spacing w:after="0" w:line="240" w:lineRule="auto"/>
        <w:rPr>
          <w:rFonts w:cstheme="minorHAnsi"/>
          <w:i/>
          <w:iCs/>
        </w:rPr>
      </w:pPr>
      <w:r w:rsidRPr="00C533FE">
        <w:rPr>
          <w:i/>
          <w:iCs/>
        </w:rPr>
        <w:t>Priority: continue with the programme of work focused on ensuring staff identify individual outcomes and</w:t>
      </w:r>
      <w:r w:rsidR="00D9316C">
        <w:rPr>
          <w:i/>
          <w:iCs/>
        </w:rPr>
        <w:t xml:space="preserve"> the</w:t>
      </w:r>
      <w:r w:rsidRPr="00C533FE">
        <w:rPr>
          <w:i/>
          <w:iCs/>
        </w:rPr>
        <w:t xml:space="preserve"> progress towards meeting </w:t>
      </w:r>
      <w:r w:rsidR="00D9316C">
        <w:rPr>
          <w:i/>
          <w:iCs/>
        </w:rPr>
        <w:t xml:space="preserve">those </w:t>
      </w:r>
      <w:r w:rsidRPr="00C533FE">
        <w:rPr>
          <w:i/>
          <w:iCs/>
        </w:rPr>
        <w:t xml:space="preserve">outcomes, across the life course and across services.   </w:t>
      </w:r>
    </w:p>
    <w:p w14:paraId="3D2206A9" w14:textId="77777777" w:rsidR="00BF6E8D" w:rsidRDefault="00BF6E8D" w:rsidP="00974AB6">
      <w:pPr>
        <w:spacing w:after="0" w:line="240" w:lineRule="auto"/>
        <w:rPr>
          <w:rFonts w:cstheme="minorHAnsi"/>
        </w:rPr>
      </w:pPr>
    </w:p>
    <w:bookmarkEnd w:id="4"/>
    <w:p w14:paraId="2B7B8224" w14:textId="4DFEA58E" w:rsidR="004F460B" w:rsidRDefault="004F460B" w:rsidP="00974AB6">
      <w:pPr>
        <w:spacing w:after="0" w:line="240" w:lineRule="auto"/>
        <w:rPr>
          <w:rFonts w:cstheme="minorHAnsi"/>
        </w:rPr>
      </w:pPr>
      <w:r w:rsidRPr="004F460B">
        <w:rPr>
          <w:rFonts w:cstheme="minorHAnsi"/>
        </w:rPr>
        <w:t>Collecting information</w:t>
      </w:r>
    </w:p>
    <w:p w14:paraId="4FA14CD3" w14:textId="54A70FAE" w:rsidR="001F2159" w:rsidRPr="001F2159" w:rsidRDefault="001F2159" w:rsidP="001F2159">
      <w:pPr>
        <w:spacing w:after="0" w:line="240" w:lineRule="auto"/>
        <w:contextualSpacing/>
        <w:rPr>
          <w:rFonts w:eastAsiaTheme="minorEastAsia" w:hAnsi="Calibri"/>
          <w:color w:val="000000" w:themeColor="text1"/>
          <w:kern w:val="24"/>
          <w:lang w:eastAsia="en-GB"/>
        </w:rPr>
      </w:pPr>
      <w:r w:rsidRPr="001F2159">
        <w:rPr>
          <w:rFonts w:eastAsiaTheme="minorEastAsia" w:hAnsi="Calibri"/>
          <w:color w:val="000000" w:themeColor="text1"/>
          <w:kern w:val="24"/>
          <w:lang w:eastAsia="en-GB"/>
        </w:rPr>
        <w:t xml:space="preserve">The </w:t>
      </w:r>
      <w:r w:rsidR="00E665CC">
        <w:rPr>
          <w:rFonts w:eastAsiaTheme="minorEastAsia" w:hAnsi="Calibri"/>
          <w:color w:val="000000" w:themeColor="text1"/>
          <w:kern w:val="24"/>
          <w:lang w:eastAsia="en-GB"/>
        </w:rPr>
        <w:t xml:space="preserve">multi-disciplinary </w:t>
      </w:r>
      <w:r w:rsidRPr="001F2159">
        <w:rPr>
          <w:rFonts w:eastAsiaTheme="minorEastAsia" w:hAnsi="Calibri"/>
          <w:color w:val="000000" w:themeColor="text1"/>
          <w:kern w:val="24"/>
          <w:lang w:eastAsia="en-GB"/>
        </w:rPr>
        <w:t>Insights Group</w:t>
      </w:r>
      <w:r>
        <w:rPr>
          <w:rFonts w:eastAsiaTheme="minorEastAsia" w:hAnsi="Calibri"/>
          <w:color w:val="000000" w:themeColor="text1"/>
          <w:kern w:val="24"/>
          <w:lang w:eastAsia="en-GB"/>
        </w:rPr>
        <w:t xml:space="preserve"> </w:t>
      </w:r>
      <w:r w:rsidR="00E665CC">
        <w:rPr>
          <w:rFonts w:eastAsiaTheme="minorEastAsia" w:hAnsi="Calibri"/>
          <w:color w:val="000000" w:themeColor="text1"/>
          <w:kern w:val="24"/>
          <w:lang w:eastAsia="en-GB"/>
        </w:rPr>
        <w:t xml:space="preserve">(core project group) </w:t>
      </w:r>
      <w:r>
        <w:rPr>
          <w:rFonts w:eastAsiaTheme="minorEastAsia" w:hAnsi="Calibri"/>
          <w:color w:val="000000" w:themeColor="text1"/>
          <w:kern w:val="24"/>
          <w:lang w:eastAsia="en-GB"/>
        </w:rPr>
        <w:t>has clarified the purpose of this work</w:t>
      </w:r>
      <w:r w:rsidR="00E665CC">
        <w:rPr>
          <w:rFonts w:eastAsiaTheme="minorEastAsia" w:hAnsi="Calibri"/>
          <w:color w:val="000000" w:themeColor="text1"/>
          <w:kern w:val="24"/>
          <w:lang w:eastAsia="en-GB"/>
        </w:rPr>
        <w:t>:</w:t>
      </w:r>
      <w:r>
        <w:rPr>
          <w:rFonts w:eastAsiaTheme="minorEastAsia" w:hAnsi="Calibri"/>
          <w:color w:val="000000" w:themeColor="text1"/>
          <w:kern w:val="24"/>
          <w:lang w:eastAsia="en-GB"/>
        </w:rPr>
        <w:t xml:space="preserve"> </w:t>
      </w:r>
      <w:r w:rsidRPr="001F2159">
        <w:rPr>
          <w:rFonts w:eastAsiaTheme="minorEastAsia" w:hAnsi="Calibri"/>
          <w:color w:val="000000" w:themeColor="text1"/>
          <w:kern w:val="24"/>
          <w:lang w:eastAsia="en-GB"/>
        </w:rPr>
        <w:t xml:space="preserve"> </w:t>
      </w:r>
    </w:p>
    <w:p w14:paraId="55A1278B" w14:textId="77777777" w:rsidR="00D21DE1" w:rsidRPr="00D21DE1" w:rsidRDefault="001F2159" w:rsidP="00D21DE1">
      <w:pPr>
        <w:pStyle w:val="ListParagraph"/>
        <w:numPr>
          <w:ilvl w:val="0"/>
          <w:numId w:val="33"/>
        </w:numPr>
        <w:spacing w:after="0" w:line="240" w:lineRule="auto"/>
        <w:rPr>
          <w:rFonts w:ascii="Times New Roman" w:eastAsia="Times New Roman" w:hAnsi="Times New Roman" w:cs="Times New Roman"/>
          <w:lang w:eastAsia="en-GB"/>
        </w:rPr>
      </w:pPr>
      <w:r w:rsidRPr="001F2159">
        <w:rPr>
          <w:rFonts w:eastAsiaTheme="minorEastAsia" w:hAnsi="Calibri"/>
          <w:color w:val="000000" w:themeColor="text1"/>
          <w:kern w:val="24"/>
          <w:lang w:eastAsia="en-GB"/>
        </w:rPr>
        <w:t>To ensure we know what data and information we hold, (and gather) where it is, who is responsible for it and what we can do with it</w:t>
      </w:r>
    </w:p>
    <w:p w14:paraId="6EB34264" w14:textId="77777777" w:rsidR="00D21DE1" w:rsidRPr="00D21DE1" w:rsidRDefault="001F2159" w:rsidP="00D21DE1">
      <w:pPr>
        <w:pStyle w:val="ListParagraph"/>
        <w:numPr>
          <w:ilvl w:val="0"/>
          <w:numId w:val="33"/>
        </w:numPr>
        <w:spacing w:after="0" w:line="240" w:lineRule="auto"/>
        <w:rPr>
          <w:rFonts w:ascii="Times New Roman" w:eastAsia="Times New Roman" w:hAnsi="Times New Roman" w:cs="Times New Roman"/>
          <w:lang w:eastAsia="en-GB"/>
        </w:rPr>
      </w:pPr>
      <w:r w:rsidRPr="00D21DE1">
        <w:rPr>
          <w:rFonts w:eastAsiaTheme="minorEastAsia" w:hAnsi="Calibri"/>
          <w:color w:val="000000" w:themeColor="text1"/>
          <w:kern w:val="24"/>
          <w:lang w:eastAsia="en-GB"/>
        </w:rPr>
        <w:t xml:space="preserve">If we bring together the right information (all of it) at the right time, we can define the insights we need to make a positive impact on our planning. </w:t>
      </w:r>
      <w:r w:rsidR="00D21DE1" w:rsidRPr="00D21DE1">
        <w:rPr>
          <w:rFonts w:eastAsiaTheme="minorEastAsia" w:hAnsi="Calibri"/>
          <w:color w:val="000000" w:themeColor="text1"/>
          <w:kern w:val="24"/>
          <w:lang w:eastAsia="en-GB"/>
        </w:rPr>
        <w:t xml:space="preserve"> </w:t>
      </w:r>
      <w:r w:rsidRPr="00D21DE1">
        <w:rPr>
          <w:rFonts w:eastAsiaTheme="minorEastAsia" w:hAnsi="Calibri"/>
          <w:color w:val="000000" w:themeColor="text1"/>
          <w:kern w:val="24"/>
          <w:lang w:eastAsia="en-GB"/>
        </w:rPr>
        <w:t>This, in turn, will improve the lives of people within NEL</w:t>
      </w:r>
    </w:p>
    <w:p w14:paraId="41A48BCE" w14:textId="5531F0AC" w:rsidR="001F2159" w:rsidRPr="00E665CC" w:rsidRDefault="001F2159" w:rsidP="00D21DE1">
      <w:pPr>
        <w:pStyle w:val="ListParagraph"/>
        <w:numPr>
          <w:ilvl w:val="0"/>
          <w:numId w:val="33"/>
        </w:numPr>
        <w:spacing w:after="0" w:line="240" w:lineRule="auto"/>
        <w:rPr>
          <w:rFonts w:ascii="Times New Roman" w:eastAsia="Times New Roman" w:hAnsi="Times New Roman" w:cs="Times New Roman"/>
          <w:lang w:eastAsia="en-GB"/>
        </w:rPr>
      </w:pPr>
      <w:r w:rsidRPr="00D21DE1">
        <w:rPr>
          <w:rFonts w:eastAsiaTheme="minorEastAsia" w:hAnsi="Calibri"/>
          <w:color w:val="000000" w:themeColor="text1"/>
          <w:kern w:val="24"/>
          <w:lang w:eastAsia="en-GB"/>
        </w:rPr>
        <w:t>We will use this information to understand key issues.</w:t>
      </w:r>
      <w:r w:rsidR="00347FE0">
        <w:rPr>
          <w:rFonts w:eastAsiaTheme="minorEastAsia" w:hAnsi="Calibri"/>
          <w:color w:val="000000" w:themeColor="text1"/>
          <w:kern w:val="24"/>
          <w:lang w:eastAsia="en-GB"/>
        </w:rPr>
        <w:t xml:space="preserve"> </w:t>
      </w:r>
      <w:r w:rsidRPr="00D21DE1">
        <w:rPr>
          <w:rFonts w:eastAsiaTheme="minorEastAsia" w:hAnsi="Calibri"/>
          <w:color w:val="000000" w:themeColor="text1"/>
          <w:kern w:val="24"/>
          <w:lang w:eastAsia="en-GB"/>
        </w:rPr>
        <w:t xml:space="preserve"> Listening to </w:t>
      </w:r>
      <w:r w:rsidR="00347FE0">
        <w:rPr>
          <w:rFonts w:eastAsiaTheme="minorEastAsia" w:hAnsi="Calibri"/>
          <w:color w:val="000000" w:themeColor="text1"/>
          <w:kern w:val="24"/>
          <w:lang w:eastAsia="en-GB"/>
        </w:rPr>
        <w:t>local</w:t>
      </w:r>
      <w:r w:rsidRPr="00D21DE1">
        <w:rPr>
          <w:rFonts w:eastAsiaTheme="minorEastAsia" w:hAnsi="Calibri"/>
          <w:color w:val="000000" w:themeColor="text1"/>
          <w:kern w:val="24"/>
          <w:lang w:eastAsia="en-GB"/>
        </w:rPr>
        <w:t xml:space="preserve"> people will put us in a better position to help them and to deliver messages to them in the right way.</w:t>
      </w:r>
    </w:p>
    <w:p w14:paraId="68758B53" w14:textId="027AF988" w:rsidR="00B47D61" w:rsidRDefault="00B47D61" w:rsidP="00B47D61">
      <w:pPr>
        <w:pStyle w:val="NormalWeb"/>
        <w:spacing w:before="200" w:beforeAutospacing="0" w:after="0" w:afterAutospacing="0" w:line="216" w:lineRule="auto"/>
        <w:rPr>
          <w:rFonts w:asciiTheme="minorHAnsi" w:eastAsiaTheme="minorEastAsia" w:hAnsiTheme="minorHAnsi" w:cstheme="minorHAnsi"/>
          <w:color w:val="000000" w:themeColor="text1"/>
          <w:kern w:val="24"/>
          <w:sz w:val="22"/>
          <w:szCs w:val="22"/>
        </w:rPr>
      </w:pPr>
      <w:r>
        <w:rPr>
          <w:rFonts w:asciiTheme="minorHAnsi" w:eastAsiaTheme="minorEastAsia" w:hAnsiTheme="minorHAnsi" w:cstheme="minorHAnsi"/>
          <w:color w:val="000000" w:themeColor="text1"/>
          <w:kern w:val="24"/>
          <w:sz w:val="22"/>
          <w:szCs w:val="22"/>
        </w:rPr>
        <w:t>O</w:t>
      </w:r>
      <w:r w:rsidR="00E665CC" w:rsidRPr="00B47D61">
        <w:rPr>
          <w:rFonts w:asciiTheme="minorHAnsi" w:eastAsiaTheme="minorEastAsia" w:hAnsiTheme="minorHAnsi" w:cstheme="minorHAnsi"/>
          <w:color w:val="000000" w:themeColor="text1"/>
          <w:kern w:val="24"/>
          <w:sz w:val="22"/>
          <w:szCs w:val="22"/>
        </w:rPr>
        <w:t xml:space="preserve">ver the summer we have been working to fully assess the </w:t>
      </w:r>
      <w:r w:rsidRPr="00B47D61">
        <w:rPr>
          <w:rFonts w:asciiTheme="minorHAnsi" w:eastAsiaTheme="minorEastAsia" w:hAnsiTheme="minorHAnsi" w:cstheme="minorHAnsi"/>
          <w:color w:val="000000" w:themeColor="text1"/>
          <w:kern w:val="24"/>
          <w:sz w:val="22"/>
          <w:szCs w:val="22"/>
        </w:rPr>
        <w:t>current</w:t>
      </w:r>
      <w:r w:rsidR="00E665CC" w:rsidRPr="00B47D61">
        <w:rPr>
          <w:rFonts w:asciiTheme="minorHAnsi" w:eastAsiaTheme="minorEastAsia" w:hAnsiTheme="minorHAnsi" w:cstheme="minorHAnsi"/>
          <w:color w:val="000000" w:themeColor="text1"/>
          <w:kern w:val="24"/>
          <w:sz w:val="22"/>
          <w:szCs w:val="22"/>
        </w:rPr>
        <w:t xml:space="preserve"> picture of how we hold, </w:t>
      </w:r>
      <w:proofErr w:type="gramStart"/>
      <w:r w:rsidR="00E665CC" w:rsidRPr="00B47D61">
        <w:rPr>
          <w:rFonts w:asciiTheme="minorHAnsi" w:eastAsiaTheme="minorEastAsia" w:hAnsiTheme="minorHAnsi" w:cstheme="minorHAnsi"/>
          <w:color w:val="000000" w:themeColor="text1"/>
          <w:kern w:val="24"/>
          <w:sz w:val="22"/>
          <w:szCs w:val="22"/>
        </w:rPr>
        <w:t>engage</w:t>
      </w:r>
      <w:proofErr w:type="gramEnd"/>
      <w:r w:rsidR="00E665CC" w:rsidRPr="00B47D61">
        <w:rPr>
          <w:rFonts w:asciiTheme="minorHAnsi" w:eastAsiaTheme="minorEastAsia" w:hAnsiTheme="minorHAnsi" w:cstheme="minorHAnsi"/>
          <w:color w:val="000000" w:themeColor="text1"/>
          <w:kern w:val="24"/>
          <w:sz w:val="22"/>
          <w:szCs w:val="22"/>
        </w:rPr>
        <w:t xml:space="preserve"> and receive qualitative and quantitative information in NEL focusing first on Council and CCG processes.</w:t>
      </w:r>
      <w:r>
        <w:rPr>
          <w:rFonts w:asciiTheme="minorHAnsi" w:eastAsiaTheme="minorEastAsia" w:hAnsiTheme="minorHAnsi" w:cstheme="minorHAnsi"/>
          <w:color w:val="000000" w:themeColor="text1"/>
          <w:kern w:val="24"/>
          <w:sz w:val="22"/>
          <w:szCs w:val="22"/>
        </w:rPr>
        <w:t xml:space="preserve">  The work has already linked with ICP development.  </w:t>
      </w:r>
      <w:r w:rsidRPr="00B47D61">
        <w:rPr>
          <w:rFonts w:asciiTheme="minorHAnsi" w:eastAsiaTheme="minorEastAsia" w:hAnsiTheme="minorHAnsi" w:cstheme="minorHAnsi"/>
          <w:color w:val="000000" w:themeColor="text1"/>
          <w:kern w:val="24"/>
          <w:sz w:val="22"/>
          <w:szCs w:val="22"/>
        </w:rPr>
        <w:t xml:space="preserve">During </w:t>
      </w:r>
      <w:r>
        <w:rPr>
          <w:rFonts w:asciiTheme="minorHAnsi" w:eastAsiaTheme="minorEastAsia" w:hAnsiTheme="minorHAnsi" w:cstheme="minorHAnsi"/>
          <w:color w:val="000000" w:themeColor="text1"/>
          <w:kern w:val="24"/>
          <w:sz w:val="22"/>
          <w:szCs w:val="22"/>
        </w:rPr>
        <w:t>a</w:t>
      </w:r>
      <w:r w:rsidRPr="00B47D61">
        <w:rPr>
          <w:rFonts w:asciiTheme="minorHAnsi" w:eastAsiaTheme="minorEastAsia" w:hAnsiTheme="minorHAnsi" w:cstheme="minorHAnsi"/>
          <w:color w:val="000000" w:themeColor="text1"/>
          <w:kern w:val="24"/>
          <w:sz w:val="22"/>
          <w:szCs w:val="22"/>
        </w:rPr>
        <w:t>utumn, we are working in partnership to theme and draw insights from the information we have gathered and hope to prove some of our early assumptions.  We will identify opportunities and potential solutions</w:t>
      </w:r>
      <w:r>
        <w:rPr>
          <w:rFonts w:asciiTheme="minorHAnsi" w:eastAsiaTheme="minorEastAsia" w:hAnsiTheme="minorHAnsi" w:cstheme="minorHAnsi"/>
          <w:color w:val="000000" w:themeColor="text1"/>
          <w:kern w:val="24"/>
          <w:sz w:val="22"/>
          <w:szCs w:val="22"/>
        </w:rPr>
        <w:t xml:space="preserve">, and then reach </w:t>
      </w:r>
      <w:r w:rsidRPr="00B47D61">
        <w:rPr>
          <w:rFonts w:asciiTheme="minorHAnsi" w:eastAsiaTheme="minorEastAsia" w:hAnsiTheme="minorHAnsi" w:cstheme="minorHAnsi"/>
          <w:color w:val="000000" w:themeColor="text1"/>
          <w:kern w:val="24"/>
          <w:sz w:val="22"/>
          <w:szCs w:val="22"/>
        </w:rPr>
        <w:t xml:space="preserve">out more widely with </w:t>
      </w:r>
      <w:r w:rsidR="00347FE0">
        <w:rPr>
          <w:rFonts w:asciiTheme="minorHAnsi" w:eastAsiaTheme="minorEastAsia" w:hAnsiTheme="minorHAnsi" w:cstheme="minorHAnsi"/>
          <w:color w:val="000000" w:themeColor="text1"/>
          <w:kern w:val="24"/>
          <w:sz w:val="22"/>
          <w:szCs w:val="22"/>
        </w:rPr>
        <w:t>VCSE</w:t>
      </w:r>
      <w:r w:rsidR="00347FE0" w:rsidRPr="00B47D61">
        <w:rPr>
          <w:rFonts w:asciiTheme="minorHAnsi" w:eastAsiaTheme="minorEastAsia" w:hAnsiTheme="minorHAnsi" w:cstheme="minorHAnsi"/>
          <w:color w:val="000000" w:themeColor="text1"/>
          <w:kern w:val="24"/>
          <w:sz w:val="22"/>
          <w:szCs w:val="22"/>
        </w:rPr>
        <w:t xml:space="preserve"> and </w:t>
      </w:r>
      <w:r w:rsidRPr="00B47D61">
        <w:rPr>
          <w:rFonts w:asciiTheme="minorHAnsi" w:eastAsiaTheme="minorEastAsia" w:hAnsiTheme="minorHAnsi" w:cstheme="minorHAnsi"/>
          <w:color w:val="000000" w:themeColor="text1"/>
          <w:kern w:val="24"/>
          <w:sz w:val="22"/>
          <w:szCs w:val="22"/>
        </w:rPr>
        <w:t xml:space="preserve">partners across </w:t>
      </w:r>
      <w:r w:rsidR="00347FE0">
        <w:rPr>
          <w:rFonts w:asciiTheme="minorHAnsi" w:eastAsiaTheme="minorEastAsia" w:hAnsiTheme="minorHAnsi" w:cstheme="minorHAnsi"/>
          <w:color w:val="000000" w:themeColor="text1"/>
          <w:kern w:val="24"/>
          <w:sz w:val="22"/>
          <w:szCs w:val="22"/>
        </w:rPr>
        <w:t>NEL</w:t>
      </w:r>
      <w:r>
        <w:rPr>
          <w:rFonts w:asciiTheme="minorHAnsi" w:eastAsiaTheme="minorEastAsia" w:hAnsiTheme="minorHAnsi" w:cstheme="minorHAnsi"/>
          <w:color w:val="000000" w:themeColor="text1"/>
          <w:kern w:val="24"/>
          <w:sz w:val="22"/>
          <w:szCs w:val="22"/>
        </w:rPr>
        <w:t xml:space="preserve"> to test ideas</w:t>
      </w:r>
      <w:r w:rsidRPr="00B47D61">
        <w:rPr>
          <w:rFonts w:asciiTheme="minorHAnsi" w:eastAsiaTheme="minorEastAsia" w:hAnsiTheme="minorHAnsi" w:cstheme="minorHAnsi"/>
          <w:color w:val="000000" w:themeColor="text1"/>
          <w:kern w:val="24"/>
          <w:sz w:val="22"/>
          <w:szCs w:val="22"/>
        </w:rPr>
        <w:t>.</w:t>
      </w:r>
      <w:r>
        <w:rPr>
          <w:rFonts w:asciiTheme="minorHAnsi" w:eastAsiaTheme="minorEastAsia" w:hAnsiTheme="minorHAnsi" w:cstheme="minorHAnsi"/>
          <w:color w:val="000000" w:themeColor="text1"/>
          <w:kern w:val="24"/>
          <w:sz w:val="22"/>
          <w:szCs w:val="22"/>
        </w:rPr>
        <w:t xml:space="preserve">  </w:t>
      </w:r>
      <w:r w:rsidRPr="00B47D61">
        <w:rPr>
          <w:rFonts w:asciiTheme="minorHAnsi" w:eastAsiaTheme="minorEastAsia" w:hAnsi="Calibri" w:cstheme="minorBidi"/>
          <w:color w:val="000000" w:themeColor="text1"/>
          <w:kern w:val="24"/>
          <w:sz w:val="22"/>
          <w:szCs w:val="22"/>
        </w:rPr>
        <w:t xml:space="preserve">As we move into </w:t>
      </w:r>
      <w:r w:rsidR="00347FE0">
        <w:rPr>
          <w:rFonts w:asciiTheme="minorHAnsi" w:eastAsiaTheme="minorEastAsia" w:hAnsi="Calibri" w:cstheme="minorBidi"/>
          <w:color w:val="000000" w:themeColor="text1"/>
          <w:kern w:val="24"/>
          <w:sz w:val="22"/>
          <w:szCs w:val="22"/>
        </w:rPr>
        <w:t>w</w:t>
      </w:r>
      <w:r w:rsidRPr="00B47D61">
        <w:rPr>
          <w:rFonts w:asciiTheme="minorHAnsi" w:eastAsiaTheme="minorEastAsia" w:hAnsi="Calibri" w:cstheme="minorBidi"/>
          <w:color w:val="000000" w:themeColor="text1"/>
          <w:kern w:val="24"/>
          <w:sz w:val="22"/>
          <w:szCs w:val="22"/>
        </w:rPr>
        <w:t xml:space="preserve">inter, we hope to be able to pilot some of our shared solutions across </w:t>
      </w:r>
      <w:r>
        <w:rPr>
          <w:rFonts w:asciiTheme="minorHAnsi" w:eastAsiaTheme="minorEastAsia" w:hAnsi="Calibri" w:cstheme="minorBidi"/>
          <w:color w:val="000000" w:themeColor="text1"/>
          <w:kern w:val="24"/>
          <w:sz w:val="22"/>
          <w:szCs w:val="22"/>
        </w:rPr>
        <w:t>the Council</w:t>
      </w:r>
      <w:r w:rsidRPr="00B47D61">
        <w:rPr>
          <w:rFonts w:asciiTheme="minorHAnsi" w:eastAsiaTheme="minorEastAsia" w:hAnsi="Calibri" w:cstheme="minorBidi"/>
          <w:color w:val="000000" w:themeColor="text1"/>
          <w:kern w:val="24"/>
          <w:sz w:val="22"/>
          <w:szCs w:val="22"/>
        </w:rPr>
        <w:t>/</w:t>
      </w:r>
      <w:r>
        <w:rPr>
          <w:rFonts w:asciiTheme="minorHAnsi" w:eastAsiaTheme="minorEastAsia" w:hAnsi="Calibri" w:cstheme="minorBidi"/>
          <w:color w:val="000000" w:themeColor="text1"/>
          <w:kern w:val="24"/>
          <w:sz w:val="22"/>
          <w:szCs w:val="22"/>
        </w:rPr>
        <w:t xml:space="preserve"> </w:t>
      </w:r>
      <w:r w:rsidRPr="00B47D61">
        <w:rPr>
          <w:rFonts w:asciiTheme="minorHAnsi" w:eastAsiaTheme="minorEastAsia" w:hAnsi="Calibri" w:cstheme="minorBidi"/>
          <w:color w:val="000000" w:themeColor="text1"/>
          <w:kern w:val="24"/>
          <w:sz w:val="22"/>
          <w:szCs w:val="22"/>
        </w:rPr>
        <w:t>CCG</w:t>
      </w:r>
      <w:r>
        <w:rPr>
          <w:rFonts w:asciiTheme="minorHAnsi" w:eastAsiaTheme="minorEastAsia" w:hAnsi="Calibri" w:cstheme="minorBidi"/>
          <w:color w:val="000000" w:themeColor="text1"/>
          <w:kern w:val="24"/>
          <w:sz w:val="22"/>
          <w:szCs w:val="22"/>
        </w:rPr>
        <w:t xml:space="preserve">.  </w:t>
      </w:r>
      <w:r w:rsidRPr="00B47D61">
        <w:rPr>
          <w:rFonts w:asciiTheme="minorHAnsi" w:eastAsiaTheme="minorEastAsia" w:hAnsiTheme="minorHAnsi" w:cstheme="minorHAnsi"/>
          <w:color w:val="000000" w:themeColor="text1"/>
          <w:kern w:val="24"/>
          <w:sz w:val="22"/>
          <w:szCs w:val="22"/>
        </w:rPr>
        <w:t xml:space="preserve">Whilst some change </w:t>
      </w:r>
      <w:r w:rsidR="00347FE0">
        <w:rPr>
          <w:rFonts w:asciiTheme="minorHAnsi" w:eastAsiaTheme="minorEastAsia" w:hAnsiTheme="minorHAnsi" w:cstheme="minorHAnsi"/>
          <w:color w:val="000000" w:themeColor="text1"/>
          <w:kern w:val="24"/>
          <w:sz w:val="22"/>
          <w:szCs w:val="22"/>
        </w:rPr>
        <w:t>may</w:t>
      </w:r>
      <w:r w:rsidRPr="00B47D61">
        <w:rPr>
          <w:rFonts w:asciiTheme="minorHAnsi" w:eastAsiaTheme="minorEastAsia" w:hAnsiTheme="minorHAnsi" w:cstheme="minorHAnsi"/>
          <w:color w:val="000000" w:themeColor="text1"/>
          <w:kern w:val="24"/>
          <w:sz w:val="22"/>
          <w:szCs w:val="22"/>
        </w:rPr>
        <w:t xml:space="preserve"> be quick</w:t>
      </w:r>
      <w:r w:rsidR="00347FE0">
        <w:rPr>
          <w:rFonts w:asciiTheme="minorHAnsi" w:eastAsiaTheme="minorEastAsia" w:hAnsiTheme="minorHAnsi" w:cstheme="minorHAnsi"/>
          <w:color w:val="000000" w:themeColor="text1"/>
          <w:kern w:val="24"/>
          <w:sz w:val="22"/>
          <w:szCs w:val="22"/>
        </w:rPr>
        <w:t>, t</w:t>
      </w:r>
      <w:r>
        <w:rPr>
          <w:rFonts w:asciiTheme="minorHAnsi" w:eastAsiaTheme="minorEastAsia" w:hAnsiTheme="minorHAnsi" w:cstheme="minorHAnsi"/>
          <w:color w:val="000000" w:themeColor="text1"/>
          <w:kern w:val="24"/>
          <w:sz w:val="22"/>
          <w:szCs w:val="22"/>
        </w:rPr>
        <w:t xml:space="preserve">he overall programme of work will be </w:t>
      </w:r>
      <w:r w:rsidRPr="00B47D61">
        <w:rPr>
          <w:rFonts w:asciiTheme="minorHAnsi" w:eastAsiaTheme="minorEastAsia" w:hAnsiTheme="minorHAnsi" w:cstheme="minorHAnsi"/>
          <w:color w:val="000000" w:themeColor="text1"/>
          <w:kern w:val="24"/>
          <w:sz w:val="22"/>
          <w:szCs w:val="22"/>
        </w:rPr>
        <w:t>ongoing</w:t>
      </w:r>
      <w:r w:rsidR="00347FE0">
        <w:rPr>
          <w:rFonts w:asciiTheme="minorHAnsi" w:eastAsiaTheme="minorEastAsia" w:hAnsiTheme="minorHAnsi" w:cstheme="minorHAnsi"/>
          <w:color w:val="000000" w:themeColor="text1"/>
          <w:kern w:val="24"/>
          <w:sz w:val="22"/>
          <w:szCs w:val="22"/>
        </w:rPr>
        <w:t>;</w:t>
      </w:r>
      <w:r w:rsidRPr="00B47D61">
        <w:rPr>
          <w:rFonts w:asciiTheme="minorHAnsi" w:eastAsiaTheme="minorEastAsia" w:hAnsiTheme="minorHAnsi" w:cstheme="minorHAnsi"/>
          <w:color w:val="000000" w:themeColor="text1"/>
          <w:kern w:val="24"/>
          <w:sz w:val="22"/>
          <w:szCs w:val="22"/>
        </w:rPr>
        <w:t xml:space="preserve"> </w:t>
      </w:r>
      <w:r>
        <w:rPr>
          <w:rFonts w:asciiTheme="minorHAnsi" w:eastAsiaTheme="minorEastAsia" w:hAnsiTheme="minorHAnsi" w:cstheme="minorHAnsi"/>
          <w:color w:val="000000" w:themeColor="text1"/>
          <w:kern w:val="24"/>
          <w:sz w:val="22"/>
          <w:szCs w:val="22"/>
        </w:rPr>
        <w:t>for example,</w:t>
      </w:r>
      <w:r w:rsidRPr="00B47D61">
        <w:rPr>
          <w:rFonts w:asciiTheme="minorHAnsi" w:eastAsiaTheme="minorEastAsia" w:hAnsiTheme="minorHAnsi" w:cstheme="minorHAnsi"/>
          <w:color w:val="000000" w:themeColor="text1"/>
          <w:kern w:val="24"/>
          <w:sz w:val="22"/>
          <w:szCs w:val="22"/>
        </w:rPr>
        <w:t xml:space="preserve"> testing ways of gathering staff and community voices will take time</w:t>
      </w:r>
      <w:r w:rsidR="000F28A8">
        <w:rPr>
          <w:rFonts w:asciiTheme="minorHAnsi" w:eastAsiaTheme="minorEastAsia" w:hAnsiTheme="minorHAnsi" w:cstheme="minorHAnsi"/>
          <w:color w:val="000000" w:themeColor="text1"/>
          <w:kern w:val="24"/>
          <w:sz w:val="22"/>
          <w:szCs w:val="22"/>
        </w:rPr>
        <w:t>.</w:t>
      </w:r>
    </w:p>
    <w:p w14:paraId="207773A9" w14:textId="444D1262" w:rsidR="000F28A8" w:rsidRPr="00B47D61" w:rsidRDefault="000F28A8" w:rsidP="00B47D61">
      <w:pPr>
        <w:pStyle w:val="NormalWeb"/>
        <w:spacing w:before="200" w:beforeAutospacing="0" w:after="0" w:afterAutospacing="0" w:line="216" w:lineRule="auto"/>
        <w:rPr>
          <w:rFonts w:asciiTheme="minorHAnsi" w:eastAsiaTheme="minorEastAsia" w:hAnsi="Calibri" w:cstheme="minorBidi"/>
          <w:i/>
          <w:iCs/>
          <w:color w:val="000000" w:themeColor="text1"/>
          <w:kern w:val="24"/>
          <w:sz w:val="22"/>
          <w:szCs w:val="22"/>
        </w:rPr>
      </w:pPr>
      <w:r w:rsidRPr="000F28A8">
        <w:rPr>
          <w:rFonts w:asciiTheme="minorHAnsi" w:eastAsiaTheme="minorEastAsia" w:hAnsiTheme="minorHAnsi" w:cstheme="minorHAnsi"/>
          <w:i/>
          <w:iCs/>
          <w:color w:val="000000" w:themeColor="text1"/>
          <w:kern w:val="24"/>
          <w:sz w:val="22"/>
          <w:szCs w:val="22"/>
        </w:rPr>
        <w:t>Priority: develop a comprehensive Union approach to insights which allows effective targeting of resources and greater benefits for the residents of NEL.</w:t>
      </w:r>
    </w:p>
    <w:p w14:paraId="51B399CF" w14:textId="72206BCB" w:rsidR="007C08BC" w:rsidRDefault="007C08BC" w:rsidP="006B5A59">
      <w:pPr>
        <w:pStyle w:val="Heading3"/>
      </w:pPr>
    </w:p>
    <w:p w14:paraId="38C3D340" w14:textId="6F07F3AD" w:rsidR="00A05C00" w:rsidRPr="006B5A59" w:rsidRDefault="00A05C00" w:rsidP="006B5A59">
      <w:pPr>
        <w:pStyle w:val="Heading3"/>
        <w:numPr>
          <w:ilvl w:val="0"/>
          <w:numId w:val="35"/>
        </w:numPr>
        <w:rPr>
          <w:b/>
          <w:bCs/>
          <w:color w:val="auto"/>
        </w:rPr>
      </w:pPr>
      <w:r w:rsidRPr="006B5A59">
        <w:rPr>
          <w:b/>
          <w:bCs/>
          <w:color w:val="auto"/>
        </w:rPr>
        <w:t>Approaches to joint/ collaborative commissioning</w:t>
      </w:r>
    </w:p>
    <w:p w14:paraId="63D9D161" w14:textId="77777777" w:rsidR="00753342" w:rsidRPr="00974AB6" w:rsidRDefault="00753342" w:rsidP="00753342">
      <w:pPr>
        <w:spacing w:after="0" w:line="240" w:lineRule="auto"/>
        <w:rPr>
          <w:rFonts w:cstheme="minorHAnsi"/>
        </w:rPr>
      </w:pPr>
      <w:r w:rsidRPr="00974AB6">
        <w:rPr>
          <w:rFonts w:cstheme="minorHAnsi"/>
        </w:rPr>
        <w:t>All service areas in this plan are commissioned by the CCG on behalf of itself and the Council</w:t>
      </w:r>
      <w:r>
        <w:rPr>
          <w:rFonts w:cstheme="minorHAnsi"/>
        </w:rPr>
        <w:t>, or vice versa</w:t>
      </w:r>
      <w:r w:rsidRPr="00974AB6">
        <w:rPr>
          <w:rFonts w:cstheme="minorHAnsi"/>
        </w:rPr>
        <w:t xml:space="preserve">. </w:t>
      </w:r>
    </w:p>
    <w:p w14:paraId="72C49168" w14:textId="77777777" w:rsidR="004F460B" w:rsidRDefault="004F460B" w:rsidP="00974AB6">
      <w:pPr>
        <w:spacing w:after="0" w:line="240" w:lineRule="auto"/>
        <w:rPr>
          <w:rFonts w:cstheme="minorHAnsi"/>
          <w:b/>
          <w:bCs/>
        </w:rPr>
      </w:pPr>
    </w:p>
    <w:p w14:paraId="241828D5" w14:textId="7C6C1701" w:rsidR="001E2499" w:rsidRPr="006B5A59" w:rsidRDefault="001E2499" w:rsidP="006B5A59">
      <w:pPr>
        <w:pStyle w:val="Heading3"/>
        <w:numPr>
          <w:ilvl w:val="0"/>
          <w:numId w:val="35"/>
        </w:numPr>
        <w:rPr>
          <w:b/>
          <w:bCs/>
          <w:color w:val="auto"/>
        </w:rPr>
      </w:pPr>
      <w:r w:rsidRPr="006B5A59">
        <w:rPr>
          <w:b/>
          <w:bCs/>
          <w:color w:val="auto"/>
        </w:rPr>
        <w:t xml:space="preserve">Approach to maintaining independence </w:t>
      </w:r>
    </w:p>
    <w:p w14:paraId="4DCBC350" w14:textId="0B1DB76F" w:rsidR="00B16502" w:rsidRPr="00CA5BC3" w:rsidRDefault="005B5A81" w:rsidP="00974AB6">
      <w:pPr>
        <w:spacing w:after="0" w:line="240" w:lineRule="auto"/>
        <w:rPr>
          <w:rFonts w:cstheme="minorHAnsi"/>
        </w:rPr>
      </w:pPr>
      <w:r w:rsidRPr="00CA5BC3">
        <w:rPr>
          <w:rFonts w:cstheme="minorHAnsi"/>
        </w:rPr>
        <w:t xml:space="preserve">The </w:t>
      </w:r>
      <w:r w:rsidR="00D9316C">
        <w:rPr>
          <w:rFonts w:cstheme="minorHAnsi"/>
        </w:rPr>
        <w:t>A</w:t>
      </w:r>
      <w:r w:rsidRPr="00CA5BC3">
        <w:rPr>
          <w:rFonts w:cstheme="minorHAnsi"/>
        </w:rPr>
        <w:t xml:space="preserve">dult </w:t>
      </w:r>
      <w:r w:rsidR="00D9316C">
        <w:rPr>
          <w:rFonts w:cstheme="minorHAnsi"/>
        </w:rPr>
        <w:t>S</w:t>
      </w:r>
      <w:r w:rsidRPr="00CA5BC3">
        <w:rPr>
          <w:rFonts w:cstheme="minorHAnsi"/>
        </w:rPr>
        <w:t>trategy is about how health and care services</w:t>
      </w:r>
      <w:r w:rsidR="0039378B" w:rsidRPr="00CA5BC3">
        <w:rPr>
          <w:rFonts w:cstheme="minorHAnsi"/>
        </w:rPr>
        <w:t>/</w:t>
      </w:r>
      <w:r w:rsidRPr="00CA5BC3">
        <w:rPr>
          <w:rFonts w:cstheme="minorHAnsi"/>
        </w:rPr>
        <w:t xml:space="preserve"> support will work together to help local adults to enjoy </w:t>
      </w:r>
      <w:r w:rsidR="0039378B" w:rsidRPr="00CA5BC3">
        <w:rPr>
          <w:rFonts w:cstheme="minorHAnsi"/>
        </w:rPr>
        <w:t xml:space="preserve">our </w:t>
      </w:r>
      <w:r w:rsidRPr="00CA5BC3">
        <w:rPr>
          <w:rFonts w:cstheme="minorHAnsi"/>
        </w:rPr>
        <w:t>vision for health and wellbeing.</w:t>
      </w:r>
      <w:r w:rsidR="0006775A">
        <w:rPr>
          <w:rFonts w:cstheme="minorHAnsi"/>
        </w:rPr>
        <w:t xml:space="preserve">  The vision is: </w:t>
      </w:r>
      <w:r w:rsidR="0006775A" w:rsidRPr="003B2B4C">
        <w:t xml:space="preserve">“Adults in </w:t>
      </w:r>
      <w:proofErr w:type="gramStart"/>
      <w:r w:rsidR="0006775A" w:rsidRPr="003B2B4C">
        <w:t>North East</w:t>
      </w:r>
      <w:proofErr w:type="gramEnd"/>
      <w:r w:rsidR="0006775A" w:rsidRPr="003B2B4C">
        <w:t xml:space="preserve"> Lincolnshire have </w:t>
      </w:r>
      <w:r w:rsidR="0006775A" w:rsidRPr="003B2B4C">
        <w:rPr>
          <w:u w:val="single"/>
        </w:rPr>
        <w:t>healthy</w:t>
      </w:r>
      <w:r w:rsidR="0006775A" w:rsidRPr="003B2B4C">
        <w:t xml:space="preserve"> and </w:t>
      </w:r>
      <w:r w:rsidR="0006775A" w:rsidRPr="003B2B4C">
        <w:rPr>
          <w:u w:val="single"/>
        </w:rPr>
        <w:t>independent</w:t>
      </w:r>
      <w:r w:rsidR="0006775A" w:rsidRPr="003B2B4C">
        <w:t xml:space="preserve"> lives with </w:t>
      </w:r>
      <w:r w:rsidR="0006775A" w:rsidRPr="003B2B4C">
        <w:rPr>
          <w:u w:val="single"/>
        </w:rPr>
        <w:t>easy access</w:t>
      </w:r>
      <w:r w:rsidR="0006775A" w:rsidRPr="003B2B4C">
        <w:t xml:space="preserve"> to </w:t>
      </w:r>
      <w:r w:rsidR="0006775A" w:rsidRPr="003B2B4C">
        <w:rPr>
          <w:u w:val="single"/>
        </w:rPr>
        <w:t>joined up</w:t>
      </w:r>
      <w:r w:rsidR="0006775A" w:rsidRPr="003B2B4C">
        <w:t xml:space="preserve"> advice and support which help them to </w:t>
      </w:r>
      <w:r w:rsidR="0006775A" w:rsidRPr="003B2B4C">
        <w:rPr>
          <w:u w:val="single"/>
        </w:rPr>
        <w:t>help themselves</w:t>
      </w:r>
      <w:r w:rsidR="0006775A" w:rsidRPr="003B2B4C">
        <w:t>”.</w:t>
      </w:r>
      <w:r w:rsidR="0006775A">
        <w:t xml:space="preserve">  This</w:t>
      </w:r>
      <w:r w:rsidRPr="00CA5BC3">
        <w:rPr>
          <w:rFonts w:cstheme="minorHAnsi"/>
        </w:rPr>
        <w:t xml:space="preserve"> </w:t>
      </w:r>
      <w:r w:rsidR="006A7EAD" w:rsidRPr="00CA5BC3">
        <w:rPr>
          <w:rFonts w:cstheme="minorHAnsi"/>
        </w:rPr>
        <w:t xml:space="preserve">vision can be described as a ‘promoting independence model’.  This means that our support offer is designed to work alongside the person, to find ways of helping them that maximises opportunities for greater health and </w:t>
      </w:r>
      <w:proofErr w:type="gramStart"/>
      <w:r w:rsidR="006A7EAD" w:rsidRPr="00CA5BC3">
        <w:rPr>
          <w:rFonts w:cstheme="minorHAnsi"/>
        </w:rPr>
        <w:t>independence, and</w:t>
      </w:r>
      <w:proofErr w:type="gramEnd"/>
      <w:r w:rsidR="006A7EAD" w:rsidRPr="00CA5BC3">
        <w:rPr>
          <w:rFonts w:cstheme="minorHAnsi"/>
        </w:rPr>
        <w:t xml:space="preserve"> minimises the need for help.  Support for adults will be reablement based, challenging people to do more for themselves, and consistently reassessing their ability to maintain, gain or regain skills wherever possible.  We define our success by how far people have been re-abled (helped to maintain, </w:t>
      </w:r>
      <w:proofErr w:type="gramStart"/>
      <w:r w:rsidR="006A7EAD" w:rsidRPr="00CA5BC3">
        <w:rPr>
          <w:rFonts w:cstheme="minorHAnsi"/>
        </w:rPr>
        <w:t>gain</w:t>
      </w:r>
      <w:proofErr w:type="gramEnd"/>
      <w:r w:rsidR="006A7EAD" w:rsidRPr="00CA5BC3">
        <w:rPr>
          <w:rFonts w:cstheme="minorHAnsi"/>
        </w:rPr>
        <w:t xml:space="preserve"> or regain their health and independence, as much as this is possible for them).</w:t>
      </w:r>
      <w:r w:rsidR="00FE21E4" w:rsidRPr="00CA5BC3">
        <w:rPr>
          <w:rFonts w:cstheme="minorHAnsi"/>
        </w:rPr>
        <w:t xml:space="preserve">  </w:t>
      </w:r>
    </w:p>
    <w:p w14:paraId="7987B8A9" w14:textId="77777777" w:rsidR="00EF6C78" w:rsidRDefault="00EF6C78" w:rsidP="00974AB6">
      <w:pPr>
        <w:spacing w:after="0" w:line="240" w:lineRule="auto"/>
        <w:rPr>
          <w:rFonts w:cstheme="minorHAnsi"/>
        </w:rPr>
      </w:pPr>
    </w:p>
    <w:p w14:paraId="6C5E367D" w14:textId="56E7BBCD" w:rsidR="00CA5BC3" w:rsidRDefault="00FE21E4" w:rsidP="00974AB6">
      <w:pPr>
        <w:spacing w:after="0" w:line="240" w:lineRule="auto"/>
        <w:rPr>
          <w:rFonts w:cstheme="minorHAnsi"/>
        </w:rPr>
      </w:pPr>
      <w:r w:rsidRPr="00974AB6">
        <w:rPr>
          <w:rFonts w:cstheme="minorHAnsi"/>
        </w:rPr>
        <w:t xml:space="preserve">Recent </w:t>
      </w:r>
      <w:r w:rsidR="00C53991" w:rsidRPr="00974AB6">
        <w:rPr>
          <w:rFonts w:cstheme="minorHAnsi"/>
        </w:rPr>
        <w:t>input</w:t>
      </w:r>
      <w:r w:rsidRPr="00974AB6">
        <w:rPr>
          <w:rFonts w:cstheme="minorHAnsi"/>
        </w:rPr>
        <w:t xml:space="preserve"> from </w:t>
      </w:r>
      <w:r w:rsidR="00AF5110" w:rsidRPr="00974AB6">
        <w:rPr>
          <w:rFonts w:cstheme="minorHAnsi"/>
        </w:rPr>
        <w:t>Impower (which helps public services to produce lasting, positive change in complex systems)</w:t>
      </w:r>
      <w:r w:rsidR="00C53991" w:rsidRPr="00974AB6">
        <w:rPr>
          <w:rFonts w:cstheme="minorHAnsi"/>
        </w:rPr>
        <w:t xml:space="preserve"> has highlighted that there is more work to do in our areas of </w:t>
      </w:r>
      <w:proofErr w:type="gramStart"/>
      <w:r w:rsidR="00C53991" w:rsidRPr="00974AB6">
        <w:rPr>
          <w:rFonts w:cstheme="minorHAnsi"/>
        </w:rPr>
        <w:t>priority, if</w:t>
      </w:r>
      <w:proofErr w:type="gramEnd"/>
      <w:r w:rsidR="00C53991" w:rsidRPr="00974AB6">
        <w:rPr>
          <w:rFonts w:cstheme="minorHAnsi"/>
        </w:rPr>
        <w:t xml:space="preserve"> we are to </w:t>
      </w:r>
      <w:r w:rsidR="009B05BE" w:rsidRPr="00974AB6">
        <w:rPr>
          <w:rFonts w:cstheme="minorHAnsi"/>
        </w:rPr>
        <w:t>make progress greater on promoting independence.</w:t>
      </w:r>
      <w:r w:rsidR="00CA5BC3">
        <w:rPr>
          <w:rFonts w:cstheme="minorHAnsi"/>
        </w:rPr>
        <w:t xml:space="preserve">  </w:t>
      </w:r>
      <w:r w:rsidR="00DA00A7">
        <w:rPr>
          <w:rFonts w:cstheme="minorHAnsi"/>
        </w:rPr>
        <w:t>The narrative above in respect of priorities is guided by our approach to promoting independence; t</w:t>
      </w:r>
      <w:r w:rsidR="00CA5BC3">
        <w:rPr>
          <w:rFonts w:cstheme="minorHAnsi"/>
        </w:rPr>
        <w:t>wo</w:t>
      </w:r>
      <w:r w:rsidR="00DA00A7">
        <w:rPr>
          <w:rFonts w:cstheme="minorHAnsi"/>
        </w:rPr>
        <w:t xml:space="preserve"> further</w:t>
      </w:r>
      <w:r w:rsidR="00CA5BC3">
        <w:rPr>
          <w:rFonts w:cstheme="minorHAnsi"/>
        </w:rPr>
        <w:t xml:space="preserve"> examples are given below of on-going work designed to improve the promotion of independence:</w:t>
      </w:r>
    </w:p>
    <w:p w14:paraId="18DF123C" w14:textId="77777777" w:rsidR="00CA5BC3" w:rsidRDefault="00CA5BC3" w:rsidP="00974AB6">
      <w:pPr>
        <w:spacing w:after="0" w:line="240" w:lineRule="auto"/>
        <w:rPr>
          <w:rFonts w:cstheme="minorHAnsi"/>
        </w:rPr>
      </w:pPr>
    </w:p>
    <w:p w14:paraId="1DF88839" w14:textId="77777777" w:rsidR="00F138D9" w:rsidRDefault="00CA5BC3" w:rsidP="00F138D9">
      <w:pPr>
        <w:pStyle w:val="ListParagraph"/>
        <w:numPr>
          <w:ilvl w:val="0"/>
          <w:numId w:val="17"/>
        </w:numPr>
        <w:spacing w:after="0" w:line="240" w:lineRule="auto"/>
        <w:rPr>
          <w:rFonts w:cstheme="minorHAnsi"/>
        </w:rPr>
      </w:pPr>
      <w:r w:rsidRPr="00CA5BC3">
        <w:rPr>
          <w:rFonts w:cstheme="minorHAnsi"/>
        </w:rPr>
        <w:t xml:space="preserve">Direct payments: </w:t>
      </w:r>
      <w:r>
        <w:rPr>
          <w:rFonts w:cstheme="minorHAnsi"/>
        </w:rPr>
        <w:t>following public and professional consultation in autumn 2020</w:t>
      </w:r>
      <w:r w:rsidR="0086131B">
        <w:rPr>
          <w:rFonts w:cstheme="minorHAnsi"/>
        </w:rPr>
        <w:t xml:space="preserve">, </w:t>
      </w:r>
      <w:r>
        <w:rPr>
          <w:rFonts w:cstheme="minorHAnsi"/>
        </w:rPr>
        <w:t xml:space="preserve">our direct payment offer is being revitalised.  Our integrated offer applies to adult social care, continuing health care and provision under s117 of the Mental Health Act 1983.  We have invested in a direct payment card account system and are in the process of transferring (where possible and appropriate) existing direct payment accounts to that system.  It is </w:t>
      </w:r>
      <w:r w:rsidR="0086131B">
        <w:rPr>
          <w:rFonts w:cstheme="minorHAnsi"/>
        </w:rPr>
        <w:t xml:space="preserve">anticipated that this will make direct payments easier for service users and professionals to manage, and so more attractive as a means of promoting greater independence.  Our direct payment policy has been relaunched.  This is accompanied by a programme of practice development to ensure that clear operational processes are in place to support practitioners to promote direct payments as a tool for independence, where appropriate </w:t>
      </w:r>
      <w:r w:rsidRPr="00CA5BC3">
        <w:rPr>
          <w:rFonts w:cstheme="minorHAnsi"/>
        </w:rPr>
        <w:t xml:space="preserve"> </w:t>
      </w:r>
      <w:r w:rsidR="009B05BE" w:rsidRPr="00CA5BC3">
        <w:rPr>
          <w:rFonts w:cstheme="minorHAnsi"/>
        </w:rPr>
        <w:t xml:space="preserve"> </w:t>
      </w:r>
    </w:p>
    <w:p w14:paraId="5E9F138D" w14:textId="1BBC056A" w:rsidR="005B5A81" w:rsidRPr="00F138D9" w:rsidRDefault="0086131B" w:rsidP="00C03821">
      <w:pPr>
        <w:pStyle w:val="ListParagraph"/>
        <w:numPr>
          <w:ilvl w:val="0"/>
          <w:numId w:val="17"/>
        </w:numPr>
        <w:shd w:val="clear" w:color="auto" w:fill="FFFFFF"/>
        <w:spacing w:after="0" w:line="240" w:lineRule="auto"/>
        <w:rPr>
          <w:rFonts w:cstheme="minorHAnsi"/>
        </w:rPr>
      </w:pPr>
      <w:r w:rsidRPr="00F138D9">
        <w:rPr>
          <w:rFonts w:cstheme="minorHAnsi"/>
        </w:rPr>
        <w:t>We are undertaking a review of our day opportunities offer</w:t>
      </w:r>
      <w:r w:rsidR="00F138D9" w:rsidRPr="00F138D9">
        <w:rPr>
          <w:rFonts w:cstheme="minorHAnsi"/>
        </w:rPr>
        <w:t xml:space="preserve">.  Engagement with users of day services and service provider organisations will enable us to gather information about current </w:t>
      </w:r>
      <w:proofErr w:type="gramStart"/>
      <w:r w:rsidR="00F138D9" w:rsidRPr="00F138D9">
        <w:rPr>
          <w:rFonts w:cstheme="minorHAnsi"/>
        </w:rPr>
        <w:t>services, and</w:t>
      </w:r>
      <w:proofErr w:type="gramEnd"/>
      <w:r w:rsidR="00F138D9" w:rsidRPr="00F138D9">
        <w:rPr>
          <w:rFonts w:cstheme="minorHAnsi"/>
        </w:rPr>
        <w:t xml:space="preserve"> assess the degree to which such delivers on the Adult Strategy’s vision.  </w:t>
      </w:r>
      <w:r w:rsidR="00F138D9" w:rsidRPr="00F138D9">
        <w:rPr>
          <w:rFonts w:eastAsia="Times New Roman" w:cstheme="minorHAnsi"/>
          <w:lang w:val="en" w:eastAsia="en-GB"/>
        </w:rPr>
        <w:t xml:space="preserve">The review is essential to ensure that people’s needs are being met through the opportunities provided; services should provide access to social activities, help individuals build skills and confidence, develop relationships, and maintain their independence.  The review will </w:t>
      </w:r>
      <w:r w:rsidR="00D9316C">
        <w:rPr>
          <w:rFonts w:eastAsia="Times New Roman" w:cstheme="minorHAnsi"/>
          <w:lang w:val="en" w:eastAsia="en-GB"/>
        </w:rPr>
        <w:t xml:space="preserve">include </w:t>
      </w:r>
      <w:r w:rsidR="00F138D9" w:rsidRPr="00F138D9">
        <w:rPr>
          <w:rFonts w:eastAsia="Times New Roman" w:cstheme="minorHAnsi"/>
          <w:lang w:val="en" w:eastAsia="en-GB"/>
        </w:rPr>
        <w:t>consider</w:t>
      </w:r>
      <w:r w:rsidR="00D9316C">
        <w:rPr>
          <w:rFonts w:eastAsia="Times New Roman" w:cstheme="minorHAnsi"/>
          <w:lang w:val="en" w:eastAsia="en-GB"/>
        </w:rPr>
        <w:t>ation of</w:t>
      </w:r>
      <w:r w:rsidR="00F138D9" w:rsidRPr="00F138D9">
        <w:rPr>
          <w:rFonts w:eastAsia="Times New Roman" w:cstheme="minorHAnsi"/>
          <w:lang w:val="en" w:eastAsia="en-GB"/>
        </w:rPr>
        <w:t xml:space="preserve"> equality and diversity issues.  </w:t>
      </w:r>
      <w:r w:rsidR="00F138D9" w:rsidRPr="00F138D9">
        <w:rPr>
          <w:rFonts w:cstheme="minorHAnsi"/>
        </w:rPr>
        <w:t xml:space="preserve">Findings will be published early in </w:t>
      </w:r>
      <w:proofErr w:type="gramStart"/>
      <w:r w:rsidR="00F138D9" w:rsidRPr="00F138D9">
        <w:rPr>
          <w:rFonts w:cstheme="minorHAnsi"/>
        </w:rPr>
        <w:t>2022</w:t>
      </w:r>
      <w:r w:rsidR="0079209A">
        <w:rPr>
          <w:rFonts w:cstheme="minorHAnsi"/>
        </w:rPr>
        <w:t>, and</w:t>
      </w:r>
      <w:proofErr w:type="gramEnd"/>
      <w:r w:rsidR="0079209A">
        <w:rPr>
          <w:rFonts w:cstheme="minorHAnsi"/>
        </w:rPr>
        <w:t xml:space="preserve"> will be utilised to inform next steps.</w:t>
      </w:r>
    </w:p>
    <w:p w14:paraId="6B8206E1" w14:textId="77777777" w:rsidR="005B5A81" w:rsidRPr="00974AB6" w:rsidRDefault="005B5A81" w:rsidP="00974AB6">
      <w:pPr>
        <w:spacing w:after="0" w:line="240" w:lineRule="auto"/>
        <w:rPr>
          <w:rFonts w:cstheme="minorHAnsi"/>
        </w:rPr>
      </w:pPr>
    </w:p>
    <w:p w14:paraId="08ABEF91" w14:textId="49138F5C" w:rsidR="007C08BC" w:rsidRDefault="00F21AAA" w:rsidP="007C08BC">
      <w:pPr>
        <w:spacing w:after="0" w:line="240" w:lineRule="auto"/>
        <w:rPr>
          <w:rFonts w:ascii="Arial" w:eastAsia="Times New Roman" w:hAnsi="Arial" w:cs="Arial"/>
          <w:sz w:val="24"/>
          <w:szCs w:val="24"/>
          <w:lang w:eastAsia="en-GB"/>
        </w:rPr>
      </w:pPr>
      <w:r w:rsidRPr="00F21AAA">
        <w:t xml:space="preserve">During 2021/22, the offer of extended access to general practice Monday to Friday 8am to 8pm and weekend opening has been reinstated, following the initial pandemic response which necessitated use of those resources to support covid services. The service is now back up and running and continues to be delivered on a collaborative basis by local practices working together with Primary Care Network </w:t>
      </w:r>
      <w:r w:rsidR="00D9316C">
        <w:t xml:space="preserve">(PCN) </w:t>
      </w:r>
      <w:r w:rsidRPr="00F21AAA">
        <w:t>groups. This is currently in place until the end of March 2022, when it is anticipated that there will be a new service specification issued by NHS England</w:t>
      </w:r>
      <w:r w:rsidR="00C876C6">
        <w:t xml:space="preserve"> (NHSE)</w:t>
      </w:r>
      <w:r w:rsidRPr="00F21AAA">
        <w:t xml:space="preserve"> which will form part of the PCN national enhanced service contract requirements. </w:t>
      </w:r>
      <w:r>
        <w:t xml:space="preserve"> </w:t>
      </w:r>
    </w:p>
    <w:p w14:paraId="246B2F0C" w14:textId="77777777" w:rsidR="007C08BC" w:rsidRDefault="007C08BC" w:rsidP="007C08BC">
      <w:pPr>
        <w:spacing w:after="0" w:line="240" w:lineRule="auto"/>
        <w:rPr>
          <w:rFonts w:ascii="Arial" w:eastAsia="Times New Roman" w:hAnsi="Arial" w:cs="Arial"/>
          <w:sz w:val="24"/>
          <w:szCs w:val="24"/>
          <w:lang w:eastAsia="en-GB"/>
        </w:rPr>
      </w:pPr>
    </w:p>
    <w:p w14:paraId="626D9EAB" w14:textId="0FF3C90C" w:rsidR="007C08BC" w:rsidRPr="00312BBE" w:rsidRDefault="00E327E4" w:rsidP="007C08BC">
      <w:pPr>
        <w:spacing w:after="0" w:line="240" w:lineRule="auto"/>
      </w:pPr>
      <w:r w:rsidRPr="00312BBE">
        <w:t>NEL continues to work collaboratively with local VCSE organisations to deliver a successful social prescribing programme.  This has been further expanded during 2021/22 through the existing service and the PCNs working together to integrate the PCN social prescribers, recruited through the national PCN funding, to work alongside the existing staff but with a named lead for the PCN population.  To date, numerous patients have benefitted from activities to help them manage their long-term conditions more effectively.</w:t>
      </w:r>
    </w:p>
    <w:p w14:paraId="7615030B" w14:textId="77777777" w:rsidR="00E327E4" w:rsidRPr="006B5A59" w:rsidRDefault="00E327E4" w:rsidP="006B5A59">
      <w:pPr>
        <w:pStyle w:val="Heading3"/>
        <w:rPr>
          <w:color w:val="auto"/>
        </w:rPr>
      </w:pPr>
    </w:p>
    <w:p w14:paraId="36205D59" w14:textId="520F53C0" w:rsidR="00A05C00" w:rsidRPr="006B5A59" w:rsidRDefault="006B5A59" w:rsidP="006B5A59">
      <w:pPr>
        <w:pStyle w:val="Heading3"/>
        <w:ind w:firstLine="720"/>
        <w:rPr>
          <w:rFonts w:cstheme="minorHAnsi"/>
          <w:b/>
          <w:bCs/>
          <w:color w:val="auto"/>
        </w:rPr>
      </w:pPr>
      <w:r>
        <w:rPr>
          <w:rFonts w:cstheme="minorHAnsi"/>
          <w:b/>
          <w:bCs/>
          <w:color w:val="auto"/>
        </w:rPr>
        <w:t>d)</w:t>
      </w:r>
      <w:r>
        <w:rPr>
          <w:rFonts w:cstheme="minorHAnsi"/>
          <w:b/>
          <w:bCs/>
          <w:color w:val="auto"/>
        </w:rPr>
        <w:tab/>
      </w:r>
      <w:r w:rsidR="00A05C00" w:rsidRPr="006B5A59">
        <w:rPr>
          <w:rFonts w:cstheme="minorHAnsi"/>
          <w:b/>
          <w:bCs/>
          <w:color w:val="auto"/>
        </w:rPr>
        <w:t xml:space="preserve">BCF and integration </w:t>
      </w:r>
    </w:p>
    <w:p w14:paraId="12A9F5E1" w14:textId="0323E694" w:rsidR="00A05C00" w:rsidRDefault="00A05C00" w:rsidP="00A05C00">
      <w:pPr>
        <w:spacing w:after="0" w:line="240" w:lineRule="auto"/>
        <w:rPr>
          <w:rFonts w:cstheme="minorHAnsi"/>
        </w:rPr>
      </w:pPr>
      <w:r w:rsidRPr="00974AB6">
        <w:rPr>
          <w:rFonts w:cstheme="minorHAnsi"/>
        </w:rPr>
        <w:t xml:space="preserve">So far as legally possible, the CCG and </w:t>
      </w:r>
      <w:r>
        <w:rPr>
          <w:rFonts w:cstheme="minorHAnsi"/>
        </w:rPr>
        <w:t>Council</w:t>
      </w:r>
      <w:r w:rsidRPr="00974AB6">
        <w:rPr>
          <w:rFonts w:cstheme="minorHAnsi"/>
        </w:rPr>
        <w:t xml:space="preserve"> have achieved integration via a Union, and this has been reflected in further updates to the s75 agreement</w:t>
      </w:r>
      <w:r>
        <w:rPr>
          <w:rFonts w:cstheme="minorHAnsi"/>
        </w:rPr>
        <w:t xml:space="preserve"> which has been in place since 2007</w:t>
      </w:r>
      <w:r w:rsidRPr="00974AB6">
        <w:rPr>
          <w:rFonts w:cstheme="minorHAnsi"/>
        </w:rPr>
        <w:t xml:space="preserve">. </w:t>
      </w:r>
      <w:r>
        <w:rPr>
          <w:rFonts w:cstheme="minorHAnsi"/>
        </w:rPr>
        <w:t xml:space="preserve">  </w:t>
      </w:r>
      <w:r w:rsidRPr="00974AB6">
        <w:rPr>
          <w:rFonts w:cstheme="minorHAnsi"/>
        </w:rPr>
        <w:t xml:space="preserve">The CCG and </w:t>
      </w:r>
      <w:r>
        <w:rPr>
          <w:rFonts w:cstheme="minorHAnsi"/>
        </w:rPr>
        <w:t>Council</w:t>
      </w:r>
      <w:r w:rsidRPr="00974AB6">
        <w:rPr>
          <w:rFonts w:cstheme="minorHAnsi"/>
        </w:rPr>
        <w:t xml:space="preserve"> continue to be co-located so that health, </w:t>
      </w:r>
      <w:proofErr w:type="gramStart"/>
      <w:r w:rsidRPr="00974AB6">
        <w:rPr>
          <w:rFonts w:cstheme="minorHAnsi"/>
        </w:rPr>
        <w:t>care</w:t>
      </w:r>
      <w:proofErr w:type="gramEnd"/>
      <w:r w:rsidRPr="00974AB6">
        <w:rPr>
          <w:rFonts w:cstheme="minorHAnsi"/>
        </w:rPr>
        <w:t xml:space="preserve"> and public health commissioning teams work in the same building and are led by a joint management team and chief executive.  A single Union commissioning plan has been developed, underpinned by a set of shared core commissioning principles designed to reflect the findings of the Adult Services Review (referenced in our previous plan), aligned with our Adult Strategy.  The Union </w:t>
      </w:r>
      <w:r w:rsidR="000F28A8">
        <w:rPr>
          <w:rFonts w:cstheme="minorHAnsi"/>
        </w:rPr>
        <w:t>has been</w:t>
      </w:r>
      <w:r w:rsidRPr="00974AB6">
        <w:rPr>
          <w:rFonts w:cstheme="minorHAnsi"/>
        </w:rPr>
        <w:t xml:space="preserve"> supported to develop further by </w:t>
      </w:r>
      <w:proofErr w:type="spellStart"/>
      <w:r w:rsidRPr="00974AB6">
        <w:rPr>
          <w:rFonts w:cstheme="minorHAnsi"/>
        </w:rPr>
        <w:t>FutureGov</w:t>
      </w:r>
      <w:proofErr w:type="spellEnd"/>
      <w:r w:rsidRPr="00974AB6">
        <w:rPr>
          <w:rFonts w:cstheme="minorHAnsi"/>
        </w:rPr>
        <w:t>, via an integration road map which sets the standard for decision making, culture, and organisational design.</w:t>
      </w:r>
      <w:r w:rsidR="000F28A8">
        <w:rPr>
          <w:rFonts w:cstheme="minorHAnsi"/>
        </w:rPr>
        <w:t xml:space="preserve">  Local teams are taking this work forward, to ensure the Union’s vision is realised: “to grow and enhance the place of NEL to improve the health, care and life experiences of our population”.  </w:t>
      </w:r>
      <w:r w:rsidRPr="00974AB6">
        <w:rPr>
          <w:rFonts w:cstheme="minorHAnsi"/>
        </w:rPr>
        <w:t xml:space="preserve">  </w:t>
      </w:r>
    </w:p>
    <w:p w14:paraId="139C48D6" w14:textId="6DA305F1" w:rsidR="00A05C00" w:rsidRDefault="00A05C00" w:rsidP="00A05C00">
      <w:pPr>
        <w:spacing w:after="0" w:line="240" w:lineRule="auto"/>
        <w:rPr>
          <w:rFonts w:cstheme="minorHAnsi"/>
        </w:rPr>
      </w:pPr>
    </w:p>
    <w:p w14:paraId="2095BC85" w14:textId="77777777" w:rsidR="00C533FE" w:rsidRPr="007C08BC" w:rsidRDefault="00C533FE" w:rsidP="00C533FE">
      <w:pPr>
        <w:spacing w:after="0" w:line="240" w:lineRule="auto"/>
      </w:pPr>
      <w:r w:rsidRPr="007C08BC">
        <w:t>Digital enablers of integration</w:t>
      </w:r>
    </w:p>
    <w:p w14:paraId="2B6DFBF5" w14:textId="77777777" w:rsidR="00C533FE" w:rsidRDefault="00C533FE" w:rsidP="00C533FE">
      <w:pPr>
        <w:jc w:val="both"/>
      </w:pPr>
      <w:r>
        <w:t xml:space="preserve">As well as continuing the digital work outlined in our previous plan, including the NHS Digital Roadmap, the following IT-related work has been concluded: </w:t>
      </w:r>
    </w:p>
    <w:p w14:paraId="35679DFA" w14:textId="7F73597C" w:rsidR="00C533FE" w:rsidRDefault="00C533FE" w:rsidP="00C533FE">
      <w:pPr>
        <w:spacing w:after="0" w:line="240" w:lineRule="auto"/>
        <w:jc w:val="both"/>
      </w:pPr>
      <w:r>
        <w:t>Building on ou</w:t>
      </w:r>
      <w:r w:rsidR="00D9316C">
        <w:t>r</w:t>
      </w:r>
      <w:r>
        <w:t xml:space="preserve"> success of the Summary Care Record deployment, and our </w:t>
      </w:r>
      <w:proofErr w:type="spellStart"/>
      <w:r>
        <w:t>SystmOne</w:t>
      </w:r>
      <w:proofErr w:type="spellEnd"/>
      <w:r>
        <w:t xml:space="preserve"> and EMIS integration we have continued to develop our record sharing technology and ethos with the maturing of our Yorkshire and Humber Care Record (YHCR) and </w:t>
      </w:r>
      <w:r w:rsidR="00D9316C">
        <w:t>Electronic Palliative Care Coordination Systems (</w:t>
      </w:r>
      <w:proofErr w:type="spellStart"/>
      <w:r>
        <w:t>EPaCCS</w:t>
      </w:r>
      <w:proofErr w:type="spellEnd"/>
      <w:r w:rsidR="00D9316C">
        <w:t>)</w:t>
      </w:r>
      <w:r>
        <w:t xml:space="preserve"> solution.  Four local ICS Trusts are onboarding live data connections into the YHCR with:</w:t>
      </w:r>
    </w:p>
    <w:p w14:paraId="63244D98" w14:textId="77777777" w:rsidR="00C533FE" w:rsidRDefault="00C533FE" w:rsidP="00C533FE">
      <w:pPr>
        <w:pStyle w:val="ListParagraph"/>
        <w:numPr>
          <w:ilvl w:val="0"/>
          <w:numId w:val="21"/>
        </w:numPr>
        <w:spacing w:after="0" w:line="240" w:lineRule="auto"/>
        <w:rPr>
          <w:rFonts w:eastAsia="Times New Roman"/>
        </w:rPr>
      </w:pPr>
      <w:r>
        <w:rPr>
          <w:rFonts w:eastAsia="Times New Roman"/>
        </w:rPr>
        <w:t>York currently live</w:t>
      </w:r>
    </w:p>
    <w:p w14:paraId="02C1AEE4" w14:textId="77777777" w:rsidR="00C533FE" w:rsidRDefault="00C533FE" w:rsidP="00C533FE">
      <w:pPr>
        <w:pStyle w:val="ListParagraph"/>
        <w:numPr>
          <w:ilvl w:val="0"/>
          <w:numId w:val="21"/>
        </w:numPr>
        <w:spacing w:after="200" w:line="276" w:lineRule="auto"/>
        <w:rPr>
          <w:rFonts w:eastAsia="Times New Roman"/>
        </w:rPr>
      </w:pPr>
      <w:r>
        <w:rPr>
          <w:rFonts w:eastAsia="Times New Roman"/>
        </w:rPr>
        <w:t>Harrogate onboarding now</w:t>
      </w:r>
    </w:p>
    <w:p w14:paraId="5B5F1F2B" w14:textId="77777777" w:rsidR="00C533FE" w:rsidRDefault="00C533FE" w:rsidP="00C533FE">
      <w:pPr>
        <w:pStyle w:val="ListParagraph"/>
        <w:numPr>
          <w:ilvl w:val="0"/>
          <w:numId w:val="21"/>
        </w:numPr>
        <w:spacing w:after="200" w:line="276" w:lineRule="auto"/>
        <w:rPr>
          <w:rFonts w:eastAsia="Times New Roman"/>
        </w:rPr>
      </w:pPr>
      <w:r>
        <w:rPr>
          <w:rFonts w:eastAsia="Times New Roman"/>
        </w:rPr>
        <w:t>HUTHT onboarding now</w:t>
      </w:r>
    </w:p>
    <w:p w14:paraId="6B3B9341" w14:textId="77777777" w:rsidR="00C533FE" w:rsidRDefault="00C533FE" w:rsidP="00C533FE">
      <w:pPr>
        <w:pStyle w:val="ListParagraph"/>
        <w:numPr>
          <w:ilvl w:val="0"/>
          <w:numId w:val="21"/>
        </w:numPr>
        <w:spacing w:after="200" w:line="276" w:lineRule="auto"/>
        <w:rPr>
          <w:rFonts w:eastAsia="Times New Roman"/>
        </w:rPr>
      </w:pPr>
      <w:proofErr w:type="spellStart"/>
      <w:r>
        <w:rPr>
          <w:rFonts w:eastAsia="Times New Roman"/>
        </w:rPr>
        <w:t>NLaG</w:t>
      </w:r>
      <w:proofErr w:type="spellEnd"/>
      <w:r>
        <w:rPr>
          <w:rFonts w:eastAsia="Times New Roman"/>
        </w:rPr>
        <w:t xml:space="preserve"> onboarding in November</w:t>
      </w:r>
    </w:p>
    <w:p w14:paraId="678D2543" w14:textId="77777777" w:rsidR="00C533FE" w:rsidRDefault="00C533FE" w:rsidP="00C533FE">
      <w:pPr>
        <w:jc w:val="both"/>
      </w:pPr>
      <w:r>
        <w:t>We are also providing GP data into the system allowing partner organisations, including local authorities, to receive the latest updates through a Single Point of Truth Record, as we obtain the NHSX MVS 1.0 standard.</w:t>
      </w:r>
    </w:p>
    <w:p w14:paraId="2CDB76E6" w14:textId="77777777" w:rsidR="00C533FE" w:rsidRDefault="00C533FE" w:rsidP="00C533FE">
      <w:pPr>
        <w:jc w:val="both"/>
      </w:pPr>
      <w:r>
        <w:t>The YHCR system will also support improved Population Health Management toolsets.</w:t>
      </w:r>
    </w:p>
    <w:p w14:paraId="7A6D1D2F" w14:textId="2C6D458F" w:rsidR="00C533FE" w:rsidRDefault="00C533FE" w:rsidP="00C533FE">
      <w:pPr>
        <w:spacing w:after="0" w:line="240" w:lineRule="auto"/>
        <w:jc w:val="both"/>
      </w:pPr>
      <w:r>
        <w:t xml:space="preserve">End of life record sharing has also matured with a single ICS wide </w:t>
      </w:r>
      <w:proofErr w:type="spellStart"/>
      <w:r>
        <w:t>EPaCCS</w:t>
      </w:r>
      <w:proofErr w:type="spellEnd"/>
      <w:r>
        <w:t xml:space="preserve"> solution now in place.  End of life preferences are shared in real time between all partners included in a patient</w:t>
      </w:r>
      <w:r w:rsidR="00D9316C">
        <w:t>’</w:t>
      </w:r>
      <w:r>
        <w:t>s care; this includes:</w:t>
      </w:r>
    </w:p>
    <w:p w14:paraId="470586CA" w14:textId="77777777" w:rsidR="00C533FE" w:rsidRDefault="00C533FE" w:rsidP="00C533FE">
      <w:pPr>
        <w:pStyle w:val="ListParagraph"/>
        <w:numPr>
          <w:ilvl w:val="0"/>
          <w:numId w:val="22"/>
        </w:numPr>
        <w:spacing w:after="0" w:line="240" w:lineRule="auto"/>
        <w:rPr>
          <w:rFonts w:eastAsia="Times New Roman"/>
        </w:rPr>
      </w:pPr>
      <w:r>
        <w:rPr>
          <w:rFonts w:eastAsia="Times New Roman"/>
        </w:rPr>
        <w:t>Primary Care</w:t>
      </w:r>
    </w:p>
    <w:p w14:paraId="3A10D0D2" w14:textId="77777777" w:rsidR="00C533FE" w:rsidRDefault="00C533FE" w:rsidP="00C533FE">
      <w:pPr>
        <w:pStyle w:val="ListParagraph"/>
        <w:numPr>
          <w:ilvl w:val="0"/>
          <w:numId w:val="22"/>
        </w:numPr>
        <w:spacing w:after="0" w:line="240" w:lineRule="auto"/>
        <w:rPr>
          <w:rFonts w:eastAsia="Times New Roman"/>
        </w:rPr>
      </w:pPr>
      <w:r>
        <w:rPr>
          <w:rFonts w:eastAsia="Times New Roman"/>
        </w:rPr>
        <w:t>Community Care</w:t>
      </w:r>
    </w:p>
    <w:p w14:paraId="3227CF2C" w14:textId="77777777" w:rsidR="00C533FE" w:rsidRDefault="00C533FE" w:rsidP="00C533FE">
      <w:pPr>
        <w:pStyle w:val="ListParagraph"/>
        <w:numPr>
          <w:ilvl w:val="0"/>
          <w:numId w:val="22"/>
        </w:numPr>
        <w:spacing w:after="0" w:line="240" w:lineRule="auto"/>
        <w:rPr>
          <w:rFonts w:eastAsia="Times New Roman"/>
        </w:rPr>
      </w:pPr>
      <w:r>
        <w:rPr>
          <w:rFonts w:eastAsia="Times New Roman"/>
        </w:rPr>
        <w:t>GP OOH</w:t>
      </w:r>
    </w:p>
    <w:p w14:paraId="3C439E61" w14:textId="77777777" w:rsidR="00C533FE" w:rsidRDefault="00C533FE" w:rsidP="00C533FE">
      <w:pPr>
        <w:pStyle w:val="ListParagraph"/>
        <w:numPr>
          <w:ilvl w:val="0"/>
          <w:numId w:val="22"/>
        </w:numPr>
        <w:spacing w:after="0" w:line="240" w:lineRule="auto"/>
        <w:rPr>
          <w:rFonts w:eastAsia="Times New Roman"/>
        </w:rPr>
      </w:pPr>
      <w:r>
        <w:rPr>
          <w:rFonts w:eastAsia="Times New Roman"/>
        </w:rPr>
        <w:t>Single Point of Access</w:t>
      </w:r>
    </w:p>
    <w:p w14:paraId="091FCF73" w14:textId="77777777" w:rsidR="00C533FE" w:rsidRDefault="00C533FE" w:rsidP="00C533FE">
      <w:pPr>
        <w:pStyle w:val="ListParagraph"/>
        <w:numPr>
          <w:ilvl w:val="0"/>
          <w:numId w:val="22"/>
        </w:numPr>
        <w:spacing w:after="0" w:line="240" w:lineRule="auto"/>
        <w:rPr>
          <w:rFonts w:eastAsia="Times New Roman"/>
        </w:rPr>
      </w:pPr>
      <w:r>
        <w:rPr>
          <w:rFonts w:eastAsia="Times New Roman"/>
        </w:rPr>
        <w:t>Secondary Care</w:t>
      </w:r>
    </w:p>
    <w:p w14:paraId="24662AF2" w14:textId="77777777" w:rsidR="00C533FE" w:rsidRDefault="00C533FE" w:rsidP="00C533FE">
      <w:pPr>
        <w:pStyle w:val="ListParagraph"/>
        <w:numPr>
          <w:ilvl w:val="0"/>
          <w:numId w:val="22"/>
        </w:numPr>
        <w:spacing w:after="0" w:line="240" w:lineRule="auto"/>
        <w:rPr>
          <w:rFonts w:eastAsia="Times New Roman"/>
        </w:rPr>
      </w:pPr>
      <w:r>
        <w:rPr>
          <w:rFonts w:eastAsia="Times New Roman"/>
        </w:rPr>
        <w:t>Hospices</w:t>
      </w:r>
    </w:p>
    <w:p w14:paraId="7E8A5A48" w14:textId="77777777" w:rsidR="00C533FE" w:rsidRDefault="00C533FE" w:rsidP="00C533FE">
      <w:pPr>
        <w:pStyle w:val="ListParagraph"/>
        <w:numPr>
          <w:ilvl w:val="0"/>
          <w:numId w:val="22"/>
        </w:numPr>
        <w:spacing w:after="0" w:line="240" w:lineRule="auto"/>
        <w:rPr>
          <w:rFonts w:eastAsia="Times New Roman"/>
        </w:rPr>
      </w:pPr>
      <w:r>
        <w:rPr>
          <w:rFonts w:eastAsia="Times New Roman"/>
        </w:rPr>
        <w:t>111</w:t>
      </w:r>
    </w:p>
    <w:p w14:paraId="1CB66A3A" w14:textId="77777777" w:rsidR="00C533FE" w:rsidRDefault="00C533FE" w:rsidP="00C533FE">
      <w:pPr>
        <w:pStyle w:val="ListParagraph"/>
        <w:numPr>
          <w:ilvl w:val="0"/>
          <w:numId w:val="22"/>
        </w:numPr>
        <w:spacing w:after="0" w:line="240" w:lineRule="auto"/>
        <w:rPr>
          <w:rFonts w:eastAsia="Times New Roman"/>
        </w:rPr>
      </w:pPr>
      <w:r>
        <w:rPr>
          <w:rFonts w:eastAsia="Times New Roman"/>
        </w:rPr>
        <w:t>999 ambulance services</w:t>
      </w:r>
    </w:p>
    <w:p w14:paraId="1D160678" w14:textId="77777777" w:rsidR="00C533FE" w:rsidRDefault="00C533FE" w:rsidP="00C533FE"/>
    <w:p w14:paraId="7102E370" w14:textId="77777777" w:rsidR="00C533FE" w:rsidRDefault="00C533FE" w:rsidP="00C533FE">
      <w:r>
        <w:t>This system ensures that professionals have access to the very latest patient preferences and are fully empowered to make decisions.</w:t>
      </w:r>
    </w:p>
    <w:p w14:paraId="16DC2239" w14:textId="77777777" w:rsidR="00C533FE" w:rsidRDefault="00C533FE" w:rsidP="00C533FE">
      <w:r>
        <w:t>We are now working on maturing our patient held record facility to provide for primary and secondary care records being made available via the NHS App.</w:t>
      </w:r>
    </w:p>
    <w:p w14:paraId="161992CA" w14:textId="3BC41F7B" w:rsidR="00C533FE" w:rsidRDefault="00C533FE" w:rsidP="00C533FE">
      <w:r>
        <w:t xml:space="preserve">We have bolstered our primary care digital offering by providing online </w:t>
      </w:r>
      <w:r w:rsidR="00D9316C">
        <w:t>and</w:t>
      </w:r>
      <w:r>
        <w:t xml:space="preserve"> video consultation facilities, along with working directly with PCNs to ensure that digital maturity of staff and patients is understood, we have also deployed smart patient messaging systems to improve patient knowledge sharing and improve </w:t>
      </w:r>
      <w:r w:rsidR="00D9316C">
        <w:t>‘did not attend’</w:t>
      </w:r>
      <w:r>
        <w:t xml:space="preserve"> rates.  </w:t>
      </w:r>
    </w:p>
    <w:p w14:paraId="6E211E0E" w14:textId="77777777" w:rsidR="00C533FE" w:rsidRDefault="00C533FE" w:rsidP="00C533FE">
      <w:pPr>
        <w:spacing w:after="0" w:line="240" w:lineRule="auto"/>
      </w:pPr>
      <w:r>
        <w:t>We continue the work to support the unplanned and emergency care position by ensuring that appropriate logistics and booking enabling tools are in place.  We have provided the ability to:</w:t>
      </w:r>
    </w:p>
    <w:p w14:paraId="078AF4A7" w14:textId="0B224C2C" w:rsidR="00C533FE" w:rsidRDefault="00C533FE" w:rsidP="00C533FE">
      <w:pPr>
        <w:pStyle w:val="ListParagraph"/>
        <w:numPr>
          <w:ilvl w:val="0"/>
          <w:numId w:val="23"/>
        </w:numPr>
        <w:spacing w:after="0" w:line="240" w:lineRule="auto"/>
        <w:rPr>
          <w:rFonts w:eastAsia="Times New Roman"/>
        </w:rPr>
      </w:pPr>
      <w:r>
        <w:rPr>
          <w:rFonts w:eastAsia="Times New Roman"/>
        </w:rPr>
        <w:t xml:space="preserve">Allow 111 to book into </w:t>
      </w:r>
      <w:r w:rsidR="00D9316C">
        <w:rPr>
          <w:rFonts w:eastAsia="Times New Roman"/>
        </w:rPr>
        <w:t>emergency departments</w:t>
      </w:r>
      <w:r>
        <w:rPr>
          <w:rFonts w:eastAsia="Times New Roman"/>
        </w:rPr>
        <w:t xml:space="preserve"> with a timed slot</w:t>
      </w:r>
    </w:p>
    <w:p w14:paraId="78D85DFE" w14:textId="22D97C67" w:rsidR="00C533FE" w:rsidRDefault="00C533FE" w:rsidP="00C533FE">
      <w:pPr>
        <w:pStyle w:val="ListParagraph"/>
        <w:numPr>
          <w:ilvl w:val="0"/>
          <w:numId w:val="23"/>
        </w:numPr>
        <w:spacing w:after="200" w:line="276" w:lineRule="auto"/>
        <w:rPr>
          <w:rFonts w:eastAsia="Times New Roman"/>
        </w:rPr>
      </w:pPr>
      <w:r>
        <w:rPr>
          <w:rFonts w:eastAsia="Times New Roman"/>
        </w:rPr>
        <w:t xml:space="preserve">Allow 111 to book into </w:t>
      </w:r>
      <w:r w:rsidR="00D9316C">
        <w:rPr>
          <w:rFonts w:eastAsia="Times New Roman"/>
        </w:rPr>
        <w:t>urgent treatment centre</w:t>
      </w:r>
      <w:r>
        <w:rPr>
          <w:rFonts w:eastAsia="Times New Roman"/>
        </w:rPr>
        <w:t>s</w:t>
      </w:r>
    </w:p>
    <w:p w14:paraId="1F9AC360" w14:textId="77777777" w:rsidR="00C533FE" w:rsidRDefault="00C533FE" w:rsidP="00C533FE">
      <w:pPr>
        <w:pStyle w:val="ListParagraph"/>
        <w:numPr>
          <w:ilvl w:val="0"/>
          <w:numId w:val="23"/>
        </w:numPr>
        <w:spacing w:after="200" w:line="276" w:lineRule="auto"/>
        <w:rPr>
          <w:rFonts w:eastAsia="Times New Roman"/>
        </w:rPr>
      </w:pPr>
      <w:r>
        <w:rPr>
          <w:rFonts w:eastAsia="Times New Roman"/>
        </w:rPr>
        <w:t>Allow 111 to book into primary care</w:t>
      </w:r>
    </w:p>
    <w:p w14:paraId="0F45F526" w14:textId="3719ED96" w:rsidR="00C533FE" w:rsidRDefault="00C533FE" w:rsidP="00C533FE">
      <w:pPr>
        <w:pStyle w:val="ListParagraph"/>
        <w:numPr>
          <w:ilvl w:val="0"/>
          <w:numId w:val="23"/>
        </w:numPr>
        <w:spacing w:after="200" w:line="276" w:lineRule="auto"/>
        <w:rPr>
          <w:rFonts w:eastAsia="Times New Roman"/>
        </w:rPr>
      </w:pPr>
      <w:r>
        <w:rPr>
          <w:rFonts w:eastAsia="Times New Roman"/>
        </w:rPr>
        <w:t xml:space="preserve">Allow the NEL SPA to book into </w:t>
      </w:r>
      <w:r w:rsidR="00D9316C">
        <w:rPr>
          <w:rFonts w:eastAsia="Times New Roman"/>
        </w:rPr>
        <w:t>emergency departments</w:t>
      </w:r>
      <w:r>
        <w:rPr>
          <w:rFonts w:eastAsia="Times New Roman"/>
        </w:rPr>
        <w:t xml:space="preserve"> with a timed slot</w:t>
      </w:r>
    </w:p>
    <w:p w14:paraId="09DA59EC" w14:textId="259373B3" w:rsidR="00C533FE" w:rsidRDefault="00C533FE" w:rsidP="00C533FE">
      <w:pPr>
        <w:pStyle w:val="ListParagraph"/>
        <w:numPr>
          <w:ilvl w:val="0"/>
          <w:numId w:val="23"/>
        </w:numPr>
        <w:spacing w:after="200" w:line="276" w:lineRule="auto"/>
        <w:rPr>
          <w:rFonts w:eastAsia="Times New Roman"/>
        </w:rPr>
      </w:pPr>
      <w:r>
        <w:rPr>
          <w:rFonts w:eastAsia="Times New Roman"/>
        </w:rPr>
        <w:t>Allow the NEL SPA to book into primary care</w:t>
      </w:r>
      <w:r w:rsidR="00D9316C">
        <w:rPr>
          <w:rFonts w:eastAsia="Times New Roman"/>
        </w:rPr>
        <w:t>.</w:t>
      </w:r>
    </w:p>
    <w:p w14:paraId="18B85F2B" w14:textId="1A8FEC17" w:rsidR="00C533FE" w:rsidRDefault="00C533FE" w:rsidP="00C533FE">
      <w:r>
        <w:t xml:space="preserve">We are now working on providing the ability to book unheralded </w:t>
      </w:r>
      <w:r w:rsidR="00C876C6">
        <w:t>emergency department</w:t>
      </w:r>
      <w:r>
        <w:t xml:space="preserve"> walk-ins into the most appropriate location.</w:t>
      </w:r>
    </w:p>
    <w:p w14:paraId="7427C371" w14:textId="77777777" w:rsidR="00C533FE" w:rsidRDefault="00C533FE" w:rsidP="00C533FE">
      <w:pPr>
        <w:spacing w:after="0" w:line="240" w:lineRule="auto"/>
      </w:pPr>
      <w:r>
        <w:t>We have worked with care home partners to increase the digital maturity of care homes, and ensured that every care home has access to:</w:t>
      </w:r>
    </w:p>
    <w:p w14:paraId="3481C98D" w14:textId="77777777" w:rsidR="00C533FE" w:rsidRDefault="00C533FE" w:rsidP="00C533FE">
      <w:pPr>
        <w:pStyle w:val="ListParagraph"/>
        <w:numPr>
          <w:ilvl w:val="0"/>
          <w:numId w:val="24"/>
        </w:numPr>
        <w:spacing w:after="0" w:line="240" w:lineRule="auto"/>
        <w:rPr>
          <w:rFonts w:eastAsia="Times New Roman"/>
        </w:rPr>
      </w:pPr>
      <w:r>
        <w:rPr>
          <w:rFonts w:eastAsia="Times New Roman"/>
        </w:rPr>
        <w:t xml:space="preserve">Secure </w:t>
      </w:r>
      <w:proofErr w:type="spellStart"/>
      <w:r>
        <w:rPr>
          <w:rFonts w:eastAsia="Times New Roman"/>
        </w:rPr>
        <w:t>Wifi</w:t>
      </w:r>
      <w:proofErr w:type="spellEnd"/>
    </w:p>
    <w:p w14:paraId="721DF7AB" w14:textId="77777777" w:rsidR="00C533FE" w:rsidRDefault="00C533FE" w:rsidP="00C533FE">
      <w:pPr>
        <w:pStyle w:val="ListParagraph"/>
        <w:numPr>
          <w:ilvl w:val="0"/>
          <w:numId w:val="24"/>
        </w:numPr>
        <w:spacing w:after="200" w:line="276" w:lineRule="auto"/>
        <w:rPr>
          <w:rFonts w:eastAsia="Times New Roman"/>
        </w:rPr>
      </w:pPr>
      <w:r>
        <w:rPr>
          <w:rFonts w:eastAsia="Times New Roman"/>
        </w:rPr>
        <w:t>NHS Mail</w:t>
      </w:r>
    </w:p>
    <w:p w14:paraId="02B345F9" w14:textId="77777777" w:rsidR="00C533FE" w:rsidRDefault="00C533FE" w:rsidP="00C533FE">
      <w:pPr>
        <w:pStyle w:val="ListParagraph"/>
        <w:numPr>
          <w:ilvl w:val="0"/>
          <w:numId w:val="24"/>
        </w:numPr>
        <w:spacing w:after="200" w:line="276" w:lineRule="auto"/>
        <w:rPr>
          <w:rFonts w:eastAsia="Times New Roman"/>
        </w:rPr>
      </w:pPr>
      <w:proofErr w:type="gramStart"/>
      <w:r>
        <w:rPr>
          <w:rFonts w:eastAsia="Times New Roman"/>
        </w:rPr>
        <w:t>A</w:t>
      </w:r>
      <w:proofErr w:type="gramEnd"/>
      <w:r>
        <w:rPr>
          <w:rFonts w:eastAsia="Times New Roman"/>
        </w:rPr>
        <w:t xml:space="preserve"> NHS Laptop</w:t>
      </w:r>
    </w:p>
    <w:p w14:paraId="329015D5" w14:textId="77777777" w:rsidR="00C533FE" w:rsidRDefault="00C533FE" w:rsidP="00C533FE">
      <w:pPr>
        <w:pStyle w:val="ListParagraph"/>
        <w:numPr>
          <w:ilvl w:val="0"/>
          <w:numId w:val="24"/>
        </w:numPr>
        <w:spacing w:after="200" w:line="276" w:lineRule="auto"/>
        <w:rPr>
          <w:rFonts w:eastAsia="Times New Roman"/>
        </w:rPr>
      </w:pPr>
      <w:r>
        <w:rPr>
          <w:rFonts w:eastAsia="Times New Roman"/>
        </w:rPr>
        <w:t>A 4G enabled tablet for direct remote clinical consultations</w:t>
      </w:r>
    </w:p>
    <w:p w14:paraId="5CA264F2" w14:textId="02B5020C" w:rsidR="00C533FE" w:rsidRDefault="00C533FE" w:rsidP="00C533FE">
      <w:r>
        <w:t>We are working with Barclays Digital Eagles to put in place a plan to continue helping care homes with their digital maturity.  We are also working with NHSE to produce a Care Homes IT Operating Model to define a baseline level of digital maturity which every care home should aspire to with the support of the wider system.</w:t>
      </w:r>
    </w:p>
    <w:p w14:paraId="751C2560" w14:textId="56863FDE" w:rsidR="00950978" w:rsidRDefault="00950978" w:rsidP="00950978">
      <w:pPr>
        <w:spacing w:after="0" w:line="240" w:lineRule="auto"/>
      </w:pPr>
      <w:r>
        <w:t>Workforce enablers of integration</w:t>
      </w:r>
    </w:p>
    <w:p w14:paraId="1029BD22" w14:textId="14021264" w:rsidR="00B76E0C" w:rsidRDefault="00950978" w:rsidP="00950978">
      <w:pPr>
        <w:spacing w:after="0" w:line="240" w:lineRule="auto"/>
      </w:pPr>
      <w:r>
        <w:t>It is self-evident that integration cannot progress, and services cannot be delivered, without staff to do so.  NEL has long had challenges in recruiting and retaining health and care professionals</w:t>
      </w:r>
      <w:r w:rsidR="00B76E0C">
        <w:t xml:space="preserve">; these challenges have been exacerbated over the last year.   Whilst BCF monies are not directly funding recruitment activity, workforce capacity concerns are of relevance to BCF in so far as BCF schemes require staff to </w:t>
      </w:r>
      <w:r w:rsidR="00C876C6">
        <w:t>deliver</w:t>
      </w:r>
      <w:r w:rsidR="00B76E0C">
        <w:t xml:space="preserve"> them. </w:t>
      </w:r>
    </w:p>
    <w:p w14:paraId="191F3A2C" w14:textId="77777777" w:rsidR="00B76E0C" w:rsidRDefault="00B76E0C" w:rsidP="00950978">
      <w:pPr>
        <w:spacing w:after="0" w:line="240" w:lineRule="auto"/>
      </w:pPr>
    </w:p>
    <w:p w14:paraId="7E04B6D1" w14:textId="2FCBD7FD" w:rsidR="00950978" w:rsidRPr="005D60EB" w:rsidRDefault="00B76E0C" w:rsidP="00950978">
      <w:pPr>
        <w:spacing w:after="0" w:line="240" w:lineRule="auto"/>
        <w:rPr>
          <w:color w:val="FF0000"/>
        </w:rPr>
      </w:pPr>
      <w:r w:rsidRPr="00B76E0C">
        <w:t>W</w:t>
      </w:r>
      <w:r>
        <w:t xml:space="preserve">e have worked </w:t>
      </w:r>
      <w:r w:rsidRPr="00B76E0C">
        <w:t>with local Ethical Recruitment Agency</w:t>
      </w:r>
      <w:r>
        <w:t xml:space="preserve"> (ERA)</w:t>
      </w:r>
      <w:r w:rsidRPr="00B76E0C">
        <w:t xml:space="preserve"> to develop plans </w:t>
      </w:r>
      <w:r>
        <w:t xml:space="preserve">for it </w:t>
      </w:r>
      <w:r w:rsidRPr="00B76E0C">
        <w:t xml:space="preserve">to hold </w:t>
      </w:r>
      <w:proofErr w:type="gramStart"/>
      <w:r w:rsidRPr="00B76E0C">
        <w:t>a number of</w:t>
      </w:r>
      <w:proofErr w:type="gramEnd"/>
      <w:r w:rsidRPr="00B76E0C">
        <w:t xml:space="preserve"> key staff for deployment across the </w:t>
      </w:r>
      <w:r>
        <w:t xml:space="preserve">health/ care </w:t>
      </w:r>
      <w:r w:rsidRPr="00B76E0C">
        <w:t xml:space="preserve">system as required.  Which area of </w:t>
      </w:r>
      <w:r>
        <w:t>the system</w:t>
      </w:r>
      <w:r w:rsidRPr="00B76E0C">
        <w:t xml:space="preserve"> staff are deployed to depends on </w:t>
      </w:r>
      <w:proofErr w:type="gramStart"/>
      <w:r w:rsidRPr="00B76E0C">
        <w:t>need.</w:t>
      </w:r>
      <w:proofErr w:type="gramEnd"/>
      <w:r w:rsidRPr="00B76E0C">
        <w:t xml:space="preserve"> </w:t>
      </w:r>
      <w:r>
        <w:t xml:space="preserve"> ERA is</w:t>
      </w:r>
      <w:r w:rsidRPr="00B76E0C">
        <w:t xml:space="preserve"> available to all providers and settings across </w:t>
      </w:r>
      <w:r>
        <w:t>NEL</w:t>
      </w:r>
      <w:r w:rsidR="000873E7">
        <w:t xml:space="preserve">.  Local partners have been asked </w:t>
      </w:r>
      <w:r w:rsidRPr="00B76E0C">
        <w:t xml:space="preserve">to drive leads through to </w:t>
      </w:r>
      <w:r w:rsidR="00C876C6">
        <w:t>the agency</w:t>
      </w:r>
      <w:r w:rsidRPr="00B76E0C">
        <w:t xml:space="preserve"> with the </w:t>
      </w:r>
      <w:proofErr w:type="gramStart"/>
      <w:r w:rsidRPr="00B76E0C">
        <w:t>ultimate goal</w:t>
      </w:r>
      <w:proofErr w:type="gramEnd"/>
      <w:r w:rsidRPr="00B76E0C">
        <w:t xml:space="preserve"> </w:t>
      </w:r>
      <w:r w:rsidR="000873E7">
        <w:t>of</w:t>
      </w:r>
      <w:r w:rsidRPr="00B76E0C">
        <w:t xml:space="preserve"> increas</w:t>
      </w:r>
      <w:r w:rsidR="000873E7">
        <w:t>ing</w:t>
      </w:r>
      <w:r w:rsidRPr="00B76E0C">
        <w:t xml:space="preserve"> workforce capacity within the local system. </w:t>
      </w:r>
      <w:r w:rsidR="000873E7">
        <w:t xml:space="preserve"> </w:t>
      </w:r>
      <w:r>
        <w:t>A</w:t>
      </w:r>
      <w:r w:rsidRPr="00B76E0C">
        <w:t xml:space="preserve"> marketing </w:t>
      </w:r>
      <w:r>
        <w:t>campaign was carried</w:t>
      </w:r>
      <w:r w:rsidRPr="00B76E0C">
        <w:t xml:space="preserve"> out </w:t>
      </w:r>
      <w:r>
        <w:t xml:space="preserve">earlier in the year </w:t>
      </w:r>
      <w:r w:rsidRPr="00B76E0C">
        <w:t xml:space="preserve">to build awareness of </w:t>
      </w:r>
      <w:r>
        <w:t>ERA</w:t>
      </w:r>
      <w:r w:rsidR="000873E7">
        <w:t xml:space="preserve"> and attract </w:t>
      </w:r>
      <w:r w:rsidR="00C876C6">
        <w:t xml:space="preserve">agency </w:t>
      </w:r>
      <w:r w:rsidR="000873E7">
        <w:t>staff</w:t>
      </w:r>
      <w:r>
        <w:t>.</w:t>
      </w:r>
      <w:r w:rsidR="000873E7">
        <w:t xml:space="preserve">  The campaign had modest success.  Further work to improve the resilience and expansion of the workforce is </w:t>
      </w:r>
      <w:proofErr w:type="gramStart"/>
      <w:r w:rsidR="000873E7">
        <w:t>ongoing, and</w:t>
      </w:r>
      <w:proofErr w:type="gramEnd"/>
      <w:r w:rsidR="000873E7">
        <w:t xml:space="preserve"> forms a key part of planning in other areas (for example</w:t>
      </w:r>
      <w:r w:rsidR="000873E7" w:rsidRPr="00C810AB">
        <w:t>, via our winter plan).  Workforce capacity remains one of the biggest risks to the local health and care system.</w:t>
      </w:r>
      <w:r w:rsidR="005D60EB" w:rsidRPr="00C810AB">
        <w:t xml:space="preserve">  For that reason, we continue to work with partners – most notably DWP - to explore mechanisms to improve recruitment and retention of staff at all levels (including domiciliary care).  This includes monthly recruitment fairs and exploration of packages to incentivise potential workers.</w:t>
      </w:r>
      <w:r w:rsidR="000873E7" w:rsidRPr="00C810AB">
        <w:t xml:space="preserve">   </w:t>
      </w:r>
      <w:r w:rsidRPr="00C810AB">
        <w:t xml:space="preserve">  </w:t>
      </w:r>
    </w:p>
    <w:p w14:paraId="422C6B6F" w14:textId="77777777" w:rsidR="00C876C6" w:rsidRDefault="00C876C6" w:rsidP="00950978">
      <w:pPr>
        <w:spacing w:after="0" w:line="240" w:lineRule="auto"/>
      </w:pPr>
    </w:p>
    <w:p w14:paraId="255FC016" w14:textId="77777777" w:rsidR="007C08BC" w:rsidRPr="007C08BC" w:rsidRDefault="007C08BC" w:rsidP="007C08BC">
      <w:pPr>
        <w:spacing w:after="0" w:line="240" w:lineRule="auto"/>
        <w:rPr>
          <w:rFonts w:ascii="Arial" w:eastAsia="Times New Roman" w:hAnsi="Arial" w:cs="Arial"/>
          <w:sz w:val="24"/>
          <w:szCs w:val="24"/>
          <w:lang w:eastAsia="en-GB"/>
        </w:rPr>
      </w:pPr>
    </w:p>
    <w:p w14:paraId="0111B15A" w14:textId="5CC400B1" w:rsidR="00EF1995" w:rsidRPr="006B5A59" w:rsidRDefault="00EF1995" w:rsidP="006B5A59">
      <w:pPr>
        <w:pStyle w:val="Heading1"/>
        <w:rPr>
          <w:rFonts w:eastAsia="Arial"/>
          <w:b/>
          <w:bCs/>
          <w:color w:val="auto"/>
          <w:sz w:val="24"/>
          <w:szCs w:val="24"/>
        </w:rPr>
      </w:pPr>
      <w:r w:rsidRPr="006B5A59">
        <w:rPr>
          <w:rFonts w:eastAsia="Arial"/>
          <w:b/>
          <w:bCs/>
          <w:color w:val="auto"/>
          <w:sz w:val="24"/>
          <w:szCs w:val="24"/>
        </w:rPr>
        <w:t>Supporting Discharge (national condition four)</w:t>
      </w:r>
    </w:p>
    <w:p w14:paraId="4779906E" w14:textId="3E107C63" w:rsidR="00EF1995" w:rsidRPr="006B5A59" w:rsidRDefault="00257FCF" w:rsidP="006B5A59">
      <w:pPr>
        <w:pStyle w:val="Heading1"/>
        <w:rPr>
          <w:b/>
          <w:bCs/>
          <w:color w:val="auto"/>
          <w:sz w:val="24"/>
          <w:szCs w:val="24"/>
        </w:rPr>
      </w:pPr>
      <w:r w:rsidRPr="006B5A59">
        <w:rPr>
          <w:rFonts w:eastAsia="Arial"/>
          <w:b/>
          <w:bCs/>
          <w:color w:val="auto"/>
          <w:sz w:val="24"/>
          <w:szCs w:val="24"/>
        </w:rPr>
        <w:t>4</w:t>
      </w:r>
      <w:r w:rsidRPr="006B5A59">
        <w:rPr>
          <w:rFonts w:eastAsia="Arial"/>
          <w:b/>
          <w:bCs/>
          <w:color w:val="auto"/>
          <w:sz w:val="24"/>
          <w:szCs w:val="24"/>
        </w:rPr>
        <w:tab/>
      </w:r>
      <w:r w:rsidR="00EF1995" w:rsidRPr="006B5A59">
        <w:rPr>
          <w:rFonts w:eastAsia="Arial"/>
          <w:b/>
          <w:bCs/>
          <w:color w:val="auto"/>
          <w:sz w:val="24"/>
          <w:szCs w:val="24"/>
        </w:rPr>
        <w:t>What is the approach in your area to improving outcomes for people being discharged from hospital?</w:t>
      </w:r>
      <w:r w:rsidR="00D13C02" w:rsidRPr="006B5A59">
        <w:rPr>
          <w:rFonts w:eastAsia="Arial"/>
          <w:b/>
          <w:bCs/>
          <w:color w:val="auto"/>
          <w:sz w:val="24"/>
          <w:szCs w:val="24"/>
        </w:rPr>
        <w:t xml:space="preserve">  </w:t>
      </w:r>
      <w:r w:rsidR="00EF1995" w:rsidRPr="006B5A59">
        <w:rPr>
          <w:b/>
          <w:bCs/>
          <w:color w:val="auto"/>
          <w:sz w:val="24"/>
          <w:szCs w:val="24"/>
        </w:rPr>
        <w:t>How is BCF funded activity supporting safe, timely and affective discharge?</w:t>
      </w:r>
    </w:p>
    <w:p w14:paraId="76603132" w14:textId="5A10280C" w:rsidR="00D13C02" w:rsidRPr="00C810AB" w:rsidRDefault="00D13C02" w:rsidP="00D13C02">
      <w:pPr>
        <w:jc w:val="both"/>
      </w:pPr>
      <w:bookmarkStart w:id="5" w:name="_Hlk86926693"/>
      <w:r w:rsidRPr="00312BBE">
        <w:t xml:space="preserve">A significant amount of work by all ICP </w:t>
      </w:r>
      <w:r w:rsidRPr="00C810AB">
        <w:t xml:space="preserve">partners </w:t>
      </w:r>
      <w:r w:rsidR="00915F70" w:rsidRPr="00C810AB">
        <w:t xml:space="preserve">(including the hospital trust) </w:t>
      </w:r>
      <w:r w:rsidRPr="00C810AB">
        <w:t xml:space="preserve">has gone into improving the local discharge arrangements and ensuring that we are compliant with the initial national hospital discharge guidance, subsequent </w:t>
      </w:r>
      <w:proofErr w:type="gramStart"/>
      <w:r w:rsidRPr="00C810AB">
        <w:t>policy</w:t>
      </w:r>
      <w:proofErr w:type="gramEnd"/>
      <w:r w:rsidRPr="00C810AB">
        <w:t xml:space="preserve"> and policy refresh in July 2021. </w:t>
      </w:r>
    </w:p>
    <w:bookmarkEnd w:id="5"/>
    <w:p w14:paraId="47EAF1FC" w14:textId="33E434AB" w:rsidR="007A5918" w:rsidRPr="00C810AB" w:rsidRDefault="007A5918" w:rsidP="007A5918">
      <w:pPr>
        <w:jc w:val="both"/>
      </w:pPr>
      <w:r w:rsidRPr="00C810AB">
        <w:t xml:space="preserve">We aligned to the discharge policy and ensured all discharges were nurse led.  Twenty-four hours after discharge </w:t>
      </w:r>
      <w:proofErr w:type="gramStart"/>
      <w:r w:rsidRPr="00C810AB">
        <w:t>each individual</w:t>
      </w:r>
      <w:proofErr w:type="gramEnd"/>
      <w:r w:rsidRPr="00C810AB">
        <w:t xml:space="preserve"> is followed up by an appropriate professional to undertake a full review of the person’s needs and follow them through their recovery, recouperation and re-</w:t>
      </w:r>
      <w:proofErr w:type="spellStart"/>
      <w:r w:rsidRPr="00C810AB">
        <w:t>ablement</w:t>
      </w:r>
      <w:proofErr w:type="spellEnd"/>
      <w:r w:rsidRPr="00C810AB">
        <w:t xml:space="preserve"> journey. A full needs assessment is then undertaken if longer term needs are identified.  BCF funding has funded additional capacity within the hospital discharge team (nurse led) and the community discharge team (social work) to ensure discharge to assess processes can be followed.   </w:t>
      </w:r>
    </w:p>
    <w:p w14:paraId="1B52267E" w14:textId="77777777" w:rsidR="007A5918" w:rsidRPr="00C810AB" w:rsidRDefault="007A5918" w:rsidP="007A5918">
      <w:pPr>
        <w:jc w:val="both"/>
      </w:pPr>
      <w:r w:rsidRPr="00C810AB">
        <w:t xml:space="preserve">A daily community hub meeting has been established to ensure there is oversight of each person discharging on pathways 1-3 (circa 55 people/ week), following them through their onward care journey to ensure their needs are met. </w:t>
      </w:r>
    </w:p>
    <w:p w14:paraId="399B705D" w14:textId="77777777" w:rsidR="007A5918" w:rsidRPr="00C810AB" w:rsidRDefault="007A5918" w:rsidP="007A5918">
      <w:pPr>
        <w:jc w:val="both"/>
      </w:pPr>
      <w:r w:rsidRPr="00C810AB">
        <w:t xml:space="preserve">In NEL we are working wherever possible to the principle of ‘home first’, supporting individuals with voluntary sector support via the British Red Cross which has seen its operating hours and range of service offer extended to cover 8am-8pm, 7 days a week, which has been funded from exiting budgets. Plus, the provision of commissioned services via pathway one where necessary.  The support at home offer (domiciliary care) has been increased to support timely discharges and to meet increased demand via the just checking service (funded by BCF) and the establishment of a dedicated system pressures supernumerary team (COVID-19 funding).  On average 95% of people discharging are going home first. </w:t>
      </w:r>
    </w:p>
    <w:p w14:paraId="1B32694B" w14:textId="77777777" w:rsidR="007A5918" w:rsidRPr="00C810AB" w:rsidRDefault="007A5918" w:rsidP="007A5918">
      <w:pPr>
        <w:jc w:val="both"/>
      </w:pPr>
      <w:r w:rsidRPr="00C810AB">
        <w:t xml:space="preserve">In addition, BCF funding has be used to contribute to the opening our new enhanced recovery unit within the old Cambridge Park care home.  As noted above, this service is currently going through a phased implementation. The service - once it has reached capacity - will be 52 beds, which will include provision of two plus sized rooms.  In time, the service will grow to deliver an enhanced community offer including </w:t>
      </w:r>
      <w:bookmarkStart w:id="6" w:name="_Hlk84939016"/>
      <w:r w:rsidRPr="00C810AB">
        <w:t xml:space="preserve">intravenous therapy </w:t>
      </w:r>
      <w:bookmarkEnd w:id="6"/>
      <w:r w:rsidRPr="00C810AB">
        <w:t xml:space="preserve">and a range of complex nursing functions to support a timely discharge from hospital and to prevent a hospital admission.  Further to this, we are currently looking to increase our intermediate care/ discharge to assess bed-based offer to support with current demand. An expression of interest and specification is in development, which will go to all care homes in NEL. </w:t>
      </w:r>
    </w:p>
    <w:p w14:paraId="77FE1CFD" w14:textId="08C112D0" w:rsidR="007A5918" w:rsidRPr="00C810AB" w:rsidRDefault="007A5918" w:rsidP="007A5918">
      <w:pPr>
        <w:jc w:val="both"/>
      </w:pPr>
      <w:r w:rsidRPr="00C810AB">
        <w:t xml:space="preserve"> </w:t>
      </w:r>
      <w:bookmarkStart w:id="7" w:name="_Hlk86926633"/>
      <w:r w:rsidRPr="00C810AB">
        <w:t>A discharge system improvement group has been established for Northern Lincolnshire to ensure performance is monitored, areas for further improvement identified, and actions delivered</w:t>
      </w:r>
      <w:r w:rsidR="00915F70" w:rsidRPr="00C810AB">
        <w:t xml:space="preserve"> (this includes the hospital trust)</w:t>
      </w:r>
      <w:r w:rsidRPr="00C810AB">
        <w:t xml:space="preserve">. The discharge executive lead oversees the discharge system across Northern Lincolnshire working with neighbouring authorities as required to ensure blockages/ issues are identified and addressed in a timely manner. </w:t>
      </w:r>
      <w:bookmarkEnd w:id="7"/>
    </w:p>
    <w:p w14:paraId="6AAAFF55" w14:textId="69A09302" w:rsidR="007A5918" w:rsidRPr="00C810AB" w:rsidRDefault="007A5918" w:rsidP="007A5918">
      <w:pPr>
        <w:jc w:val="both"/>
      </w:pPr>
      <w:r w:rsidRPr="00C810AB">
        <w:t xml:space="preserve">In 2021/22 the areas for development are the full operation of the enhanced recovery unit, a review of intermediate care at home provision (BCF funding is used to contribute towards the intermediate care at home offer), launch of a discharge SOP (standard operating procedure) for all ICP partners to sign up to clearly articulating roles and responsibilities, develop an NEL discharge and onward care performance dashboard and work to further develop the home first pathway with the launch of the enhanced support at home offer. </w:t>
      </w:r>
    </w:p>
    <w:p w14:paraId="3D124F99" w14:textId="77777777" w:rsidR="007A5918" w:rsidRPr="00C810AB" w:rsidRDefault="007A5918" w:rsidP="007A5918">
      <w:pPr>
        <w:jc w:val="both"/>
      </w:pPr>
      <w:r w:rsidRPr="00C810AB">
        <w:t xml:space="preserve">The BCF has funded many elements of the discharge and onward care process including developments in intermediate care to support a timely discharge from hospital for those without a </w:t>
      </w:r>
      <w:proofErr w:type="gramStart"/>
      <w:r w:rsidRPr="00C810AB">
        <w:t>criteria</w:t>
      </w:r>
      <w:proofErr w:type="gramEnd"/>
      <w:r w:rsidRPr="00C810AB">
        <w:t xml:space="preserve"> to reside who require a period of rehabilitation and reablement. </w:t>
      </w:r>
      <w:bookmarkStart w:id="8" w:name="_Hlk84939267"/>
      <w:r w:rsidRPr="00C810AB">
        <w:t xml:space="preserve">The service is already seeing improved outcomes for individuals, with 21% of individuals returning home with no on-going support required.  </w:t>
      </w:r>
      <w:bookmarkEnd w:id="8"/>
    </w:p>
    <w:p w14:paraId="028473C2" w14:textId="77777777" w:rsidR="007A5918" w:rsidRPr="00C810AB" w:rsidRDefault="007A5918" w:rsidP="007A5918">
      <w:pPr>
        <w:jc w:val="both"/>
      </w:pPr>
      <w:r w:rsidRPr="00C810AB">
        <w:t xml:space="preserve">The BCF also funds additional staff to support with the delivery of 7 day working to facilitate discharges 8am-8pm 7 days a week, meaning that individuals are supported to discharge on the same day wherever possible.  The additional staff include increased nursing staff to bolster capacity within the hospital discharge team, additional social workers to support holistic needs assessments within the home environment, additional care staff to support within intermediate care services and support at home provision.  </w:t>
      </w:r>
    </w:p>
    <w:p w14:paraId="487CC337" w14:textId="77777777" w:rsidR="005876CD" w:rsidRPr="00C810AB" w:rsidRDefault="005876CD" w:rsidP="00EF1995"/>
    <w:p w14:paraId="7A469150" w14:textId="2606F808" w:rsidR="00EF1995" w:rsidRPr="006B5A59" w:rsidRDefault="00EF1995" w:rsidP="006B5A59">
      <w:pPr>
        <w:pStyle w:val="Heading1"/>
        <w:rPr>
          <w:rFonts w:eastAsia="Arial"/>
          <w:b/>
          <w:bCs/>
          <w:color w:val="auto"/>
          <w:sz w:val="24"/>
          <w:szCs w:val="24"/>
        </w:rPr>
      </w:pPr>
      <w:r w:rsidRPr="006B5A59">
        <w:rPr>
          <w:rFonts w:eastAsia="Arial"/>
          <w:b/>
          <w:bCs/>
          <w:color w:val="auto"/>
          <w:sz w:val="24"/>
          <w:szCs w:val="24"/>
        </w:rPr>
        <w:t>Disabled Facilities Grant (DFG) and wider services</w:t>
      </w:r>
    </w:p>
    <w:p w14:paraId="3DF9DEBD" w14:textId="56FC9DFB" w:rsidR="00EF1995" w:rsidRPr="006B5A59" w:rsidRDefault="00257FCF" w:rsidP="006B5A59">
      <w:pPr>
        <w:pStyle w:val="Heading1"/>
        <w:rPr>
          <w:rFonts w:eastAsia="Arial"/>
          <w:b/>
          <w:bCs/>
          <w:color w:val="auto"/>
          <w:sz w:val="24"/>
          <w:szCs w:val="24"/>
        </w:rPr>
      </w:pPr>
      <w:r w:rsidRPr="006B5A59">
        <w:rPr>
          <w:b/>
          <w:bCs/>
          <w:color w:val="auto"/>
          <w:sz w:val="24"/>
          <w:szCs w:val="24"/>
        </w:rPr>
        <w:t>5</w:t>
      </w:r>
      <w:r w:rsidRPr="006B5A59">
        <w:rPr>
          <w:b/>
          <w:bCs/>
          <w:color w:val="auto"/>
          <w:sz w:val="24"/>
          <w:szCs w:val="24"/>
        </w:rPr>
        <w:tab/>
      </w:r>
      <w:r w:rsidR="00EF1995" w:rsidRPr="006B5A59">
        <w:rPr>
          <w:b/>
          <w:bCs/>
          <w:color w:val="auto"/>
          <w:sz w:val="24"/>
          <w:szCs w:val="24"/>
        </w:rPr>
        <w:t xml:space="preserve">What is your approach to bringing together health, </w:t>
      </w:r>
      <w:proofErr w:type="gramStart"/>
      <w:r w:rsidR="00EF1995" w:rsidRPr="006B5A59">
        <w:rPr>
          <w:rFonts w:eastAsia="Arial"/>
          <w:b/>
          <w:bCs/>
          <w:color w:val="auto"/>
          <w:sz w:val="24"/>
          <w:szCs w:val="24"/>
        </w:rPr>
        <w:t>care</w:t>
      </w:r>
      <w:proofErr w:type="gramEnd"/>
      <w:r w:rsidR="00EF1995" w:rsidRPr="006B5A59">
        <w:rPr>
          <w:rFonts w:eastAsia="Arial"/>
          <w:b/>
          <w:bCs/>
          <w:color w:val="auto"/>
          <w:sz w:val="24"/>
          <w:szCs w:val="24"/>
        </w:rPr>
        <w:t xml:space="preserve"> and housing services together to support people to remain in their own home through adaptations and other activity to meet the housing needs of older and disabled people?</w:t>
      </w:r>
    </w:p>
    <w:p w14:paraId="565B0842" w14:textId="77777777" w:rsidR="006B5A59" w:rsidRDefault="006B5A59" w:rsidP="00BF6E8D"/>
    <w:p w14:paraId="39409A86" w14:textId="1ADAC8EE" w:rsidR="00BF6E8D" w:rsidRPr="00312BBE" w:rsidRDefault="00BF6E8D" w:rsidP="00BF6E8D">
      <w:r w:rsidRPr="00312BBE">
        <w:t xml:space="preserve">DFG progress has been </w:t>
      </w:r>
      <w:r w:rsidR="00AD5FF1" w:rsidRPr="00312BBE">
        <w:t>severely challenged</w:t>
      </w:r>
      <w:r w:rsidRPr="00312BBE">
        <w:t xml:space="preserve"> in the last year, resulting in increased waiting times</w:t>
      </w:r>
      <w:r w:rsidR="00AD5FF1" w:rsidRPr="00312BBE">
        <w:t>;</w:t>
      </w:r>
      <w:r w:rsidRPr="00312BBE">
        <w:t xml:space="preserve"> lockdown restricted access to people’s homes and a reduced supply chain effected the delivery of materials.</w:t>
      </w:r>
    </w:p>
    <w:p w14:paraId="77F15F31" w14:textId="356E5276" w:rsidR="00D13C02" w:rsidRPr="00312BBE" w:rsidRDefault="00BF6E8D" w:rsidP="000C6FBB">
      <w:pPr>
        <w:spacing w:before="120" w:after="120" w:line="276" w:lineRule="auto"/>
        <w:jc w:val="both"/>
      </w:pPr>
      <w:r w:rsidRPr="00312BBE">
        <w:t>However, despite these challenges, i</w:t>
      </w:r>
      <w:r w:rsidR="00D13C02" w:rsidRPr="00312BBE">
        <w:t xml:space="preserve">n 2021/2022 there has been an even greater focus on the DFG agenda. </w:t>
      </w:r>
      <w:r w:rsidR="0077320A" w:rsidRPr="00312BBE">
        <w:t xml:space="preserve"> </w:t>
      </w:r>
      <w:r w:rsidR="00D13C02" w:rsidRPr="00312BBE">
        <w:t>Operationally, occupational therapy</w:t>
      </w:r>
      <w:r w:rsidR="000C6FBB" w:rsidRPr="00312BBE">
        <w:t xml:space="preserve"> (OT)</w:t>
      </w:r>
      <w:r w:rsidR="00D13C02" w:rsidRPr="00312BBE">
        <w:t xml:space="preserve">, technical team and commissioners have met </w:t>
      </w:r>
      <w:proofErr w:type="gramStart"/>
      <w:r w:rsidR="00D13C02" w:rsidRPr="00312BBE">
        <w:t>on a monthly basis</w:t>
      </w:r>
      <w:proofErr w:type="gramEnd"/>
      <w:r w:rsidR="00D13C02" w:rsidRPr="00312BBE">
        <w:t xml:space="preserve"> to ensure the delivery of the DFG agenda and support the launch of the local Housing Assistance and Disabled Adaptations Policy </w:t>
      </w:r>
      <w:r w:rsidRPr="00312BBE">
        <w:t>(</w:t>
      </w:r>
      <w:r w:rsidR="00D13C02" w:rsidRPr="00312BBE">
        <w:t>launched late 2019</w:t>
      </w:r>
      <w:r w:rsidRPr="00312BBE">
        <w:t>)</w:t>
      </w:r>
      <w:r w:rsidR="00D13C02" w:rsidRPr="00312BBE">
        <w:t xml:space="preserve">.  </w:t>
      </w:r>
      <w:r w:rsidR="0077320A" w:rsidRPr="00312BBE">
        <w:t xml:space="preserve"> T</w:t>
      </w:r>
      <w:r w:rsidR="00D13C02" w:rsidRPr="00312BBE">
        <w:t xml:space="preserve">his arrangement has been bolstered with the launch of a DFG strategic meeting which now meets monthly with partners from social care, housing, </w:t>
      </w:r>
      <w:proofErr w:type="gramStart"/>
      <w:r w:rsidR="00D13C02" w:rsidRPr="00312BBE">
        <w:t>health</w:t>
      </w:r>
      <w:proofErr w:type="gramEnd"/>
      <w:r w:rsidR="00D13C02" w:rsidRPr="00312BBE">
        <w:t xml:space="preserve"> and finance from across the local authority and CCG. </w:t>
      </w:r>
      <w:r w:rsidR="0077320A" w:rsidRPr="00312BBE">
        <w:t xml:space="preserve"> </w:t>
      </w:r>
      <w:r w:rsidR="00D13C02" w:rsidRPr="00312BBE">
        <w:t xml:space="preserve">The group monitors spend, has an oversight of the delivery of mandatory and discretionary DFGs and plans the delivery of the wider innovative projects under the </w:t>
      </w:r>
      <w:r w:rsidR="0077320A" w:rsidRPr="00312BBE">
        <w:t>C</w:t>
      </w:r>
      <w:r w:rsidR="00D13C02" w:rsidRPr="00312BBE">
        <w:t>ouncil’s discretionary powers to support the people of NEL with their housing needs.</w:t>
      </w:r>
      <w:r w:rsidR="000C6FBB" w:rsidRPr="00312BBE">
        <w:t xml:space="preserve">  Several schemes are currently being reviewed, including increasing the surveying and OT capacity on site, which includes the recruitment of 5 new employees, focused purely on reducing waiting times, which is now being actioned.   The DFG contractor framework has been re-engineered, ensuring there is readily available and appropriate contractors to deliver the major DFG works in a timely way.   </w:t>
      </w:r>
      <w:r w:rsidR="00D13C02" w:rsidRPr="00312BBE">
        <w:t xml:space="preserve">Telecare, equipment, minor </w:t>
      </w:r>
      <w:proofErr w:type="gramStart"/>
      <w:r w:rsidR="00D13C02" w:rsidRPr="00312BBE">
        <w:t>adaptation</w:t>
      </w:r>
      <w:proofErr w:type="gramEnd"/>
      <w:r w:rsidR="00D13C02" w:rsidRPr="00312BBE">
        <w:t xml:space="preserve"> and major adaptation teams </w:t>
      </w:r>
      <w:r w:rsidR="000C6FBB" w:rsidRPr="00312BBE">
        <w:t xml:space="preserve">also </w:t>
      </w:r>
      <w:r w:rsidR="00D13C02" w:rsidRPr="00312BBE">
        <w:t xml:space="preserve">work much closer together to ensure the individual has the support they need to remain in their own homes for longer and are able to regain or maintain their wellbeing.   </w:t>
      </w:r>
    </w:p>
    <w:p w14:paraId="714AC34B" w14:textId="079D81A6" w:rsidR="00AD5FF1" w:rsidRPr="00312BBE" w:rsidRDefault="00AD5FF1" w:rsidP="00AD5FF1">
      <w:pPr>
        <w:spacing w:after="0" w:line="240" w:lineRule="auto"/>
        <w:jc w:val="both"/>
      </w:pPr>
      <w:r w:rsidRPr="00312BBE">
        <w:rPr>
          <w:rFonts w:eastAsia="Arial" w:cstheme="minorHAnsi"/>
        </w:rPr>
        <w:t xml:space="preserve">As indicated in our last plan, </w:t>
      </w:r>
      <w:r w:rsidRPr="00312BBE">
        <w:rPr>
          <w:rFonts w:cstheme="minorHAnsi"/>
        </w:rPr>
        <w:t>we continue to foster an</w:t>
      </w:r>
      <w:r w:rsidRPr="00312BBE">
        <w:t xml:space="preserve"> innovative approach to ensuring the DFG is used to support people to live as independently as possible in their own homes, including: </w:t>
      </w:r>
    </w:p>
    <w:p w14:paraId="5C330D1B" w14:textId="77777777" w:rsidR="00AD5FF1" w:rsidRPr="00312BBE" w:rsidRDefault="00AD5FF1" w:rsidP="00AD5FF1">
      <w:pPr>
        <w:pStyle w:val="ListParagraph"/>
        <w:numPr>
          <w:ilvl w:val="0"/>
          <w:numId w:val="25"/>
        </w:numPr>
        <w:spacing w:after="0" w:line="240" w:lineRule="auto"/>
        <w:jc w:val="both"/>
      </w:pPr>
      <w:r w:rsidRPr="00312BBE">
        <w:t xml:space="preserve">Working to support those who have waited for suitable adapted housing on our home choice links register by acquiring stock from social landlords </w:t>
      </w:r>
    </w:p>
    <w:p w14:paraId="2D8A9E33" w14:textId="408384DD" w:rsidR="00AD5FF1" w:rsidRPr="00312BBE" w:rsidRDefault="00AD5FF1" w:rsidP="00AD5FF1">
      <w:pPr>
        <w:pStyle w:val="ListParagraph"/>
        <w:numPr>
          <w:ilvl w:val="0"/>
          <w:numId w:val="25"/>
        </w:numPr>
        <w:spacing w:before="120" w:after="120" w:line="276" w:lineRule="auto"/>
        <w:jc w:val="both"/>
      </w:pPr>
      <w:r w:rsidRPr="00312BBE">
        <w:t xml:space="preserve">Improving the thermal comfort of those who have health conditions which are exacerbated by damp and cold environments </w:t>
      </w:r>
    </w:p>
    <w:p w14:paraId="39E3D8C1" w14:textId="063A9C9B" w:rsidR="00AD5FF1" w:rsidRPr="00312BBE" w:rsidRDefault="00AD5FF1" w:rsidP="00AD5FF1">
      <w:pPr>
        <w:pStyle w:val="ListParagraph"/>
        <w:numPr>
          <w:ilvl w:val="0"/>
          <w:numId w:val="25"/>
        </w:numPr>
        <w:spacing w:before="120" w:after="120" w:line="276" w:lineRule="auto"/>
        <w:jc w:val="both"/>
      </w:pPr>
      <w:r w:rsidRPr="00312BBE">
        <w:t>Specifying our new build supported living facility to meet a range of complex needs </w:t>
      </w:r>
    </w:p>
    <w:p w14:paraId="74FF2FDD" w14:textId="77777777" w:rsidR="00AD5FF1" w:rsidRPr="00312BBE" w:rsidRDefault="00AD5FF1" w:rsidP="00AD5FF1">
      <w:pPr>
        <w:pStyle w:val="ListParagraph"/>
        <w:numPr>
          <w:ilvl w:val="0"/>
          <w:numId w:val="25"/>
        </w:numPr>
        <w:spacing w:before="120" w:after="120" w:line="276" w:lineRule="auto"/>
        <w:jc w:val="both"/>
      </w:pPr>
      <w:r w:rsidRPr="00312BBE">
        <w:t xml:space="preserve">Developing a trusted assessor approach to minor adaptations, delivering a more direct service and reduced waiting times.  </w:t>
      </w:r>
    </w:p>
    <w:p w14:paraId="4289413B" w14:textId="25E50407" w:rsidR="00BF6E8D" w:rsidRPr="00312BBE" w:rsidRDefault="001F2159" w:rsidP="00EF1995">
      <w:pPr>
        <w:rPr>
          <w:rFonts w:eastAsia="Arial" w:cstheme="minorHAnsi"/>
        </w:rPr>
      </w:pPr>
      <w:r w:rsidRPr="00312BBE">
        <w:rPr>
          <w:rFonts w:eastAsia="Arial" w:cstheme="minorHAnsi"/>
        </w:rPr>
        <w:t xml:space="preserve">DFG work is undertaken by the Council, </w:t>
      </w:r>
      <w:proofErr w:type="gramStart"/>
      <w:r w:rsidRPr="00312BBE">
        <w:rPr>
          <w:rFonts w:eastAsia="Arial" w:cstheme="minorHAnsi"/>
        </w:rPr>
        <w:t>CCG</w:t>
      </w:r>
      <w:proofErr w:type="gramEnd"/>
      <w:r w:rsidRPr="00312BBE">
        <w:rPr>
          <w:rFonts w:eastAsia="Arial" w:cstheme="minorHAnsi"/>
        </w:rPr>
        <w:t xml:space="preserve"> and wider partners.</w:t>
      </w:r>
    </w:p>
    <w:p w14:paraId="68EA5F89" w14:textId="77777777" w:rsidR="00C2761E" w:rsidRDefault="00C2761E" w:rsidP="00EF1995">
      <w:pPr>
        <w:rPr>
          <w:rFonts w:ascii="Arial" w:eastAsia="Arial" w:hAnsi="Arial" w:cs="Arial"/>
          <w:b/>
          <w:bCs/>
        </w:rPr>
      </w:pPr>
    </w:p>
    <w:p w14:paraId="69D93437" w14:textId="21321F3D" w:rsidR="00EF1995" w:rsidRPr="002430B7" w:rsidRDefault="00EF1995" w:rsidP="002430B7">
      <w:pPr>
        <w:pStyle w:val="Heading1"/>
        <w:rPr>
          <w:rFonts w:eastAsia="Arial"/>
          <w:b/>
          <w:bCs/>
          <w:color w:val="auto"/>
          <w:sz w:val="24"/>
          <w:szCs w:val="24"/>
        </w:rPr>
      </w:pPr>
      <w:r w:rsidRPr="002430B7">
        <w:rPr>
          <w:rFonts w:eastAsia="Arial"/>
          <w:b/>
          <w:bCs/>
          <w:color w:val="auto"/>
          <w:sz w:val="24"/>
          <w:szCs w:val="24"/>
        </w:rPr>
        <w:t>Equality and health inequalities.</w:t>
      </w:r>
    </w:p>
    <w:p w14:paraId="4CB50256" w14:textId="6B2A6262" w:rsidR="00EF1995" w:rsidRPr="002430B7" w:rsidRDefault="00257FCF" w:rsidP="002430B7">
      <w:pPr>
        <w:pStyle w:val="Heading1"/>
        <w:rPr>
          <w:rFonts w:asciiTheme="minorHAnsi" w:eastAsia="Arial" w:hAnsiTheme="minorHAnsi" w:cstheme="minorHAnsi"/>
          <w:b/>
          <w:bCs/>
          <w:color w:val="auto"/>
        </w:rPr>
      </w:pPr>
      <w:r w:rsidRPr="002430B7">
        <w:rPr>
          <w:rFonts w:eastAsia="Arial"/>
          <w:b/>
          <w:bCs/>
          <w:color w:val="auto"/>
          <w:sz w:val="24"/>
          <w:szCs w:val="24"/>
        </w:rPr>
        <w:t>6</w:t>
      </w:r>
      <w:r w:rsidRPr="002430B7">
        <w:rPr>
          <w:rFonts w:eastAsia="Arial"/>
          <w:b/>
          <w:bCs/>
          <w:color w:val="auto"/>
          <w:sz w:val="24"/>
          <w:szCs w:val="24"/>
        </w:rPr>
        <w:tab/>
      </w:r>
      <w:r w:rsidR="00EF1995" w:rsidRPr="002430B7">
        <w:rPr>
          <w:rFonts w:eastAsia="Arial"/>
          <w:b/>
          <w:bCs/>
          <w:color w:val="auto"/>
          <w:sz w:val="24"/>
          <w:szCs w:val="24"/>
        </w:rPr>
        <w:t>Briefly outline the priorities for addressing health inequalities and equality for people with protected characteristics under the Equality Act 2010 within integrated health and social care services.</w:t>
      </w:r>
      <w:r w:rsidR="00EF1995" w:rsidRPr="002430B7">
        <w:rPr>
          <w:rFonts w:eastAsia="Arial"/>
          <w:color w:val="auto"/>
        </w:rPr>
        <w:t xml:space="preserve"> </w:t>
      </w:r>
      <w:r w:rsidR="00EF1995" w:rsidRPr="002430B7">
        <w:rPr>
          <w:rFonts w:asciiTheme="minorHAnsi" w:eastAsia="Arial" w:hAnsiTheme="minorHAnsi" w:cstheme="minorHAnsi"/>
          <w:b/>
          <w:bCs/>
          <w:color w:val="auto"/>
          <w:sz w:val="22"/>
          <w:szCs w:val="22"/>
        </w:rPr>
        <w:t>This should include</w:t>
      </w:r>
    </w:p>
    <w:p w14:paraId="57278DB5" w14:textId="77777777" w:rsidR="00EF1995" w:rsidRPr="002430B7" w:rsidRDefault="00EF1995" w:rsidP="00EF1995">
      <w:pPr>
        <w:pStyle w:val="ListParagraph"/>
        <w:numPr>
          <w:ilvl w:val="0"/>
          <w:numId w:val="3"/>
        </w:numPr>
        <w:rPr>
          <w:rFonts w:eastAsia="Arial" w:cstheme="minorHAnsi"/>
          <w:b/>
          <w:bCs/>
        </w:rPr>
      </w:pPr>
      <w:r w:rsidRPr="002430B7">
        <w:rPr>
          <w:rFonts w:eastAsia="Arial" w:cstheme="minorHAnsi"/>
          <w:b/>
          <w:bCs/>
        </w:rPr>
        <w:t>Changes from previous BCF plan.</w:t>
      </w:r>
    </w:p>
    <w:p w14:paraId="6EAE2B2A" w14:textId="77777777" w:rsidR="00A4023D" w:rsidRPr="00257FCF" w:rsidRDefault="00EF1995" w:rsidP="00EF1995">
      <w:pPr>
        <w:pStyle w:val="ListParagraph"/>
        <w:numPr>
          <w:ilvl w:val="0"/>
          <w:numId w:val="3"/>
        </w:numPr>
        <w:rPr>
          <w:rFonts w:ascii="Arial" w:eastAsia="Arial" w:hAnsi="Arial" w:cs="Arial"/>
          <w:b/>
          <w:bCs/>
        </w:rPr>
      </w:pPr>
      <w:r w:rsidRPr="00257FCF">
        <w:rPr>
          <w:rFonts w:ascii="Arial" w:eastAsia="Arial" w:hAnsi="Arial" w:cs="Arial"/>
          <w:b/>
          <w:bCs/>
        </w:rPr>
        <w:t>How these inequalities are being addressed through the BCF plan and services funded through this.</w:t>
      </w:r>
    </w:p>
    <w:p w14:paraId="345DA3DA" w14:textId="47D75ECE" w:rsidR="00EF1995" w:rsidRDefault="00EF1995" w:rsidP="00EF1995">
      <w:pPr>
        <w:pStyle w:val="ListParagraph"/>
        <w:numPr>
          <w:ilvl w:val="0"/>
          <w:numId w:val="3"/>
        </w:numPr>
        <w:rPr>
          <w:rFonts w:ascii="Arial" w:eastAsia="Arial" w:hAnsi="Arial" w:cs="Arial"/>
          <w:b/>
          <w:bCs/>
        </w:rPr>
      </w:pPr>
      <w:r w:rsidRPr="00257FCF">
        <w:rPr>
          <w:rFonts w:ascii="Arial" w:eastAsia="Arial" w:hAnsi="Arial" w:cs="Arial"/>
          <w:b/>
          <w:bCs/>
        </w:rPr>
        <w:t>Inequality of outcomes related to the BCF national metrics</w:t>
      </w:r>
    </w:p>
    <w:p w14:paraId="718D3F7A" w14:textId="74BD4DF8" w:rsidR="00004CB6" w:rsidRPr="000F3B71" w:rsidRDefault="004F74CC" w:rsidP="00651790">
      <w:pPr>
        <w:spacing w:after="0" w:line="240" w:lineRule="auto"/>
        <w:rPr>
          <w:rFonts w:eastAsia="Arial" w:cstheme="minorHAnsi"/>
        </w:rPr>
      </w:pPr>
      <w:r w:rsidRPr="000F3B71">
        <w:rPr>
          <w:rFonts w:eastAsia="Arial" w:cstheme="minorHAnsi"/>
        </w:rPr>
        <w:t xml:space="preserve">In </w:t>
      </w:r>
      <w:r w:rsidR="007C51BB">
        <w:rPr>
          <w:rFonts w:eastAsia="Arial" w:cstheme="minorHAnsi"/>
        </w:rPr>
        <w:t>relation to</w:t>
      </w:r>
      <w:r w:rsidRPr="000F3B71">
        <w:rPr>
          <w:rFonts w:eastAsia="Arial" w:cstheme="minorHAnsi"/>
        </w:rPr>
        <w:t xml:space="preserve"> BCF </w:t>
      </w:r>
      <w:r w:rsidR="007C51BB">
        <w:rPr>
          <w:rFonts w:eastAsia="Arial" w:cstheme="minorHAnsi"/>
        </w:rPr>
        <w:t>schemes</w:t>
      </w:r>
      <w:r w:rsidRPr="000F3B71">
        <w:rPr>
          <w:rFonts w:eastAsia="Arial" w:cstheme="minorHAnsi"/>
        </w:rPr>
        <w:t xml:space="preserve">, </w:t>
      </w:r>
      <w:r w:rsidR="00651790" w:rsidRPr="000F3B71">
        <w:rPr>
          <w:rFonts w:eastAsia="Arial" w:cstheme="minorHAnsi"/>
        </w:rPr>
        <w:t>NEL’s approach to tackling health inequalities remains broadly as set out in our BCF plan 2017/19 (pages 14/15</w:t>
      </w:r>
      <w:proofErr w:type="gramStart"/>
      <w:r w:rsidR="00651790" w:rsidRPr="000F3B71">
        <w:rPr>
          <w:rFonts w:eastAsia="Arial" w:cstheme="minorHAnsi"/>
        </w:rPr>
        <w:t>), and</w:t>
      </w:r>
      <w:proofErr w:type="gramEnd"/>
      <w:r w:rsidR="00651790" w:rsidRPr="000F3B71">
        <w:rPr>
          <w:rFonts w:eastAsia="Arial" w:cstheme="minorHAnsi"/>
        </w:rPr>
        <w:t xml:space="preserve"> reiterated in our 2019/20 submission.</w:t>
      </w:r>
      <w:r w:rsidR="000F3B71">
        <w:rPr>
          <w:rFonts w:eastAsia="Arial" w:cstheme="minorHAnsi"/>
        </w:rPr>
        <w:t xml:space="preserve">  </w:t>
      </w:r>
      <w:r w:rsidR="00862F71">
        <w:rPr>
          <w:rFonts w:eastAsia="Arial" w:cstheme="minorHAnsi"/>
        </w:rPr>
        <w:t>All schemes continue to be funded and are intended to contribute to tackling health inequalities.  T</w:t>
      </w:r>
      <w:r w:rsidR="000F3B71">
        <w:rPr>
          <w:rFonts w:eastAsia="Arial" w:cstheme="minorHAnsi"/>
        </w:rPr>
        <w:t xml:space="preserve">he exception is the Pause Programme, which is no longer funded.  </w:t>
      </w:r>
      <w:r w:rsidR="00B94665">
        <w:rPr>
          <w:rFonts w:eastAsia="Arial" w:cstheme="minorHAnsi"/>
        </w:rPr>
        <w:t xml:space="preserve">Very broadly put, schemes are intended to address inequalities by </w:t>
      </w:r>
      <w:r w:rsidR="00843E19">
        <w:rPr>
          <w:rFonts w:eastAsia="Arial" w:cstheme="minorHAnsi"/>
        </w:rPr>
        <w:t xml:space="preserve">being accessible to/ </w:t>
      </w:r>
      <w:r w:rsidR="00B94665">
        <w:rPr>
          <w:rFonts w:eastAsia="Arial" w:cstheme="minorHAnsi"/>
        </w:rPr>
        <w:t xml:space="preserve">reaching out to local people in their communities in a way more likely to tackle disadvantage and increase resilience.   </w:t>
      </w:r>
    </w:p>
    <w:p w14:paraId="0E30C81C" w14:textId="00798795" w:rsidR="004F74CC" w:rsidRPr="000F3B71" w:rsidRDefault="004F74CC" w:rsidP="00651790">
      <w:pPr>
        <w:spacing w:after="0" w:line="240" w:lineRule="auto"/>
        <w:rPr>
          <w:rFonts w:eastAsia="Arial" w:cstheme="minorHAnsi"/>
        </w:rPr>
      </w:pPr>
    </w:p>
    <w:p w14:paraId="79E53DAC" w14:textId="39295644" w:rsidR="0093709A" w:rsidRPr="000F3B71" w:rsidRDefault="00F9643B" w:rsidP="00651790">
      <w:pPr>
        <w:spacing w:after="0" w:line="240" w:lineRule="auto"/>
      </w:pPr>
      <w:r>
        <w:t>T</w:t>
      </w:r>
      <w:r w:rsidR="007C51BB" w:rsidRPr="000F3B71">
        <w:t>he pandemic has amplified existing health inequalities in the borough</w:t>
      </w:r>
      <w:r>
        <w:t xml:space="preserve"> and represents the biggest change since creation of the last BCF plan</w:t>
      </w:r>
      <w:r w:rsidR="007C51BB" w:rsidRPr="000F3B71">
        <w:t xml:space="preserve">.  </w:t>
      </w:r>
      <w:r w:rsidR="004F74CC" w:rsidRPr="000F3B71">
        <w:rPr>
          <w:rFonts w:eastAsia="Arial" w:cstheme="minorHAnsi"/>
        </w:rPr>
        <w:t xml:space="preserve">The </w:t>
      </w:r>
      <w:r w:rsidR="000F3B71">
        <w:rPr>
          <w:rFonts w:eastAsia="Arial" w:cstheme="minorHAnsi"/>
        </w:rPr>
        <w:t xml:space="preserve">2020 </w:t>
      </w:r>
      <w:r w:rsidR="004F74CC" w:rsidRPr="000F3B71">
        <w:rPr>
          <w:rFonts w:eastAsia="Arial" w:cstheme="minorHAnsi"/>
        </w:rPr>
        <w:t xml:space="preserve">Director </w:t>
      </w:r>
      <w:r w:rsidR="000F3B71">
        <w:rPr>
          <w:rFonts w:eastAsia="Arial" w:cstheme="minorHAnsi"/>
        </w:rPr>
        <w:t xml:space="preserve">of </w:t>
      </w:r>
      <w:r w:rsidR="004F74CC" w:rsidRPr="000F3B71">
        <w:rPr>
          <w:rFonts w:eastAsia="Arial" w:cstheme="minorHAnsi"/>
        </w:rPr>
        <w:t>Public Health’s annual report</w:t>
      </w:r>
      <w:r w:rsidR="007C51BB">
        <w:rPr>
          <w:rFonts w:eastAsia="Arial" w:cstheme="minorHAnsi"/>
        </w:rPr>
        <w:t xml:space="preserve">, </w:t>
      </w:r>
      <w:r w:rsidR="004F74CC" w:rsidRPr="000F3B71">
        <w:rPr>
          <w:rFonts w:eastAsia="Arial" w:cstheme="minorHAnsi"/>
        </w:rPr>
        <w:t xml:space="preserve">focused on tackling health inequalities, </w:t>
      </w:r>
      <w:r w:rsidR="007C51BB">
        <w:rPr>
          <w:rFonts w:eastAsia="Arial" w:cstheme="minorHAnsi"/>
        </w:rPr>
        <w:t xml:space="preserve">was </w:t>
      </w:r>
      <w:r w:rsidR="004F74CC" w:rsidRPr="000F3B71">
        <w:rPr>
          <w:rFonts w:eastAsia="Arial" w:cstheme="minorHAnsi"/>
        </w:rPr>
        <w:t xml:space="preserve">published during the pandemic.   </w:t>
      </w:r>
      <w:r w:rsidR="004F74CC" w:rsidRPr="000F3B71">
        <w:t xml:space="preserve">Where possible the report incorporated our </w:t>
      </w:r>
      <w:r w:rsidR="007C51BB">
        <w:t xml:space="preserve">developing </w:t>
      </w:r>
      <w:r w:rsidR="004F74CC" w:rsidRPr="000F3B71">
        <w:t xml:space="preserve">understanding of the impact of the virus on </w:t>
      </w:r>
      <w:r w:rsidR="007C51BB">
        <w:t>the</w:t>
      </w:r>
      <w:r w:rsidR="004F74CC" w:rsidRPr="000F3B71">
        <w:t xml:space="preserve"> factors </w:t>
      </w:r>
      <w:r w:rsidR="007C51BB">
        <w:t>which</w:t>
      </w:r>
      <w:r w:rsidR="004F74CC" w:rsidRPr="000F3B71">
        <w:t xml:space="preserve"> result in inequalities, based on the information available.  </w:t>
      </w:r>
      <w:r>
        <w:t xml:space="preserve">The report highlights, for example, that deprivation may be more likely to result in avoidable admissions for physical and/ or mental health needs, both of which are exacerbated by the pandemic.  </w:t>
      </w:r>
      <w:r w:rsidR="0093709A" w:rsidRPr="000F3B71">
        <w:t>F</w:t>
      </w:r>
      <w:r w:rsidR="004F74CC" w:rsidRPr="000F3B71">
        <w:t>urther work</w:t>
      </w:r>
      <w:r w:rsidR="0093709A" w:rsidRPr="000F3B71">
        <w:t xml:space="preserve"> is needed</w:t>
      </w:r>
      <w:r w:rsidR="004F74CC" w:rsidRPr="000F3B71">
        <w:t xml:space="preserve"> to improve our level of intelligence, whether from data or from community insight, to understand the </w:t>
      </w:r>
      <w:r w:rsidR="000F3B71">
        <w:t xml:space="preserve">evolving </w:t>
      </w:r>
      <w:r w:rsidR="004F74CC" w:rsidRPr="000F3B71">
        <w:t>challenges and resources for health and wellbeing in local communities.</w:t>
      </w:r>
    </w:p>
    <w:p w14:paraId="2DAD29D5" w14:textId="77777777" w:rsidR="0093709A" w:rsidRPr="000F3B71" w:rsidRDefault="0093709A" w:rsidP="00651790">
      <w:pPr>
        <w:spacing w:after="0" w:line="240" w:lineRule="auto"/>
      </w:pPr>
    </w:p>
    <w:p w14:paraId="301A91A2" w14:textId="5A1F7493" w:rsidR="007C51BB" w:rsidRDefault="00F9643B" w:rsidP="000F3B71">
      <w:pPr>
        <w:spacing w:after="0" w:line="240" w:lineRule="auto"/>
        <w:rPr>
          <w:rFonts w:eastAsia="Arial" w:cstheme="minorHAnsi"/>
        </w:rPr>
      </w:pPr>
      <w:r>
        <w:t>Latest</w:t>
      </w:r>
      <w:r w:rsidR="007C51BB" w:rsidRPr="000F3B71">
        <w:t xml:space="preserve"> understanding on the </w:t>
      </w:r>
      <w:r w:rsidR="007C51BB">
        <w:t>changes arising from</w:t>
      </w:r>
      <w:r w:rsidR="007C51BB" w:rsidRPr="000F3B71">
        <w:t xml:space="preserve"> the pandemic can be found in the</w:t>
      </w:r>
      <w:r w:rsidR="007C51BB">
        <w:t xml:space="preserve"> </w:t>
      </w:r>
      <w:r w:rsidR="007C51BB" w:rsidRPr="000F3B71">
        <w:t xml:space="preserve">impact assessment </w:t>
      </w:r>
      <w:hyperlink r:id="rId10" w:history="1">
        <w:r w:rsidR="007C51BB" w:rsidRPr="000F3B71">
          <w:rPr>
            <w:rStyle w:val="Hyperlink"/>
            <w:rFonts w:eastAsia="Arial" w:cstheme="minorHAnsi"/>
          </w:rPr>
          <w:t>https://democracy.nelincs.gov.uk/wp-content/uploads/2021/05/9.-Covid-19-Impact-Assessment.pdf</w:t>
        </w:r>
      </w:hyperlink>
      <w:r w:rsidR="007C51BB" w:rsidRPr="000F3B71">
        <w:rPr>
          <w:rFonts w:eastAsia="Arial" w:cstheme="minorHAnsi"/>
        </w:rPr>
        <w:t xml:space="preserve"> (health and wellbeing </w:t>
      </w:r>
      <w:r w:rsidR="007C51BB">
        <w:rPr>
          <w:rFonts w:eastAsia="Arial" w:cstheme="minorHAnsi"/>
        </w:rPr>
        <w:t xml:space="preserve">narrative </w:t>
      </w:r>
      <w:r w:rsidR="007C51BB" w:rsidRPr="000F3B71">
        <w:rPr>
          <w:rFonts w:eastAsia="Arial" w:cstheme="minorHAnsi"/>
        </w:rPr>
        <w:t xml:space="preserve">begins on page 10, and adult social care on page 20).  </w:t>
      </w:r>
    </w:p>
    <w:p w14:paraId="09EADE8E" w14:textId="77777777" w:rsidR="00C876C6" w:rsidRDefault="00C876C6" w:rsidP="005044B6">
      <w:pPr>
        <w:spacing w:after="0" w:line="240" w:lineRule="auto"/>
      </w:pPr>
    </w:p>
    <w:p w14:paraId="51531574" w14:textId="3423CA99" w:rsidR="004F74CC" w:rsidRDefault="0093709A" w:rsidP="005044B6">
      <w:pPr>
        <w:spacing w:after="0" w:line="240" w:lineRule="auto"/>
        <w:rPr>
          <w:rFonts w:cstheme="minorHAnsi"/>
        </w:rPr>
      </w:pPr>
      <w:r w:rsidRPr="000F3B71">
        <w:t xml:space="preserve">The </w:t>
      </w:r>
      <w:r w:rsidR="007C51BB" w:rsidRPr="005044B6">
        <w:rPr>
          <w:rFonts w:cstheme="minorHAnsi"/>
        </w:rPr>
        <w:t xml:space="preserve">public health annual </w:t>
      </w:r>
      <w:r w:rsidRPr="000F3B71">
        <w:t xml:space="preserve">report can be found here: </w:t>
      </w:r>
      <w:r w:rsidR="004F74CC" w:rsidRPr="000F3B71">
        <w:t xml:space="preserve">  </w:t>
      </w:r>
      <w:hyperlink r:id="rId11" w:history="1">
        <w:r w:rsidRPr="000F3B71">
          <w:rPr>
            <w:rStyle w:val="Hyperlink"/>
          </w:rPr>
          <w:t>https://www.nelincs.gov.uk/assets/uploads/2021/03/Director-of-Public-Health-Annual-Report-2020.pdf</w:t>
        </w:r>
      </w:hyperlink>
      <w:r w:rsidR="00F9643B">
        <w:t xml:space="preserve">  </w:t>
      </w:r>
      <w:r w:rsidR="007C51BB">
        <w:rPr>
          <w:rFonts w:eastAsia="Arial" w:cstheme="minorHAnsi"/>
        </w:rPr>
        <w:t xml:space="preserve">It </w:t>
      </w:r>
      <w:r w:rsidRPr="005044B6">
        <w:rPr>
          <w:rFonts w:cstheme="minorHAnsi"/>
        </w:rPr>
        <w:t>is accompanied by recommendations (</w:t>
      </w:r>
      <w:r w:rsidR="002300FE" w:rsidRPr="005044B6">
        <w:rPr>
          <w:rFonts w:cstheme="minorHAnsi"/>
        </w:rPr>
        <w:t xml:space="preserve">for example, see </w:t>
      </w:r>
      <w:r w:rsidRPr="005044B6">
        <w:rPr>
          <w:rFonts w:cstheme="minorHAnsi"/>
        </w:rPr>
        <w:t>page 8)</w:t>
      </w:r>
      <w:r w:rsidR="00F9643B">
        <w:rPr>
          <w:rFonts w:cstheme="minorHAnsi"/>
        </w:rPr>
        <w:t xml:space="preserve"> and gives an update on recommendations from the previous year’s report (see page 55)</w:t>
      </w:r>
      <w:r w:rsidR="000F3B71" w:rsidRPr="005044B6">
        <w:rPr>
          <w:rFonts w:cstheme="minorHAnsi"/>
        </w:rPr>
        <w:t xml:space="preserve">.  Whilst action to address the recommendations is on-going, progress has been made in some areas, notably in respect of exploring a methodology for measuring equity of access to services and </w:t>
      </w:r>
      <w:r w:rsidR="00F9643B">
        <w:rPr>
          <w:rFonts w:cstheme="minorHAnsi"/>
        </w:rPr>
        <w:t xml:space="preserve">in </w:t>
      </w:r>
      <w:r w:rsidR="000F3B71" w:rsidRPr="005044B6">
        <w:rPr>
          <w:rFonts w:cstheme="minorHAnsi"/>
        </w:rPr>
        <w:t xml:space="preserve">building social connectivity (by increasing digital skills, </w:t>
      </w:r>
      <w:proofErr w:type="gramStart"/>
      <w:r w:rsidR="000F3B71" w:rsidRPr="005044B6">
        <w:rPr>
          <w:rFonts w:cstheme="minorHAnsi"/>
        </w:rPr>
        <w:t>sustaining</w:t>
      </w:r>
      <w:proofErr w:type="gramEnd"/>
      <w:r w:rsidR="000F3B71" w:rsidRPr="005044B6">
        <w:rPr>
          <w:rFonts w:cstheme="minorHAnsi"/>
        </w:rPr>
        <w:t xml:space="preserve"> and building on well-used community assets (physical and virtual), and by reviewing the commissioning of the voluntary and community sector including the use of social prescribing).</w:t>
      </w:r>
    </w:p>
    <w:p w14:paraId="5C2015B7" w14:textId="55EDE7EB" w:rsidR="00E66A24" w:rsidRDefault="00E66A24" w:rsidP="005044B6">
      <w:pPr>
        <w:spacing w:after="0" w:line="240" w:lineRule="auto"/>
        <w:rPr>
          <w:rFonts w:cstheme="minorHAnsi"/>
        </w:rPr>
      </w:pPr>
    </w:p>
    <w:p w14:paraId="1D87A199" w14:textId="0B09C6CB" w:rsidR="00E66A24" w:rsidRPr="00E66A24" w:rsidRDefault="00E66A24" w:rsidP="00E66A24">
      <w:pPr>
        <w:spacing w:after="0" w:line="240" w:lineRule="auto"/>
        <w:rPr>
          <w:rFonts w:eastAsia="Times New Roman"/>
        </w:rPr>
      </w:pPr>
      <w:r>
        <w:rPr>
          <w:rFonts w:eastAsia="Times New Roman"/>
        </w:rPr>
        <w:t>CCG and public health colleagues continue to work with the ICS in a range of ways to tackle inequalities</w:t>
      </w:r>
      <w:r w:rsidR="00843E19">
        <w:rPr>
          <w:rFonts w:eastAsia="Times New Roman"/>
        </w:rPr>
        <w:t xml:space="preserve"> in the broadest sense</w:t>
      </w:r>
      <w:r>
        <w:rPr>
          <w:rFonts w:eastAsia="Times New Roman"/>
        </w:rPr>
        <w:t>; some examples include</w:t>
      </w:r>
      <w:r w:rsidRPr="00E66A24">
        <w:rPr>
          <w:rFonts w:eastAsia="Times New Roman"/>
        </w:rPr>
        <w:t>:</w:t>
      </w:r>
    </w:p>
    <w:p w14:paraId="774F380E" w14:textId="65207DE7" w:rsidR="00E66A24" w:rsidRDefault="00E66A24" w:rsidP="00E66A24">
      <w:pPr>
        <w:pStyle w:val="ListParagraph"/>
        <w:numPr>
          <w:ilvl w:val="1"/>
          <w:numId w:val="31"/>
        </w:numPr>
        <w:spacing w:after="0" w:line="240" w:lineRule="auto"/>
        <w:contextualSpacing w:val="0"/>
        <w:rPr>
          <w:rFonts w:eastAsia="Times New Roman"/>
        </w:rPr>
      </w:pPr>
      <w:r>
        <w:rPr>
          <w:rFonts w:eastAsia="Times New Roman"/>
        </w:rPr>
        <w:t xml:space="preserve">People with </w:t>
      </w:r>
      <w:r w:rsidR="00843E19">
        <w:rPr>
          <w:rFonts w:eastAsia="Times New Roman"/>
        </w:rPr>
        <w:t>s</w:t>
      </w:r>
      <w:r>
        <w:rPr>
          <w:rFonts w:eastAsia="Times New Roman"/>
        </w:rPr>
        <w:t xml:space="preserve">evere </w:t>
      </w:r>
      <w:r w:rsidR="00843E19">
        <w:rPr>
          <w:rFonts w:eastAsia="Times New Roman"/>
        </w:rPr>
        <w:t>m</w:t>
      </w:r>
      <w:r>
        <w:rPr>
          <w:rFonts w:eastAsia="Times New Roman"/>
        </w:rPr>
        <w:t xml:space="preserve">ental </w:t>
      </w:r>
      <w:r w:rsidR="00843E19">
        <w:rPr>
          <w:rFonts w:eastAsia="Times New Roman"/>
        </w:rPr>
        <w:t>i</w:t>
      </w:r>
      <w:r>
        <w:rPr>
          <w:rFonts w:eastAsia="Times New Roman"/>
        </w:rPr>
        <w:t xml:space="preserve">llness are often living in the most deprived </w:t>
      </w:r>
      <w:proofErr w:type="gramStart"/>
      <w:r>
        <w:rPr>
          <w:rFonts w:eastAsia="Times New Roman"/>
        </w:rPr>
        <w:t>areas, and</w:t>
      </w:r>
      <w:proofErr w:type="gramEnd"/>
      <w:r>
        <w:rPr>
          <w:rFonts w:eastAsia="Times New Roman"/>
        </w:rPr>
        <w:t xml:space="preserve"> have limited access to technology which enables them to access services.  This has contributed to previously acknowledged poor health issues.  We are re-focussing and re-asserting annual physical health checks for this population</w:t>
      </w:r>
    </w:p>
    <w:p w14:paraId="35266A3F" w14:textId="2F7BB817" w:rsidR="00E66A24" w:rsidRDefault="00E66A24" w:rsidP="00E66A24">
      <w:pPr>
        <w:pStyle w:val="ListParagraph"/>
        <w:numPr>
          <w:ilvl w:val="1"/>
          <w:numId w:val="31"/>
        </w:numPr>
        <w:spacing w:after="0" w:line="240" w:lineRule="auto"/>
        <w:contextualSpacing w:val="0"/>
        <w:rPr>
          <w:rFonts w:eastAsia="Times New Roman"/>
        </w:rPr>
      </w:pPr>
      <w:r>
        <w:rPr>
          <w:rFonts w:eastAsia="Times New Roman"/>
        </w:rPr>
        <w:t>Similarly, people with learning disabilities have been adversely affected by both corona virus and the social restrictions imposed in the management of it.  Annual Health Checks are vital in improving the quality of people’s lives, and an active campaign to ensure these are done effectively across NEL is seeing significantly improved numbers of people having their check.  The support of the Learning Disability Wellbeing Team is key to enabling access to physical health care.  We are about to start a bowel cancer screening programme, reasonably adjusted to people with learning disability needs</w:t>
      </w:r>
    </w:p>
    <w:p w14:paraId="1DC6C1CA" w14:textId="45CA2E7F" w:rsidR="00E66A24" w:rsidRDefault="00E66A24" w:rsidP="00E66A24">
      <w:pPr>
        <w:pStyle w:val="ListParagraph"/>
        <w:numPr>
          <w:ilvl w:val="1"/>
          <w:numId w:val="31"/>
        </w:numPr>
        <w:spacing w:after="0" w:line="240" w:lineRule="auto"/>
        <w:contextualSpacing w:val="0"/>
        <w:rPr>
          <w:rFonts w:eastAsia="Times New Roman"/>
        </w:rPr>
      </w:pPr>
      <w:r>
        <w:rPr>
          <w:rFonts w:eastAsia="Times New Roman"/>
        </w:rPr>
        <w:t>Access to mental health support has been challenging to many.  Primary Care and VCSE sectors have highlighted a disproportionate number of people who are, or were, Looked After Children seeking assistance or support following being declined service from the statutory sector.  We are working with Primary Care and VCSE to enable a more Trauma Informed approach to supporting people’s lives</w:t>
      </w:r>
    </w:p>
    <w:p w14:paraId="6D05201F" w14:textId="309258F6" w:rsidR="00E66A24" w:rsidRDefault="00E66A24" w:rsidP="00E66A24">
      <w:pPr>
        <w:pStyle w:val="ListParagraph"/>
        <w:numPr>
          <w:ilvl w:val="1"/>
          <w:numId w:val="31"/>
        </w:numPr>
        <w:spacing w:after="0" w:line="240" w:lineRule="auto"/>
        <w:contextualSpacing w:val="0"/>
        <w:rPr>
          <w:rFonts w:eastAsia="Times New Roman"/>
        </w:rPr>
      </w:pPr>
      <w:r>
        <w:rPr>
          <w:rFonts w:eastAsia="Times New Roman"/>
        </w:rPr>
        <w:t xml:space="preserve">More children, young people and adults with eating disorders have sought more help and at a more complex level than previously.  The CCG has secured a </w:t>
      </w:r>
      <w:proofErr w:type="gramStart"/>
      <w:r>
        <w:rPr>
          <w:rFonts w:eastAsia="Times New Roman"/>
        </w:rPr>
        <w:t>short term</w:t>
      </w:r>
      <w:proofErr w:type="gramEnd"/>
      <w:r>
        <w:rPr>
          <w:rFonts w:eastAsia="Times New Roman"/>
        </w:rPr>
        <w:t xml:space="preserve"> provision to support people in the community whilst a longer term solution is sought</w:t>
      </w:r>
    </w:p>
    <w:p w14:paraId="78AE38DF" w14:textId="3855E90F" w:rsidR="00E66A24" w:rsidRDefault="00E66A24" w:rsidP="00E66A24">
      <w:pPr>
        <w:pStyle w:val="ListParagraph"/>
        <w:numPr>
          <w:ilvl w:val="1"/>
          <w:numId w:val="31"/>
        </w:numPr>
        <w:spacing w:after="0" w:line="240" w:lineRule="auto"/>
        <w:contextualSpacing w:val="0"/>
        <w:rPr>
          <w:rFonts w:eastAsia="Times New Roman"/>
        </w:rPr>
      </w:pPr>
      <w:r>
        <w:rPr>
          <w:rFonts w:eastAsia="Times New Roman"/>
        </w:rPr>
        <w:t>Dementia – people have not been forwarded to GPs and diagnosis rates have fallen. Residential care has seen significant loss of people with dementia from the sector as many have sadly died due to vulnerability to the virus. Information and support campaigns are being activated.</w:t>
      </w:r>
    </w:p>
    <w:p w14:paraId="22E7056E" w14:textId="77777777" w:rsidR="00E66A24" w:rsidRPr="007C51BB" w:rsidRDefault="00E66A24" w:rsidP="005044B6">
      <w:pPr>
        <w:spacing w:after="0" w:line="240" w:lineRule="auto"/>
        <w:rPr>
          <w:rFonts w:eastAsia="Arial" w:cstheme="minorHAnsi"/>
        </w:rPr>
      </w:pPr>
    </w:p>
    <w:p w14:paraId="364C2F7B" w14:textId="361AD6F9" w:rsidR="002300FE" w:rsidRPr="005044B6" w:rsidRDefault="000F3B71" w:rsidP="005044B6">
      <w:pPr>
        <w:spacing w:after="0" w:line="240" w:lineRule="auto"/>
        <w:rPr>
          <w:rFonts w:eastAsia="Arial" w:cstheme="minorHAnsi"/>
        </w:rPr>
      </w:pPr>
      <w:r w:rsidRPr="005044B6">
        <w:rPr>
          <w:rFonts w:eastAsia="Arial" w:cstheme="minorHAnsi"/>
        </w:rPr>
        <w:t>A</w:t>
      </w:r>
      <w:r w:rsidR="002300FE" w:rsidRPr="005044B6">
        <w:rPr>
          <w:rFonts w:eastAsia="Arial" w:cstheme="minorHAnsi"/>
        </w:rPr>
        <w:t xml:space="preserve"> Union Equality and Diversity Core Group has been established to ensure that </w:t>
      </w:r>
      <w:r w:rsidR="004D24D1">
        <w:rPr>
          <w:rFonts w:eastAsia="Arial" w:cstheme="minorHAnsi"/>
        </w:rPr>
        <w:t xml:space="preserve">the </w:t>
      </w:r>
      <w:r w:rsidR="002300FE" w:rsidRPr="005044B6">
        <w:rPr>
          <w:rFonts w:eastAsia="Arial" w:cstheme="minorHAnsi"/>
        </w:rPr>
        <w:t>Council and CCG (the Union):</w:t>
      </w:r>
    </w:p>
    <w:p w14:paraId="23C661BE" w14:textId="77777777" w:rsidR="002300FE" w:rsidRPr="005044B6" w:rsidRDefault="002300FE" w:rsidP="005044B6">
      <w:pPr>
        <w:pStyle w:val="ListParagraph"/>
        <w:numPr>
          <w:ilvl w:val="0"/>
          <w:numId w:val="15"/>
        </w:numPr>
        <w:spacing w:after="0" w:line="240" w:lineRule="auto"/>
        <w:rPr>
          <w:rFonts w:eastAsia="Arial" w:cstheme="minorHAnsi"/>
        </w:rPr>
      </w:pPr>
      <w:r w:rsidRPr="005044B6">
        <w:rPr>
          <w:rFonts w:eastAsia="Arial" w:cstheme="minorHAnsi"/>
        </w:rPr>
        <w:t>meets the duties under the Equality Act 2010 in our direct service delivery and commissioned activities</w:t>
      </w:r>
    </w:p>
    <w:p w14:paraId="0CA08A9F" w14:textId="720F19B1" w:rsidR="002300FE" w:rsidRPr="005044B6" w:rsidRDefault="002300FE" w:rsidP="005044B6">
      <w:pPr>
        <w:pStyle w:val="ListParagraph"/>
        <w:numPr>
          <w:ilvl w:val="0"/>
          <w:numId w:val="15"/>
        </w:numPr>
        <w:spacing w:after="0" w:line="240" w:lineRule="auto"/>
        <w:rPr>
          <w:rFonts w:eastAsia="Arial" w:cstheme="minorHAnsi"/>
        </w:rPr>
      </w:pPr>
      <w:r w:rsidRPr="005044B6">
        <w:rPr>
          <w:rFonts w:eastAsia="Arial" w:cstheme="minorHAnsi"/>
        </w:rPr>
        <w:t xml:space="preserve">works with other partners to contribute to reduce health inequalities across </w:t>
      </w:r>
      <w:r w:rsidR="004D24D1">
        <w:rPr>
          <w:rFonts w:eastAsia="Arial" w:cstheme="minorHAnsi"/>
        </w:rPr>
        <w:t>NEL</w:t>
      </w:r>
    </w:p>
    <w:p w14:paraId="05F2AC04" w14:textId="77777777" w:rsidR="002300FE" w:rsidRPr="005044B6" w:rsidRDefault="002300FE" w:rsidP="005044B6">
      <w:pPr>
        <w:pStyle w:val="ListParagraph"/>
        <w:numPr>
          <w:ilvl w:val="0"/>
          <w:numId w:val="15"/>
        </w:numPr>
        <w:spacing w:after="0" w:line="240" w:lineRule="auto"/>
        <w:rPr>
          <w:rFonts w:eastAsia="Arial" w:cstheme="minorHAnsi"/>
          <w:i/>
          <w:iCs/>
        </w:rPr>
      </w:pPr>
      <w:r w:rsidRPr="005044B6">
        <w:rPr>
          <w:rFonts w:eastAsia="Arial" w:cstheme="minorHAnsi"/>
        </w:rPr>
        <w:t>promotes equality, diversity and inclusion across our workforce and communities</w:t>
      </w:r>
    </w:p>
    <w:p w14:paraId="2FF323B1" w14:textId="1DACFD38" w:rsidR="00651790" w:rsidRPr="005044B6" w:rsidRDefault="00651790" w:rsidP="005044B6">
      <w:pPr>
        <w:spacing w:after="0" w:line="240" w:lineRule="auto"/>
        <w:rPr>
          <w:rFonts w:eastAsia="Arial" w:cstheme="minorHAnsi"/>
        </w:rPr>
      </w:pPr>
    </w:p>
    <w:p w14:paraId="107AFE80" w14:textId="11C5067E" w:rsidR="00651790" w:rsidRPr="005044B6" w:rsidRDefault="000F3B71" w:rsidP="005044B6">
      <w:pPr>
        <w:spacing w:after="0" w:line="240" w:lineRule="auto"/>
        <w:rPr>
          <w:rFonts w:eastAsia="Arial" w:cstheme="minorHAnsi"/>
          <w:color w:val="FF0000"/>
        </w:rPr>
      </w:pPr>
      <w:r w:rsidRPr="005044B6">
        <w:rPr>
          <w:rFonts w:eastAsia="Arial" w:cstheme="minorHAnsi"/>
        </w:rPr>
        <w:t xml:space="preserve">The </w:t>
      </w:r>
      <w:r w:rsidR="005044B6" w:rsidRPr="005044B6">
        <w:rPr>
          <w:rFonts w:eastAsia="Arial" w:cstheme="minorHAnsi"/>
        </w:rPr>
        <w:t xml:space="preserve">Core Group’s objectives include </w:t>
      </w:r>
      <w:r w:rsidR="005044B6">
        <w:rPr>
          <w:rFonts w:eastAsia="Arial" w:cstheme="minorHAnsi"/>
        </w:rPr>
        <w:t xml:space="preserve">creation of a </w:t>
      </w:r>
      <w:r w:rsidR="005044B6" w:rsidRPr="00C876C6">
        <w:rPr>
          <w:rFonts w:eastAsia="Arial" w:cstheme="minorHAnsi"/>
        </w:rPr>
        <w:t xml:space="preserve">targeted E&amp;D (equality and diversity) plan, aligned where relevant, with the recommendations in the public health annual report and drawing on the findings of the impact assessment.  Work to ensure that equality impact assessments are mandated as part of the commissioning cycle has concluded, although further work is needed to promote routine E&amp;D considerations as part of contract monitoring.    </w:t>
      </w:r>
    </w:p>
    <w:p w14:paraId="4DF15131" w14:textId="77777777" w:rsidR="00862F71" w:rsidRPr="005044B6" w:rsidRDefault="00862F71">
      <w:pPr>
        <w:spacing w:after="0" w:line="240" w:lineRule="auto"/>
        <w:rPr>
          <w:rFonts w:eastAsia="Arial" w:cstheme="minorHAnsi"/>
          <w:color w:val="FF0000"/>
        </w:rPr>
      </w:pPr>
    </w:p>
    <w:sectPr w:rsidR="00862F71" w:rsidRPr="005044B6">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33693" w14:textId="77777777" w:rsidR="0093709A" w:rsidRDefault="0093709A" w:rsidP="0093709A">
      <w:pPr>
        <w:spacing w:after="0" w:line="240" w:lineRule="auto"/>
      </w:pPr>
      <w:r>
        <w:separator/>
      </w:r>
    </w:p>
  </w:endnote>
  <w:endnote w:type="continuationSeparator" w:id="0">
    <w:p w14:paraId="466B00E1" w14:textId="77777777" w:rsidR="0093709A" w:rsidRDefault="0093709A" w:rsidP="00937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F76D1" w14:textId="77777777" w:rsidR="007B4402" w:rsidRDefault="007B44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6016465"/>
      <w:docPartObj>
        <w:docPartGallery w:val="Page Numbers (Bottom of Page)"/>
        <w:docPartUnique/>
      </w:docPartObj>
    </w:sdtPr>
    <w:sdtEndPr>
      <w:rPr>
        <w:noProof/>
      </w:rPr>
    </w:sdtEndPr>
    <w:sdtContent>
      <w:p w14:paraId="2DFE94E0" w14:textId="5AC0A53D" w:rsidR="0093709A" w:rsidRDefault="0093709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70EF466" w14:textId="77777777" w:rsidR="0093709A" w:rsidRDefault="009370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E9266" w14:textId="77777777" w:rsidR="007B4402" w:rsidRDefault="007B44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66F3C" w14:textId="77777777" w:rsidR="0093709A" w:rsidRDefault="0093709A" w:rsidP="0093709A">
      <w:pPr>
        <w:spacing w:after="0" w:line="240" w:lineRule="auto"/>
      </w:pPr>
      <w:r>
        <w:separator/>
      </w:r>
    </w:p>
  </w:footnote>
  <w:footnote w:type="continuationSeparator" w:id="0">
    <w:p w14:paraId="39F128CE" w14:textId="77777777" w:rsidR="0093709A" w:rsidRDefault="0093709A" w:rsidP="009370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8F7C8" w14:textId="4A30B6F2" w:rsidR="007B4402" w:rsidRDefault="007B44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A11F5" w14:textId="49E7360F" w:rsidR="007B4402" w:rsidRDefault="007B44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670A4" w14:textId="6B0216C7" w:rsidR="007B4402" w:rsidRDefault="007B44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6534"/>
    <w:multiLevelType w:val="hybridMultilevel"/>
    <w:tmpl w:val="8B500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784845"/>
    <w:multiLevelType w:val="hybridMultilevel"/>
    <w:tmpl w:val="A9E8B47E"/>
    <w:lvl w:ilvl="0" w:tplc="C91AA760">
      <w:start w:val="1"/>
      <w:numFmt w:val="bullet"/>
      <w:lvlText w:val="•"/>
      <w:lvlJc w:val="left"/>
      <w:pPr>
        <w:tabs>
          <w:tab w:val="num" w:pos="720"/>
        </w:tabs>
        <w:ind w:left="720" w:hanging="360"/>
      </w:pPr>
      <w:rPr>
        <w:rFonts w:ascii="Arial" w:hAnsi="Arial" w:hint="default"/>
      </w:rPr>
    </w:lvl>
    <w:lvl w:ilvl="1" w:tplc="9998E586" w:tentative="1">
      <w:start w:val="1"/>
      <w:numFmt w:val="bullet"/>
      <w:lvlText w:val="•"/>
      <w:lvlJc w:val="left"/>
      <w:pPr>
        <w:tabs>
          <w:tab w:val="num" w:pos="1440"/>
        </w:tabs>
        <w:ind w:left="1440" w:hanging="360"/>
      </w:pPr>
      <w:rPr>
        <w:rFonts w:ascii="Arial" w:hAnsi="Arial" w:hint="default"/>
      </w:rPr>
    </w:lvl>
    <w:lvl w:ilvl="2" w:tplc="E028D81E" w:tentative="1">
      <w:start w:val="1"/>
      <w:numFmt w:val="bullet"/>
      <w:lvlText w:val="•"/>
      <w:lvlJc w:val="left"/>
      <w:pPr>
        <w:tabs>
          <w:tab w:val="num" w:pos="2160"/>
        </w:tabs>
        <w:ind w:left="2160" w:hanging="360"/>
      </w:pPr>
      <w:rPr>
        <w:rFonts w:ascii="Arial" w:hAnsi="Arial" w:hint="default"/>
      </w:rPr>
    </w:lvl>
    <w:lvl w:ilvl="3" w:tplc="7A44F09A" w:tentative="1">
      <w:start w:val="1"/>
      <w:numFmt w:val="bullet"/>
      <w:lvlText w:val="•"/>
      <w:lvlJc w:val="left"/>
      <w:pPr>
        <w:tabs>
          <w:tab w:val="num" w:pos="2880"/>
        </w:tabs>
        <w:ind w:left="2880" w:hanging="360"/>
      </w:pPr>
      <w:rPr>
        <w:rFonts w:ascii="Arial" w:hAnsi="Arial" w:hint="default"/>
      </w:rPr>
    </w:lvl>
    <w:lvl w:ilvl="4" w:tplc="0164B686" w:tentative="1">
      <w:start w:val="1"/>
      <w:numFmt w:val="bullet"/>
      <w:lvlText w:val="•"/>
      <w:lvlJc w:val="left"/>
      <w:pPr>
        <w:tabs>
          <w:tab w:val="num" w:pos="3600"/>
        </w:tabs>
        <w:ind w:left="3600" w:hanging="360"/>
      </w:pPr>
      <w:rPr>
        <w:rFonts w:ascii="Arial" w:hAnsi="Arial" w:hint="default"/>
      </w:rPr>
    </w:lvl>
    <w:lvl w:ilvl="5" w:tplc="C6122D9C" w:tentative="1">
      <w:start w:val="1"/>
      <w:numFmt w:val="bullet"/>
      <w:lvlText w:val="•"/>
      <w:lvlJc w:val="left"/>
      <w:pPr>
        <w:tabs>
          <w:tab w:val="num" w:pos="4320"/>
        </w:tabs>
        <w:ind w:left="4320" w:hanging="360"/>
      </w:pPr>
      <w:rPr>
        <w:rFonts w:ascii="Arial" w:hAnsi="Arial" w:hint="default"/>
      </w:rPr>
    </w:lvl>
    <w:lvl w:ilvl="6" w:tplc="26B6819C" w:tentative="1">
      <w:start w:val="1"/>
      <w:numFmt w:val="bullet"/>
      <w:lvlText w:val="•"/>
      <w:lvlJc w:val="left"/>
      <w:pPr>
        <w:tabs>
          <w:tab w:val="num" w:pos="5040"/>
        </w:tabs>
        <w:ind w:left="5040" w:hanging="360"/>
      </w:pPr>
      <w:rPr>
        <w:rFonts w:ascii="Arial" w:hAnsi="Arial" w:hint="default"/>
      </w:rPr>
    </w:lvl>
    <w:lvl w:ilvl="7" w:tplc="E0862FDA" w:tentative="1">
      <w:start w:val="1"/>
      <w:numFmt w:val="bullet"/>
      <w:lvlText w:val="•"/>
      <w:lvlJc w:val="left"/>
      <w:pPr>
        <w:tabs>
          <w:tab w:val="num" w:pos="5760"/>
        </w:tabs>
        <w:ind w:left="5760" w:hanging="360"/>
      </w:pPr>
      <w:rPr>
        <w:rFonts w:ascii="Arial" w:hAnsi="Arial" w:hint="default"/>
      </w:rPr>
    </w:lvl>
    <w:lvl w:ilvl="8" w:tplc="2EF27FD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FC3712F"/>
    <w:multiLevelType w:val="hybridMultilevel"/>
    <w:tmpl w:val="B314BB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1983496"/>
    <w:multiLevelType w:val="hybridMultilevel"/>
    <w:tmpl w:val="40928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304144"/>
    <w:multiLevelType w:val="hybridMultilevel"/>
    <w:tmpl w:val="0F5696D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AC4B43"/>
    <w:multiLevelType w:val="hybridMultilevel"/>
    <w:tmpl w:val="2EDAC29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C45166"/>
    <w:multiLevelType w:val="hybridMultilevel"/>
    <w:tmpl w:val="1B2E08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EE03E2F"/>
    <w:multiLevelType w:val="hybridMultilevel"/>
    <w:tmpl w:val="8034E9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5444FF1"/>
    <w:multiLevelType w:val="hybridMultilevel"/>
    <w:tmpl w:val="285A7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097AA2"/>
    <w:multiLevelType w:val="hybridMultilevel"/>
    <w:tmpl w:val="0B506DDC"/>
    <w:lvl w:ilvl="0" w:tplc="77E8798A">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5AB0E82"/>
    <w:multiLevelType w:val="hybridMultilevel"/>
    <w:tmpl w:val="620CDC5E"/>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66A51D4"/>
    <w:multiLevelType w:val="hybridMultilevel"/>
    <w:tmpl w:val="E4309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AB44AC"/>
    <w:multiLevelType w:val="hybridMultilevel"/>
    <w:tmpl w:val="6DB895CA"/>
    <w:lvl w:ilvl="0" w:tplc="0E10D692">
      <w:start w:val="1"/>
      <w:numFmt w:val="bullet"/>
      <w:lvlText w:val="•"/>
      <w:lvlJc w:val="left"/>
      <w:pPr>
        <w:tabs>
          <w:tab w:val="num" w:pos="720"/>
        </w:tabs>
        <w:ind w:left="720" w:hanging="360"/>
      </w:pPr>
      <w:rPr>
        <w:rFonts w:ascii="Arial" w:hAnsi="Arial" w:hint="default"/>
      </w:rPr>
    </w:lvl>
    <w:lvl w:ilvl="1" w:tplc="499E8EAC">
      <w:start w:val="26"/>
      <w:numFmt w:val="bullet"/>
      <w:lvlText w:val="–"/>
      <w:lvlJc w:val="left"/>
      <w:pPr>
        <w:tabs>
          <w:tab w:val="num" w:pos="1440"/>
        </w:tabs>
        <w:ind w:left="1440" w:hanging="360"/>
      </w:pPr>
      <w:rPr>
        <w:rFonts w:ascii="Arial" w:hAnsi="Arial" w:hint="default"/>
      </w:rPr>
    </w:lvl>
    <w:lvl w:ilvl="2" w:tplc="D6E0EE12" w:tentative="1">
      <w:start w:val="1"/>
      <w:numFmt w:val="bullet"/>
      <w:lvlText w:val="•"/>
      <w:lvlJc w:val="left"/>
      <w:pPr>
        <w:tabs>
          <w:tab w:val="num" w:pos="2160"/>
        </w:tabs>
        <w:ind w:left="2160" w:hanging="360"/>
      </w:pPr>
      <w:rPr>
        <w:rFonts w:ascii="Arial" w:hAnsi="Arial" w:hint="default"/>
      </w:rPr>
    </w:lvl>
    <w:lvl w:ilvl="3" w:tplc="CEA08A12" w:tentative="1">
      <w:start w:val="1"/>
      <w:numFmt w:val="bullet"/>
      <w:lvlText w:val="•"/>
      <w:lvlJc w:val="left"/>
      <w:pPr>
        <w:tabs>
          <w:tab w:val="num" w:pos="2880"/>
        </w:tabs>
        <w:ind w:left="2880" w:hanging="360"/>
      </w:pPr>
      <w:rPr>
        <w:rFonts w:ascii="Arial" w:hAnsi="Arial" w:hint="default"/>
      </w:rPr>
    </w:lvl>
    <w:lvl w:ilvl="4" w:tplc="55D8D750" w:tentative="1">
      <w:start w:val="1"/>
      <w:numFmt w:val="bullet"/>
      <w:lvlText w:val="•"/>
      <w:lvlJc w:val="left"/>
      <w:pPr>
        <w:tabs>
          <w:tab w:val="num" w:pos="3600"/>
        </w:tabs>
        <w:ind w:left="3600" w:hanging="360"/>
      </w:pPr>
      <w:rPr>
        <w:rFonts w:ascii="Arial" w:hAnsi="Arial" w:hint="default"/>
      </w:rPr>
    </w:lvl>
    <w:lvl w:ilvl="5" w:tplc="8FFE95C8" w:tentative="1">
      <w:start w:val="1"/>
      <w:numFmt w:val="bullet"/>
      <w:lvlText w:val="•"/>
      <w:lvlJc w:val="left"/>
      <w:pPr>
        <w:tabs>
          <w:tab w:val="num" w:pos="4320"/>
        </w:tabs>
        <w:ind w:left="4320" w:hanging="360"/>
      </w:pPr>
      <w:rPr>
        <w:rFonts w:ascii="Arial" w:hAnsi="Arial" w:hint="default"/>
      </w:rPr>
    </w:lvl>
    <w:lvl w:ilvl="6" w:tplc="9692042A" w:tentative="1">
      <w:start w:val="1"/>
      <w:numFmt w:val="bullet"/>
      <w:lvlText w:val="•"/>
      <w:lvlJc w:val="left"/>
      <w:pPr>
        <w:tabs>
          <w:tab w:val="num" w:pos="5040"/>
        </w:tabs>
        <w:ind w:left="5040" w:hanging="360"/>
      </w:pPr>
      <w:rPr>
        <w:rFonts w:ascii="Arial" w:hAnsi="Arial" w:hint="default"/>
      </w:rPr>
    </w:lvl>
    <w:lvl w:ilvl="7" w:tplc="342CCB6E" w:tentative="1">
      <w:start w:val="1"/>
      <w:numFmt w:val="bullet"/>
      <w:lvlText w:val="•"/>
      <w:lvlJc w:val="left"/>
      <w:pPr>
        <w:tabs>
          <w:tab w:val="num" w:pos="5760"/>
        </w:tabs>
        <w:ind w:left="5760" w:hanging="360"/>
      </w:pPr>
      <w:rPr>
        <w:rFonts w:ascii="Arial" w:hAnsi="Arial" w:hint="default"/>
      </w:rPr>
    </w:lvl>
    <w:lvl w:ilvl="8" w:tplc="B748C78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EF759F8"/>
    <w:multiLevelType w:val="hybridMultilevel"/>
    <w:tmpl w:val="7E1095C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F1D0B40"/>
    <w:multiLevelType w:val="hybridMultilevel"/>
    <w:tmpl w:val="B4C8E10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7A717CC"/>
    <w:multiLevelType w:val="hybridMultilevel"/>
    <w:tmpl w:val="56AC7E02"/>
    <w:lvl w:ilvl="0" w:tplc="83000D84">
      <w:start w:val="1"/>
      <w:numFmt w:val="bullet"/>
      <w:lvlText w:val="•"/>
      <w:lvlJc w:val="left"/>
      <w:pPr>
        <w:tabs>
          <w:tab w:val="num" w:pos="720"/>
        </w:tabs>
        <w:ind w:left="720" w:hanging="360"/>
      </w:pPr>
      <w:rPr>
        <w:rFonts w:ascii="Arial" w:hAnsi="Arial" w:hint="default"/>
      </w:rPr>
    </w:lvl>
    <w:lvl w:ilvl="1" w:tplc="D5F0119A">
      <w:numFmt w:val="bullet"/>
      <w:lvlText w:val="•"/>
      <w:lvlJc w:val="left"/>
      <w:pPr>
        <w:tabs>
          <w:tab w:val="num" w:pos="1440"/>
        </w:tabs>
        <w:ind w:left="1440" w:hanging="360"/>
      </w:pPr>
      <w:rPr>
        <w:rFonts w:ascii="Arial" w:hAnsi="Arial" w:hint="default"/>
      </w:rPr>
    </w:lvl>
    <w:lvl w:ilvl="2" w:tplc="A130586C" w:tentative="1">
      <w:start w:val="1"/>
      <w:numFmt w:val="bullet"/>
      <w:lvlText w:val="•"/>
      <w:lvlJc w:val="left"/>
      <w:pPr>
        <w:tabs>
          <w:tab w:val="num" w:pos="2160"/>
        </w:tabs>
        <w:ind w:left="2160" w:hanging="360"/>
      </w:pPr>
      <w:rPr>
        <w:rFonts w:ascii="Arial" w:hAnsi="Arial" w:hint="default"/>
      </w:rPr>
    </w:lvl>
    <w:lvl w:ilvl="3" w:tplc="82B612EE" w:tentative="1">
      <w:start w:val="1"/>
      <w:numFmt w:val="bullet"/>
      <w:lvlText w:val="•"/>
      <w:lvlJc w:val="left"/>
      <w:pPr>
        <w:tabs>
          <w:tab w:val="num" w:pos="2880"/>
        </w:tabs>
        <w:ind w:left="2880" w:hanging="360"/>
      </w:pPr>
      <w:rPr>
        <w:rFonts w:ascii="Arial" w:hAnsi="Arial" w:hint="default"/>
      </w:rPr>
    </w:lvl>
    <w:lvl w:ilvl="4" w:tplc="99CA6030" w:tentative="1">
      <w:start w:val="1"/>
      <w:numFmt w:val="bullet"/>
      <w:lvlText w:val="•"/>
      <w:lvlJc w:val="left"/>
      <w:pPr>
        <w:tabs>
          <w:tab w:val="num" w:pos="3600"/>
        </w:tabs>
        <w:ind w:left="3600" w:hanging="360"/>
      </w:pPr>
      <w:rPr>
        <w:rFonts w:ascii="Arial" w:hAnsi="Arial" w:hint="default"/>
      </w:rPr>
    </w:lvl>
    <w:lvl w:ilvl="5" w:tplc="A1EA3EE6" w:tentative="1">
      <w:start w:val="1"/>
      <w:numFmt w:val="bullet"/>
      <w:lvlText w:val="•"/>
      <w:lvlJc w:val="left"/>
      <w:pPr>
        <w:tabs>
          <w:tab w:val="num" w:pos="4320"/>
        </w:tabs>
        <w:ind w:left="4320" w:hanging="360"/>
      </w:pPr>
      <w:rPr>
        <w:rFonts w:ascii="Arial" w:hAnsi="Arial" w:hint="default"/>
      </w:rPr>
    </w:lvl>
    <w:lvl w:ilvl="6" w:tplc="49A836BA" w:tentative="1">
      <w:start w:val="1"/>
      <w:numFmt w:val="bullet"/>
      <w:lvlText w:val="•"/>
      <w:lvlJc w:val="left"/>
      <w:pPr>
        <w:tabs>
          <w:tab w:val="num" w:pos="5040"/>
        </w:tabs>
        <w:ind w:left="5040" w:hanging="360"/>
      </w:pPr>
      <w:rPr>
        <w:rFonts w:ascii="Arial" w:hAnsi="Arial" w:hint="default"/>
      </w:rPr>
    </w:lvl>
    <w:lvl w:ilvl="7" w:tplc="FBEE8A42" w:tentative="1">
      <w:start w:val="1"/>
      <w:numFmt w:val="bullet"/>
      <w:lvlText w:val="•"/>
      <w:lvlJc w:val="left"/>
      <w:pPr>
        <w:tabs>
          <w:tab w:val="num" w:pos="5760"/>
        </w:tabs>
        <w:ind w:left="5760" w:hanging="360"/>
      </w:pPr>
      <w:rPr>
        <w:rFonts w:ascii="Arial" w:hAnsi="Arial" w:hint="default"/>
      </w:rPr>
    </w:lvl>
    <w:lvl w:ilvl="8" w:tplc="A554263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928552B"/>
    <w:multiLevelType w:val="hybridMultilevel"/>
    <w:tmpl w:val="43C08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6F69BA"/>
    <w:multiLevelType w:val="hybridMultilevel"/>
    <w:tmpl w:val="93326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B23020"/>
    <w:multiLevelType w:val="hybridMultilevel"/>
    <w:tmpl w:val="DDF233B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2EF6615"/>
    <w:multiLevelType w:val="hybridMultilevel"/>
    <w:tmpl w:val="1BB2C5E8"/>
    <w:lvl w:ilvl="0" w:tplc="0EE84CDA">
      <w:start w:val="1"/>
      <w:numFmt w:val="bullet"/>
      <w:lvlText w:val="-"/>
      <w:lvlJc w:val="left"/>
      <w:pPr>
        <w:ind w:left="720" w:hanging="360"/>
      </w:pPr>
      <w:rPr>
        <w:rFonts w:ascii="Calibri" w:hAnsi="Calibri" w:hint="default"/>
      </w:rPr>
    </w:lvl>
    <w:lvl w:ilvl="1" w:tplc="A36020B8">
      <w:start w:val="1"/>
      <w:numFmt w:val="bullet"/>
      <w:lvlText w:val="o"/>
      <w:lvlJc w:val="left"/>
      <w:pPr>
        <w:ind w:left="1440" w:hanging="360"/>
      </w:pPr>
      <w:rPr>
        <w:rFonts w:ascii="Courier New" w:hAnsi="Courier New" w:hint="default"/>
      </w:rPr>
    </w:lvl>
    <w:lvl w:ilvl="2" w:tplc="89307768">
      <w:start w:val="1"/>
      <w:numFmt w:val="bullet"/>
      <w:lvlText w:val=""/>
      <w:lvlJc w:val="left"/>
      <w:pPr>
        <w:ind w:left="2160" w:hanging="360"/>
      </w:pPr>
      <w:rPr>
        <w:rFonts w:ascii="Wingdings" w:hAnsi="Wingdings" w:hint="default"/>
      </w:rPr>
    </w:lvl>
    <w:lvl w:ilvl="3" w:tplc="368601F2">
      <w:start w:val="1"/>
      <w:numFmt w:val="bullet"/>
      <w:lvlText w:val=""/>
      <w:lvlJc w:val="left"/>
      <w:pPr>
        <w:ind w:left="2880" w:hanging="360"/>
      </w:pPr>
      <w:rPr>
        <w:rFonts w:ascii="Symbol" w:hAnsi="Symbol" w:hint="default"/>
      </w:rPr>
    </w:lvl>
    <w:lvl w:ilvl="4" w:tplc="01628DCA">
      <w:start w:val="1"/>
      <w:numFmt w:val="bullet"/>
      <w:lvlText w:val="o"/>
      <w:lvlJc w:val="left"/>
      <w:pPr>
        <w:ind w:left="3600" w:hanging="360"/>
      </w:pPr>
      <w:rPr>
        <w:rFonts w:ascii="Courier New" w:hAnsi="Courier New" w:hint="default"/>
      </w:rPr>
    </w:lvl>
    <w:lvl w:ilvl="5" w:tplc="128CE160">
      <w:start w:val="1"/>
      <w:numFmt w:val="bullet"/>
      <w:lvlText w:val=""/>
      <w:lvlJc w:val="left"/>
      <w:pPr>
        <w:ind w:left="4320" w:hanging="360"/>
      </w:pPr>
      <w:rPr>
        <w:rFonts w:ascii="Wingdings" w:hAnsi="Wingdings" w:hint="default"/>
      </w:rPr>
    </w:lvl>
    <w:lvl w:ilvl="6" w:tplc="AB58D956">
      <w:start w:val="1"/>
      <w:numFmt w:val="bullet"/>
      <w:lvlText w:val=""/>
      <w:lvlJc w:val="left"/>
      <w:pPr>
        <w:ind w:left="5040" w:hanging="360"/>
      </w:pPr>
      <w:rPr>
        <w:rFonts w:ascii="Symbol" w:hAnsi="Symbol" w:hint="default"/>
      </w:rPr>
    </w:lvl>
    <w:lvl w:ilvl="7" w:tplc="3C5633D0">
      <w:start w:val="1"/>
      <w:numFmt w:val="bullet"/>
      <w:lvlText w:val="o"/>
      <w:lvlJc w:val="left"/>
      <w:pPr>
        <w:ind w:left="5760" w:hanging="360"/>
      </w:pPr>
      <w:rPr>
        <w:rFonts w:ascii="Courier New" w:hAnsi="Courier New" w:hint="default"/>
      </w:rPr>
    </w:lvl>
    <w:lvl w:ilvl="8" w:tplc="17927E78">
      <w:start w:val="1"/>
      <w:numFmt w:val="bullet"/>
      <w:lvlText w:val=""/>
      <w:lvlJc w:val="left"/>
      <w:pPr>
        <w:ind w:left="6480" w:hanging="360"/>
      </w:pPr>
      <w:rPr>
        <w:rFonts w:ascii="Wingdings" w:hAnsi="Wingdings" w:hint="default"/>
      </w:rPr>
    </w:lvl>
  </w:abstractNum>
  <w:abstractNum w:abstractNumId="20" w15:restartNumberingAfterBreak="0">
    <w:nsid w:val="56CD2E23"/>
    <w:multiLevelType w:val="hybridMultilevel"/>
    <w:tmpl w:val="E474E404"/>
    <w:lvl w:ilvl="0" w:tplc="08090011">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72740DB"/>
    <w:multiLevelType w:val="hybridMultilevel"/>
    <w:tmpl w:val="E796F84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211"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7CC70AD"/>
    <w:multiLevelType w:val="hybridMultilevel"/>
    <w:tmpl w:val="FE80F7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9A42001"/>
    <w:multiLevelType w:val="hybridMultilevel"/>
    <w:tmpl w:val="8CE81590"/>
    <w:lvl w:ilvl="0" w:tplc="08090001">
      <w:start w:val="1"/>
      <w:numFmt w:val="bullet"/>
      <w:lvlText w:val=""/>
      <w:lvlJc w:val="left"/>
      <w:pPr>
        <w:ind w:left="360" w:hanging="360"/>
      </w:pPr>
      <w:rPr>
        <w:rFonts w:ascii="Symbol" w:hAnsi="Symbol" w:hint="default"/>
      </w:rPr>
    </w:lvl>
    <w:lvl w:ilvl="1" w:tplc="921811DE">
      <w:start w:val="1"/>
      <w:numFmt w:val="decimal"/>
      <w:lvlText w:val="%2)"/>
      <w:lvlJc w:val="left"/>
      <w:pPr>
        <w:ind w:left="1080" w:hanging="360"/>
      </w:pPr>
      <w:rPr>
        <w:rFonts w:ascii="Arial" w:eastAsiaTheme="minorHAnsi" w:hAnsi="Arial" w:cs="Arial"/>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DF24B63"/>
    <w:multiLevelType w:val="hybridMultilevel"/>
    <w:tmpl w:val="A8BCA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384459"/>
    <w:multiLevelType w:val="hybridMultilevel"/>
    <w:tmpl w:val="B3D8F88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26" w15:restartNumberingAfterBreak="0">
    <w:nsid w:val="60ED2F66"/>
    <w:multiLevelType w:val="hybridMultilevel"/>
    <w:tmpl w:val="3B5A3F34"/>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850579"/>
    <w:multiLevelType w:val="hybridMultilevel"/>
    <w:tmpl w:val="4B0EEC2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786525"/>
    <w:multiLevelType w:val="hybridMultilevel"/>
    <w:tmpl w:val="004A6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C77E4C"/>
    <w:multiLevelType w:val="hybridMultilevel"/>
    <w:tmpl w:val="885CC37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ED06081"/>
    <w:multiLevelType w:val="hybridMultilevel"/>
    <w:tmpl w:val="03FADA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0B4695D"/>
    <w:multiLevelType w:val="hybridMultilevel"/>
    <w:tmpl w:val="A992ECC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0C2A93"/>
    <w:multiLevelType w:val="hybridMultilevel"/>
    <w:tmpl w:val="EFC4EB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751C1545"/>
    <w:multiLevelType w:val="hybridMultilevel"/>
    <w:tmpl w:val="7D6AEB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7B222CF6"/>
    <w:multiLevelType w:val="hybridMultilevel"/>
    <w:tmpl w:val="4E72D1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9"/>
  </w:num>
  <w:num w:numId="4">
    <w:abstractNumId w:val="10"/>
  </w:num>
  <w:num w:numId="5">
    <w:abstractNumId w:val="25"/>
  </w:num>
  <w:num w:numId="6">
    <w:abstractNumId w:val="27"/>
  </w:num>
  <w:num w:numId="7">
    <w:abstractNumId w:val="30"/>
  </w:num>
  <w:num w:numId="8">
    <w:abstractNumId w:val="23"/>
  </w:num>
  <w:num w:numId="9">
    <w:abstractNumId w:val="22"/>
  </w:num>
  <w:num w:numId="10">
    <w:abstractNumId w:val="12"/>
  </w:num>
  <w:num w:numId="11">
    <w:abstractNumId w:val="15"/>
  </w:num>
  <w:num w:numId="12">
    <w:abstractNumId w:val="29"/>
  </w:num>
  <w:num w:numId="13">
    <w:abstractNumId w:val="20"/>
  </w:num>
  <w:num w:numId="14">
    <w:abstractNumId w:val="31"/>
  </w:num>
  <w:num w:numId="15">
    <w:abstractNumId w:val="28"/>
  </w:num>
  <w:num w:numId="16">
    <w:abstractNumId w:val="17"/>
  </w:num>
  <w:num w:numId="17">
    <w:abstractNumId w:val="8"/>
  </w:num>
  <w:num w:numId="18">
    <w:abstractNumId w:val="9"/>
  </w:num>
  <w:num w:numId="19">
    <w:abstractNumId w:val="9"/>
  </w:num>
  <w:num w:numId="20">
    <w:abstractNumId w:val="2"/>
  </w:num>
  <w:num w:numId="21">
    <w:abstractNumId w:val="7"/>
  </w:num>
  <w:num w:numId="22">
    <w:abstractNumId w:val="6"/>
  </w:num>
  <w:num w:numId="23">
    <w:abstractNumId w:val="34"/>
  </w:num>
  <w:num w:numId="24">
    <w:abstractNumId w:val="33"/>
  </w:num>
  <w:num w:numId="25">
    <w:abstractNumId w:val="32"/>
  </w:num>
  <w:num w:numId="26">
    <w:abstractNumId w:val="26"/>
  </w:num>
  <w:num w:numId="27">
    <w:abstractNumId w:val="18"/>
  </w:num>
  <w:num w:numId="28">
    <w:abstractNumId w:val="13"/>
  </w:num>
  <w:num w:numId="29">
    <w:abstractNumId w:val="16"/>
  </w:num>
  <w:num w:numId="30">
    <w:abstractNumId w:val="24"/>
  </w:num>
  <w:num w:numId="31">
    <w:abstractNumId w:val="21"/>
  </w:num>
  <w:num w:numId="32">
    <w:abstractNumId w:val="1"/>
  </w:num>
  <w:num w:numId="33">
    <w:abstractNumId w:val="3"/>
  </w:num>
  <w:num w:numId="34">
    <w:abstractNumId w:val="14"/>
  </w:num>
  <w:num w:numId="35">
    <w:abstractNumId w:val="4"/>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20D"/>
    <w:rsid w:val="00004CB6"/>
    <w:rsid w:val="0004545E"/>
    <w:rsid w:val="00052310"/>
    <w:rsid w:val="0006775A"/>
    <w:rsid w:val="000709BF"/>
    <w:rsid w:val="000873E7"/>
    <w:rsid w:val="00097855"/>
    <w:rsid w:val="000A0FCC"/>
    <w:rsid w:val="000C6FBB"/>
    <w:rsid w:val="000D0368"/>
    <w:rsid w:val="000D33DB"/>
    <w:rsid w:val="000F28A8"/>
    <w:rsid w:val="000F3B71"/>
    <w:rsid w:val="00102C2A"/>
    <w:rsid w:val="0011409C"/>
    <w:rsid w:val="00150820"/>
    <w:rsid w:val="001640C0"/>
    <w:rsid w:val="00175EF6"/>
    <w:rsid w:val="001E2499"/>
    <w:rsid w:val="001E2542"/>
    <w:rsid w:val="001E51B6"/>
    <w:rsid w:val="001F2159"/>
    <w:rsid w:val="001F2515"/>
    <w:rsid w:val="001F3A36"/>
    <w:rsid w:val="0020423A"/>
    <w:rsid w:val="00213678"/>
    <w:rsid w:val="00222D9E"/>
    <w:rsid w:val="00225834"/>
    <w:rsid w:val="002300FE"/>
    <w:rsid w:val="00235952"/>
    <w:rsid w:val="00235D90"/>
    <w:rsid w:val="002430B7"/>
    <w:rsid w:val="00257FCF"/>
    <w:rsid w:val="00266297"/>
    <w:rsid w:val="0028162F"/>
    <w:rsid w:val="00291C3C"/>
    <w:rsid w:val="00296529"/>
    <w:rsid w:val="002B3E12"/>
    <w:rsid w:val="0030420A"/>
    <w:rsid w:val="00307617"/>
    <w:rsid w:val="00312BBE"/>
    <w:rsid w:val="003325AE"/>
    <w:rsid w:val="00343163"/>
    <w:rsid w:val="00347FE0"/>
    <w:rsid w:val="003615E5"/>
    <w:rsid w:val="003739C9"/>
    <w:rsid w:val="0039378B"/>
    <w:rsid w:val="003B088A"/>
    <w:rsid w:val="003B1CFF"/>
    <w:rsid w:val="003B563D"/>
    <w:rsid w:val="003E0B8F"/>
    <w:rsid w:val="00407255"/>
    <w:rsid w:val="00416314"/>
    <w:rsid w:val="00430C28"/>
    <w:rsid w:val="004324FD"/>
    <w:rsid w:val="004B1CD2"/>
    <w:rsid w:val="004B72A6"/>
    <w:rsid w:val="004D24D1"/>
    <w:rsid w:val="004E63E7"/>
    <w:rsid w:val="004F460B"/>
    <w:rsid w:val="004F74CC"/>
    <w:rsid w:val="005044B6"/>
    <w:rsid w:val="005141AA"/>
    <w:rsid w:val="00516AD5"/>
    <w:rsid w:val="0053020D"/>
    <w:rsid w:val="005506FC"/>
    <w:rsid w:val="005647AD"/>
    <w:rsid w:val="005876CD"/>
    <w:rsid w:val="005B123A"/>
    <w:rsid w:val="005B5A81"/>
    <w:rsid w:val="005C585E"/>
    <w:rsid w:val="005D60EB"/>
    <w:rsid w:val="005F3F1D"/>
    <w:rsid w:val="00612816"/>
    <w:rsid w:val="00624F3D"/>
    <w:rsid w:val="00634A4D"/>
    <w:rsid w:val="00651790"/>
    <w:rsid w:val="00675924"/>
    <w:rsid w:val="0068373E"/>
    <w:rsid w:val="00686B5F"/>
    <w:rsid w:val="006A4926"/>
    <w:rsid w:val="006A7EAD"/>
    <w:rsid w:val="006B0CC1"/>
    <w:rsid w:val="006B5A59"/>
    <w:rsid w:val="006C7968"/>
    <w:rsid w:val="006D22B3"/>
    <w:rsid w:val="006F6EC3"/>
    <w:rsid w:val="006F7FFA"/>
    <w:rsid w:val="00731BFC"/>
    <w:rsid w:val="00744361"/>
    <w:rsid w:val="00753342"/>
    <w:rsid w:val="0077320A"/>
    <w:rsid w:val="00783667"/>
    <w:rsid w:val="0078672A"/>
    <w:rsid w:val="0079209A"/>
    <w:rsid w:val="007A4229"/>
    <w:rsid w:val="007A5918"/>
    <w:rsid w:val="007B4402"/>
    <w:rsid w:val="007C08BC"/>
    <w:rsid w:val="007C51BB"/>
    <w:rsid w:val="007C5F5F"/>
    <w:rsid w:val="007D6B32"/>
    <w:rsid w:val="007F3344"/>
    <w:rsid w:val="008043A0"/>
    <w:rsid w:val="00831116"/>
    <w:rsid w:val="00843E19"/>
    <w:rsid w:val="008477C6"/>
    <w:rsid w:val="0086131B"/>
    <w:rsid w:val="00862F71"/>
    <w:rsid w:val="008825D9"/>
    <w:rsid w:val="008A2C84"/>
    <w:rsid w:val="008B10DF"/>
    <w:rsid w:val="008E63BD"/>
    <w:rsid w:val="008F0C2B"/>
    <w:rsid w:val="009055BD"/>
    <w:rsid w:val="00915F70"/>
    <w:rsid w:val="0093709A"/>
    <w:rsid w:val="00950978"/>
    <w:rsid w:val="0096389B"/>
    <w:rsid w:val="00974AB6"/>
    <w:rsid w:val="00986A89"/>
    <w:rsid w:val="009953F6"/>
    <w:rsid w:val="00996E1E"/>
    <w:rsid w:val="009B05BE"/>
    <w:rsid w:val="009B786A"/>
    <w:rsid w:val="009D7C30"/>
    <w:rsid w:val="00A05C00"/>
    <w:rsid w:val="00A06421"/>
    <w:rsid w:val="00A27479"/>
    <w:rsid w:val="00A3042C"/>
    <w:rsid w:val="00A4023D"/>
    <w:rsid w:val="00A44876"/>
    <w:rsid w:val="00A73C72"/>
    <w:rsid w:val="00A77685"/>
    <w:rsid w:val="00AA5B42"/>
    <w:rsid w:val="00AD5FF1"/>
    <w:rsid w:val="00AF5110"/>
    <w:rsid w:val="00B123B3"/>
    <w:rsid w:val="00B1244C"/>
    <w:rsid w:val="00B142F6"/>
    <w:rsid w:val="00B16502"/>
    <w:rsid w:val="00B22F05"/>
    <w:rsid w:val="00B45B2E"/>
    <w:rsid w:val="00B47D61"/>
    <w:rsid w:val="00B647E5"/>
    <w:rsid w:val="00B76E0C"/>
    <w:rsid w:val="00B94665"/>
    <w:rsid w:val="00BB3E80"/>
    <w:rsid w:val="00BC2465"/>
    <w:rsid w:val="00BD5F48"/>
    <w:rsid w:val="00BE2AC7"/>
    <w:rsid w:val="00BF6E8D"/>
    <w:rsid w:val="00C2761E"/>
    <w:rsid w:val="00C3592A"/>
    <w:rsid w:val="00C42415"/>
    <w:rsid w:val="00C438B7"/>
    <w:rsid w:val="00C533FE"/>
    <w:rsid w:val="00C53991"/>
    <w:rsid w:val="00C63272"/>
    <w:rsid w:val="00C71856"/>
    <w:rsid w:val="00C810AB"/>
    <w:rsid w:val="00C876C6"/>
    <w:rsid w:val="00CA5BC3"/>
    <w:rsid w:val="00CA7826"/>
    <w:rsid w:val="00D05DCB"/>
    <w:rsid w:val="00D13C02"/>
    <w:rsid w:val="00D154B0"/>
    <w:rsid w:val="00D21DE1"/>
    <w:rsid w:val="00D33D4A"/>
    <w:rsid w:val="00D40533"/>
    <w:rsid w:val="00D90740"/>
    <w:rsid w:val="00D9316C"/>
    <w:rsid w:val="00D96AF5"/>
    <w:rsid w:val="00DA00A7"/>
    <w:rsid w:val="00DA43B6"/>
    <w:rsid w:val="00DC4BF0"/>
    <w:rsid w:val="00DC6AF0"/>
    <w:rsid w:val="00DF0658"/>
    <w:rsid w:val="00E14351"/>
    <w:rsid w:val="00E14F71"/>
    <w:rsid w:val="00E25550"/>
    <w:rsid w:val="00E327E4"/>
    <w:rsid w:val="00E35769"/>
    <w:rsid w:val="00E665CC"/>
    <w:rsid w:val="00E66A24"/>
    <w:rsid w:val="00E76F2C"/>
    <w:rsid w:val="00E8340B"/>
    <w:rsid w:val="00E97097"/>
    <w:rsid w:val="00EB18C3"/>
    <w:rsid w:val="00EC3ADE"/>
    <w:rsid w:val="00EC51FF"/>
    <w:rsid w:val="00ED37F4"/>
    <w:rsid w:val="00EE1EF6"/>
    <w:rsid w:val="00EF1995"/>
    <w:rsid w:val="00EF6C78"/>
    <w:rsid w:val="00F138D9"/>
    <w:rsid w:val="00F21AAA"/>
    <w:rsid w:val="00F33992"/>
    <w:rsid w:val="00F44AD4"/>
    <w:rsid w:val="00F5650F"/>
    <w:rsid w:val="00F927A2"/>
    <w:rsid w:val="00F9643B"/>
    <w:rsid w:val="00FA33A8"/>
    <w:rsid w:val="00FA603E"/>
    <w:rsid w:val="00FA74CD"/>
    <w:rsid w:val="00FD4549"/>
    <w:rsid w:val="00FE21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C4980F"/>
  <w15:chartTrackingRefBased/>
  <w15:docId w15:val="{2116C5DC-986E-4790-8974-77D68CA7F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020D"/>
  </w:style>
  <w:style w:type="paragraph" w:styleId="Heading1">
    <w:name w:val="heading 1"/>
    <w:basedOn w:val="Normal"/>
    <w:next w:val="Normal"/>
    <w:link w:val="Heading1Char"/>
    <w:uiPriority w:val="9"/>
    <w:qFormat/>
    <w:rsid w:val="00D33D4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B5A5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B5A5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3020D"/>
    <w:pPr>
      <w:ind w:left="720"/>
      <w:contextualSpacing/>
    </w:pPr>
  </w:style>
  <w:style w:type="character" w:customStyle="1" w:styleId="ListParagraphChar">
    <w:name w:val="List Paragraph Char"/>
    <w:link w:val="ListParagraph"/>
    <w:uiPriority w:val="34"/>
    <w:locked/>
    <w:rsid w:val="00004CB6"/>
  </w:style>
  <w:style w:type="character" w:styleId="Hyperlink">
    <w:name w:val="Hyperlink"/>
    <w:basedOn w:val="DefaultParagraphFont"/>
    <w:uiPriority w:val="99"/>
    <w:unhideWhenUsed/>
    <w:rsid w:val="00407255"/>
    <w:rPr>
      <w:color w:val="0563C1" w:themeColor="hyperlink"/>
      <w:u w:val="single"/>
    </w:rPr>
  </w:style>
  <w:style w:type="character" w:styleId="UnresolvedMention">
    <w:name w:val="Unresolved Mention"/>
    <w:basedOn w:val="DefaultParagraphFont"/>
    <w:uiPriority w:val="99"/>
    <w:semiHidden/>
    <w:unhideWhenUsed/>
    <w:rsid w:val="00407255"/>
    <w:rPr>
      <w:color w:val="605E5C"/>
      <w:shd w:val="clear" w:color="auto" w:fill="E1DFDD"/>
    </w:rPr>
  </w:style>
  <w:style w:type="paragraph" w:styleId="Header">
    <w:name w:val="header"/>
    <w:basedOn w:val="Normal"/>
    <w:link w:val="HeaderChar"/>
    <w:uiPriority w:val="99"/>
    <w:unhideWhenUsed/>
    <w:rsid w:val="009370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09A"/>
  </w:style>
  <w:style w:type="paragraph" w:styleId="Footer">
    <w:name w:val="footer"/>
    <w:basedOn w:val="Normal"/>
    <w:link w:val="FooterChar"/>
    <w:uiPriority w:val="99"/>
    <w:unhideWhenUsed/>
    <w:rsid w:val="009370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9A"/>
  </w:style>
  <w:style w:type="paragraph" w:styleId="NormalWeb">
    <w:name w:val="Normal (Web)"/>
    <w:basedOn w:val="Normal"/>
    <w:uiPriority w:val="99"/>
    <w:unhideWhenUsed/>
    <w:rsid w:val="0009785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097855"/>
    <w:rPr>
      <w:rFonts w:ascii="Segoe UI" w:hAnsi="Segoe UI" w:cs="Segoe UI" w:hint="default"/>
      <w:sz w:val="18"/>
      <w:szCs w:val="18"/>
    </w:rPr>
  </w:style>
  <w:style w:type="character" w:customStyle="1" w:styleId="Heading1Char">
    <w:name w:val="Heading 1 Char"/>
    <w:basedOn w:val="DefaultParagraphFont"/>
    <w:link w:val="Heading1"/>
    <w:uiPriority w:val="9"/>
    <w:rsid w:val="00D33D4A"/>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D33D4A"/>
    <w:pPr>
      <w:outlineLvl w:val="9"/>
    </w:pPr>
    <w:rPr>
      <w:lang w:val="en-US"/>
    </w:rPr>
  </w:style>
  <w:style w:type="paragraph" w:styleId="TOC2">
    <w:name w:val="toc 2"/>
    <w:basedOn w:val="Normal"/>
    <w:next w:val="Normal"/>
    <w:autoRedefine/>
    <w:uiPriority w:val="39"/>
    <w:unhideWhenUsed/>
    <w:rsid w:val="00D33D4A"/>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D33D4A"/>
    <w:pPr>
      <w:spacing w:after="100"/>
    </w:pPr>
    <w:rPr>
      <w:rFonts w:eastAsiaTheme="minorEastAsia" w:cs="Times New Roman"/>
      <w:lang w:val="en-US"/>
    </w:rPr>
  </w:style>
  <w:style w:type="paragraph" w:styleId="TOC3">
    <w:name w:val="toc 3"/>
    <w:basedOn w:val="Normal"/>
    <w:next w:val="Normal"/>
    <w:autoRedefine/>
    <w:uiPriority w:val="39"/>
    <w:unhideWhenUsed/>
    <w:rsid w:val="00D33D4A"/>
    <w:pPr>
      <w:spacing w:after="100"/>
      <w:ind w:left="440"/>
    </w:pPr>
    <w:rPr>
      <w:rFonts w:eastAsiaTheme="minorEastAsia" w:cs="Times New Roman"/>
      <w:lang w:val="en-US"/>
    </w:rPr>
  </w:style>
  <w:style w:type="character" w:customStyle="1" w:styleId="Heading2Char">
    <w:name w:val="Heading 2 Char"/>
    <w:basedOn w:val="DefaultParagraphFont"/>
    <w:link w:val="Heading2"/>
    <w:uiPriority w:val="9"/>
    <w:rsid w:val="006B5A5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B5A59"/>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2430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966093">
      <w:bodyDiv w:val="1"/>
      <w:marLeft w:val="0"/>
      <w:marRight w:val="0"/>
      <w:marTop w:val="0"/>
      <w:marBottom w:val="0"/>
      <w:divBdr>
        <w:top w:val="none" w:sz="0" w:space="0" w:color="auto"/>
        <w:left w:val="none" w:sz="0" w:space="0" w:color="auto"/>
        <w:bottom w:val="none" w:sz="0" w:space="0" w:color="auto"/>
        <w:right w:val="none" w:sz="0" w:space="0" w:color="auto"/>
      </w:divBdr>
      <w:divsChild>
        <w:div w:id="1107433923">
          <w:marLeft w:val="274"/>
          <w:marRight w:val="0"/>
          <w:marTop w:val="0"/>
          <w:marBottom w:val="0"/>
          <w:divBdr>
            <w:top w:val="none" w:sz="0" w:space="0" w:color="auto"/>
            <w:left w:val="none" w:sz="0" w:space="0" w:color="auto"/>
            <w:bottom w:val="none" w:sz="0" w:space="0" w:color="auto"/>
            <w:right w:val="none" w:sz="0" w:space="0" w:color="auto"/>
          </w:divBdr>
        </w:div>
        <w:div w:id="538473078">
          <w:marLeft w:val="274"/>
          <w:marRight w:val="0"/>
          <w:marTop w:val="0"/>
          <w:marBottom w:val="0"/>
          <w:divBdr>
            <w:top w:val="none" w:sz="0" w:space="0" w:color="auto"/>
            <w:left w:val="none" w:sz="0" w:space="0" w:color="auto"/>
            <w:bottom w:val="none" w:sz="0" w:space="0" w:color="auto"/>
            <w:right w:val="none" w:sz="0" w:space="0" w:color="auto"/>
          </w:divBdr>
        </w:div>
        <w:div w:id="25915386">
          <w:marLeft w:val="274"/>
          <w:marRight w:val="0"/>
          <w:marTop w:val="0"/>
          <w:marBottom w:val="0"/>
          <w:divBdr>
            <w:top w:val="none" w:sz="0" w:space="0" w:color="auto"/>
            <w:left w:val="none" w:sz="0" w:space="0" w:color="auto"/>
            <w:bottom w:val="none" w:sz="0" w:space="0" w:color="auto"/>
            <w:right w:val="none" w:sz="0" w:space="0" w:color="auto"/>
          </w:divBdr>
        </w:div>
        <w:div w:id="2113473510">
          <w:marLeft w:val="274"/>
          <w:marRight w:val="0"/>
          <w:marTop w:val="0"/>
          <w:marBottom w:val="0"/>
          <w:divBdr>
            <w:top w:val="none" w:sz="0" w:space="0" w:color="auto"/>
            <w:left w:val="none" w:sz="0" w:space="0" w:color="auto"/>
            <w:bottom w:val="none" w:sz="0" w:space="0" w:color="auto"/>
            <w:right w:val="none" w:sz="0" w:space="0" w:color="auto"/>
          </w:divBdr>
        </w:div>
      </w:divsChild>
    </w:div>
    <w:div w:id="359939782">
      <w:bodyDiv w:val="1"/>
      <w:marLeft w:val="0"/>
      <w:marRight w:val="0"/>
      <w:marTop w:val="0"/>
      <w:marBottom w:val="0"/>
      <w:divBdr>
        <w:top w:val="none" w:sz="0" w:space="0" w:color="auto"/>
        <w:left w:val="none" w:sz="0" w:space="0" w:color="auto"/>
        <w:bottom w:val="none" w:sz="0" w:space="0" w:color="auto"/>
        <w:right w:val="none" w:sz="0" w:space="0" w:color="auto"/>
      </w:divBdr>
    </w:div>
    <w:div w:id="480122815">
      <w:bodyDiv w:val="1"/>
      <w:marLeft w:val="0"/>
      <w:marRight w:val="0"/>
      <w:marTop w:val="0"/>
      <w:marBottom w:val="0"/>
      <w:divBdr>
        <w:top w:val="none" w:sz="0" w:space="0" w:color="auto"/>
        <w:left w:val="none" w:sz="0" w:space="0" w:color="auto"/>
        <w:bottom w:val="none" w:sz="0" w:space="0" w:color="auto"/>
        <w:right w:val="none" w:sz="0" w:space="0" w:color="auto"/>
      </w:divBdr>
    </w:div>
    <w:div w:id="883255037">
      <w:bodyDiv w:val="1"/>
      <w:marLeft w:val="0"/>
      <w:marRight w:val="0"/>
      <w:marTop w:val="0"/>
      <w:marBottom w:val="0"/>
      <w:divBdr>
        <w:top w:val="none" w:sz="0" w:space="0" w:color="auto"/>
        <w:left w:val="none" w:sz="0" w:space="0" w:color="auto"/>
        <w:bottom w:val="none" w:sz="0" w:space="0" w:color="auto"/>
        <w:right w:val="none" w:sz="0" w:space="0" w:color="auto"/>
      </w:divBdr>
    </w:div>
    <w:div w:id="977223069">
      <w:bodyDiv w:val="1"/>
      <w:marLeft w:val="0"/>
      <w:marRight w:val="0"/>
      <w:marTop w:val="0"/>
      <w:marBottom w:val="0"/>
      <w:divBdr>
        <w:top w:val="none" w:sz="0" w:space="0" w:color="auto"/>
        <w:left w:val="none" w:sz="0" w:space="0" w:color="auto"/>
        <w:bottom w:val="none" w:sz="0" w:space="0" w:color="auto"/>
        <w:right w:val="none" w:sz="0" w:space="0" w:color="auto"/>
      </w:divBdr>
    </w:div>
    <w:div w:id="1201160923">
      <w:bodyDiv w:val="1"/>
      <w:marLeft w:val="0"/>
      <w:marRight w:val="0"/>
      <w:marTop w:val="0"/>
      <w:marBottom w:val="0"/>
      <w:divBdr>
        <w:top w:val="none" w:sz="0" w:space="0" w:color="auto"/>
        <w:left w:val="none" w:sz="0" w:space="0" w:color="auto"/>
        <w:bottom w:val="none" w:sz="0" w:space="0" w:color="auto"/>
        <w:right w:val="none" w:sz="0" w:space="0" w:color="auto"/>
      </w:divBdr>
      <w:divsChild>
        <w:div w:id="1028336655">
          <w:marLeft w:val="0"/>
          <w:marRight w:val="0"/>
          <w:marTop w:val="0"/>
          <w:marBottom w:val="0"/>
          <w:divBdr>
            <w:top w:val="none" w:sz="0" w:space="0" w:color="auto"/>
            <w:left w:val="none" w:sz="0" w:space="0" w:color="auto"/>
            <w:bottom w:val="none" w:sz="0" w:space="0" w:color="auto"/>
            <w:right w:val="none" w:sz="0" w:space="0" w:color="auto"/>
          </w:divBdr>
          <w:divsChild>
            <w:div w:id="1001742171">
              <w:marLeft w:val="0"/>
              <w:marRight w:val="0"/>
              <w:marTop w:val="225"/>
              <w:marBottom w:val="225"/>
              <w:divBdr>
                <w:top w:val="none" w:sz="0" w:space="0" w:color="auto"/>
                <w:left w:val="none" w:sz="0" w:space="0" w:color="auto"/>
                <w:bottom w:val="none" w:sz="0" w:space="0" w:color="auto"/>
                <w:right w:val="none" w:sz="0" w:space="0" w:color="auto"/>
              </w:divBdr>
              <w:divsChild>
                <w:div w:id="1444378951">
                  <w:marLeft w:val="0"/>
                  <w:marRight w:val="0"/>
                  <w:marTop w:val="0"/>
                  <w:marBottom w:val="0"/>
                  <w:divBdr>
                    <w:top w:val="none" w:sz="0" w:space="0" w:color="auto"/>
                    <w:left w:val="none" w:sz="0" w:space="0" w:color="auto"/>
                    <w:bottom w:val="none" w:sz="0" w:space="0" w:color="auto"/>
                    <w:right w:val="none" w:sz="0" w:space="0" w:color="auto"/>
                  </w:divBdr>
                  <w:divsChild>
                    <w:div w:id="1155758664">
                      <w:marLeft w:val="0"/>
                      <w:marRight w:val="0"/>
                      <w:marTop w:val="0"/>
                      <w:marBottom w:val="0"/>
                      <w:divBdr>
                        <w:top w:val="none" w:sz="0" w:space="0" w:color="auto"/>
                        <w:left w:val="none" w:sz="0" w:space="0" w:color="auto"/>
                        <w:bottom w:val="none" w:sz="0" w:space="0" w:color="auto"/>
                        <w:right w:val="none" w:sz="0" w:space="0" w:color="auto"/>
                      </w:divBdr>
                      <w:divsChild>
                        <w:div w:id="596135708">
                          <w:marLeft w:val="0"/>
                          <w:marRight w:val="0"/>
                          <w:marTop w:val="0"/>
                          <w:marBottom w:val="0"/>
                          <w:divBdr>
                            <w:top w:val="none" w:sz="0" w:space="0" w:color="auto"/>
                            <w:left w:val="none" w:sz="0" w:space="0" w:color="auto"/>
                            <w:bottom w:val="none" w:sz="0" w:space="0" w:color="auto"/>
                            <w:right w:val="none" w:sz="0" w:space="0" w:color="auto"/>
                          </w:divBdr>
                        </w:div>
                        <w:div w:id="148206685">
                          <w:marLeft w:val="0"/>
                          <w:marRight w:val="0"/>
                          <w:marTop w:val="0"/>
                          <w:marBottom w:val="0"/>
                          <w:divBdr>
                            <w:top w:val="none" w:sz="0" w:space="0" w:color="auto"/>
                            <w:left w:val="none" w:sz="0" w:space="0" w:color="auto"/>
                            <w:bottom w:val="none" w:sz="0" w:space="0" w:color="auto"/>
                            <w:right w:val="none" w:sz="0" w:space="0" w:color="auto"/>
                          </w:divBdr>
                        </w:div>
                        <w:div w:id="867640780">
                          <w:marLeft w:val="0"/>
                          <w:marRight w:val="0"/>
                          <w:marTop w:val="0"/>
                          <w:marBottom w:val="0"/>
                          <w:divBdr>
                            <w:top w:val="none" w:sz="0" w:space="0" w:color="auto"/>
                            <w:left w:val="none" w:sz="0" w:space="0" w:color="auto"/>
                            <w:bottom w:val="none" w:sz="0" w:space="0" w:color="auto"/>
                            <w:right w:val="none" w:sz="0" w:space="0" w:color="auto"/>
                          </w:divBdr>
                        </w:div>
                        <w:div w:id="135100626">
                          <w:marLeft w:val="0"/>
                          <w:marRight w:val="0"/>
                          <w:marTop w:val="0"/>
                          <w:marBottom w:val="0"/>
                          <w:divBdr>
                            <w:top w:val="none" w:sz="0" w:space="0" w:color="auto"/>
                            <w:left w:val="none" w:sz="0" w:space="0" w:color="auto"/>
                            <w:bottom w:val="none" w:sz="0" w:space="0" w:color="auto"/>
                            <w:right w:val="none" w:sz="0" w:space="0" w:color="auto"/>
                          </w:divBdr>
                        </w:div>
                        <w:div w:id="119958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3908184">
      <w:bodyDiv w:val="1"/>
      <w:marLeft w:val="0"/>
      <w:marRight w:val="0"/>
      <w:marTop w:val="0"/>
      <w:marBottom w:val="0"/>
      <w:divBdr>
        <w:top w:val="none" w:sz="0" w:space="0" w:color="auto"/>
        <w:left w:val="none" w:sz="0" w:space="0" w:color="auto"/>
        <w:bottom w:val="none" w:sz="0" w:space="0" w:color="auto"/>
        <w:right w:val="none" w:sz="0" w:space="0" w:color="auto"/>
      </w:divBdr>
    </w:div>
    <w:div w:id="1602640857">
      <w:bodyDiv w:val="1"/>
      <w:marLeft w:val="0"/>
      <w:marRight w:val="0"/>
      <w:marTop w:val="0"/>
      <w:marBottom w:val="0"/>
      <w:divBdr>
        <w:top w:val="none" w:sz="0" w:space="0" w:color="auto"/>
        <w:left w:val="none" w:sz="0" w:space="0" w:color="auto"/>
        <w:bottom w:val="none" w:sz="0" w:space="0" w:color="auto"/>
        <w:right w:val="none" w:sz="0" w:space="0" w:color="auto"/>
      </w:divBdr>
    </w:div>
    <w:div w:id="1762943122">
      <w:bodyDiv w:val="1"/>
      <w:marLeft w:val="0"/>
      <w:marRight w:val="0"/>
      <w:marTop w:val="0"/>
      <w:marBottom w:val="0"/>
      <w:divBdr>
        <w:top w:val="none" w:sz="0" w:space="0" w:color="auto"/>
        <w:left w:val="none" w:sz="0" w:space="0" w:color="auto"/>
        <w:bottom w:val="none" w:sz="0" w:space="0" w:color="auto"/>
        <w:right w:val="none" w:sz="0" w:space="0" w:color="auto"/>
      </w:divBdr>
    </w:div>
    <w:div w:id="1914781532">
      <w:bodyDiv w:val="1"/>
      <w:marLeft w:val="0"/>
      <w:marRight w:val="0"/>
      <w:marTop w:val="0"/>
      <w:marBottom w:val="0"/>
      <w:divBdr>
        <w:top w:val="none" w:sz="0" w:space="0" w:color="auto"/>
        <w:left w:val="none" w:sz="0" w:space="0" w:color="auto"/>
        <w:bottom w:val="none" w:sz="0" w:space="0" w:color="auto"/>
        <w:right w:val="none" w:sz="0" w:space="0" w:color="auto"/>
      </w:divBdr>
    </w:div>
    <w:div w:id="2013485319">
      <w:bodyDiv w:val="1"/>
      <w:marLeft w:val="0"/>
      <w:marRight w:val="0"/>
      <w:marTop w:val="0"/>
      <w:marBottom w:val="0"/>
      <w:divBdr>
        <w:top w:val="none" w:sz="0" w:space="0" w:color="auto"/>
        <w:left w:val="none" w:sz="0" w:space="0" w:color="auto"/>
        <w:bottom w:val="none" w:sz="0" w:space="0" w:color="auto"/>
        <w:right w:val="none" w:sz="0" w:space="0" w:color="auto"/>
      </w:divBdr>
    </w:div>
    <w:div w:id="2036273967">
      <w:bodyDiv w:val="1"/>
      <w:marLeft w:val="0"/>
      <w:marRight w:val="0"/>
      <w:marTop w:val="0"/>
      <w:marBottom w:val="0"/>
      <w:divBdr>
        <w:top w:val="none" w:sz="0" w:space="0" w:color="auto"/>
        <w:left w:val="none" w:sz="0" w:space="0" w:color="auto"/>
        <w:bottom w:val="none" w:sz="0" w:space="0" w:color="auto"/>
        <w:right w:val="none" w:sz="0" w:space="0" w:color="auto"/>
      </w:divBdr>
    </w:div>
    <w:div w:id="212777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vewell.nelincs.gov.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elincs.gov.uk/assets/uploads/2021/03/Director-of-Public-Health-Annual-Report-2020.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democracy.nelincs.gov.uk/wp-content/uploads/2021/05/9.-Covid-19-Impact-Assessment.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nelincs.simplyconnect.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90BD4-5307-45C7-8725-BD6E75D93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16</Pages>
  <Words>7269</Words>
  <Characters>41439</Characters>
  <Application>Microsoft Office Word</Application>
  <DocSecurity>0</DocSecurity>
  <Lines>345</Lines>
  <Paragraphs>97</Paragraphs>
  <ScaleCrop>false</ScaleCrop>
  <HeadingPairs>
    <vt:vector size="4" baseType="variant">
      <vt:variant>
        <vt:lpstr>Title</vt:lpstr>
      </vt:variant>
      <vt:variant>
        <vt:i4>1</vt:i4>
      </vt:variant>
      <vt:variant>
        <vt:lpstr>Headings</vt:lpstr>
      </vt:variant>
      <vt:variant>
        <vt:i4>26</vt:i4>
      </vt:variant>
    </vt:vector>
  </HeadingPairs>
  <TitlesOfParts>
    <vt:vector size="27" baseType="lpstr">
      <vt:lpstr/>
      <vt:lpstr>1	Bodies involved in preparing the plan (including NHS Trusts, social care provi</vt:lpstr>
      <vt:lpstr>How have you gone about involving these stakeholders?</vt:lpstr>
      <vt:lpstr>Executive Summary</vt:lpstr>
      <vt:lpstr>Governance </vt:lpstr>
      <vt:lpstr>2	Please briefly outline the governance for the BCF plan and its implementation </vt:lpstr>
      <vt:lpstr>Overall approach to integration</vt:lpstr>
      <vt:lpstr>3	Brief outline of approach to embedding integrated, person-centred health, soci</vt:lpstr>
      <vt:lpstr>        Joint priorities for 2021-22</vt:lpstr>
      <vt:lpstr>        Approaches to joint/collaborative commissioning</vt:lpstr>
      <vt:lpstr>        Overarching approach to supporting people to remain independent at home, includi</vt:lpstr>
      <vt:lpstr>        How BCF funded services are supporting your approach to integration. Briefly des</vt:lpstr>
      <vt:lpstr>        Joint Priorities</vt:lpstr>
      <vt:lpstr>This year the Preventative Services Market Development Board (PSMDB) has continu</vt:lpstr>
      <vt:lpstr/>
      <vt:lpstr>Although Covid-19 has had a significant impact on the Board’s work, and progress</vt:lpstr>
      <vt:lpstr>        </vt:lpstr>
      <vt:lpstr>        Approaches to joint/ collaborative commissioning</vt:lpstr>
      <vt:lpstr>        Approach to maintaining independence </vt:lpstr>
      <vt:lpstr>        </vt:lpstr>
      <vt:lpstr>        d)	BCF and integration </vt:lpstr>
      <vt:lpstr>Supporting Discharge (national condition four)</vt:lpstr>
      <vt:lpstr>4	What is the approach in your area to improving outcomes for people being disch</vt:lpstr>
      <vt:lpstr>Disabled Facilities Grant (DFG) and wider services</vt:lpstr>
      <vt:lpstr>5	What is your approach to bringing together health, care and housing services t</vt:lpstr>
      <vt:lpstr>Equality and health inequalities.</vt:lpstr>
      <vt:lpstr>6	Briefly outline the priorities for addressing health inequalities and equality</vt:lpstr>
    </vt:vector>
  </TitlesOfParts>
  <Company/>
  <LinksUpToDate>false</LinksUpToDate>
  <CharactersWithSpaces>48611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Overton (CCG)</dc:creator>
  <cp:keywords/>
  <dc:description/>
  <cp:lastModifiedBy>Emma Overton (CCG)</cp:lastModifiedBy>
  <cp:revision>3</cp:revision>
  <dcterms:created xsi:type="dcterms:W3CDTF">2022-02-03T08:28:00Z</dcterms:created>
  <dcterms:modified xsi:type="dcterms:W3CDTF">2022-02-03T08:59:00Z</dcterms:modified>
</cp:coreProperties>
</file>