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7759" w14:textId="77777777" w:rsidR="00A316D9" w:rsidRDefault="00A316D9" w:rsidP="00A316D9">
      <w:pPr>
        <w:jc w:val="center"/>
        <w:rPr>
          <w:rFonts w:ascii="Arial" w:hAnsi="Arial" w:cs="Arial"/>
          <w:b/>
        </w:rPr>
      </w:pPr>
      <w:r w:rsidRPr="00A316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orth East Lincolnshire Clinical Commissioning Group </w:t>
      </w:r>
    </w:p>
    <w:p w14:paraId="32BA5B5D" w14:textId="77777777" w:rsidR="00A316D9" w:rsidRDefault="00A316D9" w:rsidP="00A316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Conflicts of Interest Breach Register </w:t>
      </w:r>
    </w:p>
    <w:p w14:paraId="324FC3F2" w14:textId="579C0564" w:rsidR="00A316D9" w:rsidRDefault="00F93B4F" w:rsidP="00A316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316D9" w:rsidRPr="00A316D9">
        <w:rPr>
          <w:rFonts w:ascii="Arial" w:hAnsi="Arial" w:cs="Arial"/>
          <w:b/>
        </w:rPr>
        <w:t>December 20</w:t>
      </w:r>
      <w:r w:rsidR="00D4726C">
        <w:rPr>
          <w:rFonts w:ascii="Arial" w:hAnsi="Arial" w:cs="Arial"/>
          <w:b/>
        </w:rPr>
        <w:t>20</w:t>
      </w:r>
      <w:r w:rsidR="00A316D9" w:rsidRPr="00A316D9">
        <w:rPr>
          <w:rFonts w:ascii="Arial" w:hAnsi="Arial" w:cs="Arial"/>
          <w:b/>
        </w:rPr>
        <w:t xml:space="preserve">– November </w:t>
      </w:r>
      <w:r w:rsidR="00D4726C">
        <w:rPr>
          <w:rFonts w:ascii="Arial" w:hAnsi="Arial" w:cs="Arial"/>
          <w:b/>
        </w:rPr>
        <w:t>2021</w:t>
      </w:r>
    </w:p>
    <w:p w14:paraId="391CE77E" w14:textId="77777777" w:rsidR="00A316D9" w:rsidRDefault="00A316D9" w:rsidP="00A316D9">
      <w:pPr>
        <w:jc w:val="center"/>
        <w:rPr>
          <w:rFonts w:ascii="Arial" w:hAnsi="Arial" w:cs="Arial"/>
          <w:sz w:val="20"/>
          <w:szCs w:val="20"/>
        </w:rPr>
      </w:pPr>
      <w:r w:rsidRPr="00A316D9">
        <w:rPr>
          <w:rFonts w:ascii="Arial" w:hAnsi="Arial" w:cs="Arial"/>
          <w:sz w:val="20"/>
          <w:szCs w:val="20"/>
        </w:rPr>
        <w:t>Definition of 'breach': There will be situations when in</w:t>
      </w:r>
      <w:r>
        <w:rPr>
          <w:rFonts w:ascii="Arial" w:hAnsi="Arial" w:cs="Arial"/>
          <w:sz w:val="20"/>
          <w:szCs w:val="20"/>
        </w:rPr>
        <w:t>terests will not be identified,</w:t>
      </w:r>
      <w:r w:rsidR="008E73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16D9">
        <w:rPr>
          <w:rFonts w:ascii="Arial" w:hAnsi="Arial" w:cs="Arial"/>
          <w:sz w:val="20"/>
          <w:szCs w:val="20"/>
        </w:rPr>
        <w:t>declared</w:t>
      </w:r>
      <w:proofErr w:type="gramEnd"/>
      <w:r w:rsidRPr="00A316D9">
        <w:rPr>
          <w:rFonts w:ascii="Arial" w:hAnsi="Arial" w:cs="Arial"/>
          <w:sz w:val="20"/>
          <w:szCs w:val="20"/>
        </w:rPr>
        <w:t xml:space="preserve"> or managed appropriately and effectively. This may happen innocently, accidentally, or </w:t>
      </w:r>
      <w:r w:rsidR="00857CA9">
        <w:rPr>
          <w:rFonts w:ascii="Arial" w:hAnsi="Arial" w:cs="Arial"/>
          <w:sz w:val="20"/>
          <w:szCs w:val="20"/>
        </w:rPr>
        <w:t>due to t</w:t>
      </w:r>
      <w:r w:rsidRPr="00A316D9">
        <w:rPr>
          <w:rFonts w:ascii="Arial" w:hAnsi="Arial" w:cs="Arial"/>
          <w:sz w:val="20"/>
          <w:szCs w:val="20"/>
        </w:rPr>
        <w:t>he deliberate actions of staff or organisations. These situations are referred to as ‘breaches’</w:t>
      </w:r>
    </w:p>
    <w:tbl>
      <w:tblPr>
        <w:tblStyle w:val="TableGrid"/>
        <w:tblW w:w="14778" w:type="dxa"/>
        <w:tblInd w:w="-324" w:type="dxa"/>
        <w:tblLook w:val="04A0" w:firstRow="1" w:lastRow="0" w:firstColumn="1" w:lastColumn="0" w:noHBand="0" w:noVBand="1"/>
        <w:tblCaption w:val="Conflicts of interest breach register"/>
        <w:tblDescription w:val="This table provides details of the breaches that occurred between December 2018 and November 2019"/>
      </w:tblPr>
      <w:tblGrid>
        <w:gridCol w:w="1696"/>
        <w:gridCol w:w="2552"/>
        <w:gridCol w:w="3260"/>
        <w:gridCol w:w="3402"/>
        <w:gridCol w:w="3868"/>
      </w:tblGrid>
      <w:tr w:rsidR="004043C4" w14:paraId="216FE3C2" w14:textId="77777777" w:rsidTr="008E73A9">
        <w:trPr>
          <w:tblHeader/>
        </w:trPr>
        <w:tc>
          <w:tcPr>
            <w:tcW w:w="1696" w:type="dxa"/>
            <w:shd w:val="clear" w:color="auto" w:fill="1F3864" w:themeFill="accent5" w:themeFillShade="80"/>
          </w:tcPr>
          <w:p w14:paraId="24E998AE" w14:textId="77777777" w:rsidR="004043C4" w:rsidRPr="004043C4" w:rsidRDefault="004043C4" w:rsidP="004043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43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Date of breach </w:t>
            </w:r>
          </w:p>
        </w:tc>
        <w:tc>
          <w:tcPr>
            <w:tcW w:w="2552" w:type="dxa"/>
            <w:shd w:val="clear" w:color="auto" w:fill="1F3864" w:themeFill="accent5" w:themeFillShade="80"/>
          </w:tcPr>
          <w:p w14:paraId="3092FEC3" w14:textId="77777777" w:rsidR="004043C4" w:rsidRPr="004043C4" w:rsidRDefault="004043C4" w:rsidP="004043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43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Reported to</w:t>
            </w:r>
          </w:p>
        </w:tc>
        <w:tc>
          <w:tcPr>
            <w:tcW w:w="3260" w:type="dxa"/>
            <w:shd w:val="clear" w:color="auto" w:fill="1F3864" w:themeFill="accent5" w:themeFillShade="80"/>
          </w:tcPr>
          <w:p w14:paraId="1244577C" w14:textId="77777777" w:rsidR="004043C4" w:rsidRPr="004043C4" w:rsidRDefault="004043C4" w:rsidP="004043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43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Details of Breach</w:t>
            </w:r>
          </w:p>
        </w:tc>
        <w:tc>
          <w:tcPr>
            <w:tcW w:w="3402" w:type="dxa"/>
            <w:shd w:val="clear" w:color="auto" w:fill="1F3864" w:themeFill="accent5" w:themeFillShade="80"/>
          </w:tcPr>
          <w:p w14:paraId="62DCDEF3" w14:textId="77777777" w:rsidR="004043C4" w:rsidRPr="004043C4" w:rsidRDefault="004043C4" w:rsidP="004043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43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Investigation </w:t>
            </w:r>
          </w:p>
        </w:tc>
        <w:tc>
          <w:tcPr>
            <w:tcW w:w="3868" w:type="dxa"/>
            <w:shd w:val="clear" w:color="auto" w:fill="1F3864" w:themeFill="accent5" w:themeFillShade="80"/>
          </w:tcPr>
          <w:p w14:paraId="4E62053D" w14:textId="77777777" w:rsidR="004043C4" w:rsidRPr="004043C4" w:rsidRDefault="004043C4" w:rsidP="004043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43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Action(s) Taken </w:t>
            </w:r>
          </w:p>
        </w:tc>
      </w:tr>
      <w:tr w:rsidR="00A663AE" w14:paraId="171F69C1" w14:textId="77777777" w:rsidTr="00F40ADC">
        <w:tc>
          <w:tcPr>
            <w:tcW w:w="1696" w:type="dxa"/>
          </w:tcPr>
          <w:p w14:paraId="5C8140D9" w14:textId="34B5B221" w:rsidR="00A663AE" w:rsidRDefault="00A663AE" w:rsidP="00A66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D4726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14:paraId="65A1A796" w14:textId="77777777" w:rsidR="00A663AE" w:rsidRDefault="00A663AE" w:rsidP="00A66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IG&amp;A Committee</w:t>
            </w:r>
            <w:r w:rsidR="00F93B4F">
              <w:rPr>
                <w:rFonts w:ascii="Arial" w:hAnsi="Arial" w:cs="Arial"/>
                <w:sz w:val="20"/>
                <w:szCs w:val="20"/>
              </w:rPr>
              <w:t xml:space="preserve"> (Conflict of interest Guardian)</w:t>
            </w:r>
          </w:p>
          <w:p w14:paraId="05A70EC5" w14:textId="77777777" w:rsidR="00A663AE" w:rsidRPr="001F6951" w:rsidRDefault="00A663AE" w:rsidP="00A663AE">
            <w:pPr>
              <w:rPr>
                <w:rFonts w:ascii="Arial" w:hAnsi="Arial" w:cs="Arial"/>
                <w:sz w:val="20"/>
                <w:szCs w:val="20"/>
              </w:rPr>
            </w:pPr>
            <w:r w:rsidRPr="001F6951">
              <w:rPr>
                <w:rFonts w:ascii="Arial" w:hAnsi="Arial" w:cs="Arial"/>
                <w:sz w:val="20"/>
                <w:szCs w:val="20"/>
              </w:rPr>
              <w:t>Chair of Council of Members</w:t>
            </w:r>
          </w:p>
          <w:p w14:paraId="74EE56E8" w14:textId="4457DEFC" w:rsidR="00A663AE" w:rsidRDefault="00A663AE" w:rsidP="00A66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88FD16" w14:textId="6BF97BC8" w:rsidR="00A663AE" w:rsidRPr="004043C4" w:rsidRDefault="00D4726C" w:rsidP="00F93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x1</w:t>
            </w:r>
            <w:r w:rsidR="00A663AE">
              <w:rPr>
                <w:rFonts w:ascii="Arial" w:hAnsi="Arial" w:cs="Arial"/>
                <w:sz w:val="20"/>
                <w:szCs w:val="20"/>
              </w:rPr>
              <w:t xml:space="preserve"> Council of Members</w:t>
            </w:r>
            <w:r w:rsidR="00F93B4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93B4F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F93B4F">
              <w:rPr>
                <w:rFonts w:ascii="Arial" w:hAnsi="Arial" w:cs="Arial"/>
                <w:sz w:val="20"/>
                <w:szCs w:val="20"/>
              </w:rPr>
              <w:t>),</w:t>
            </w:r>
            <w:r w:rsidR="00A663AE">
              <w:rPr>
                <w:rFonts w:ascii="Arial" w:hAnsi="Arial" w:cs="Arial"/>
                <w:sz w:val="20"/>
                <w:szCs w:val="20"/>
              </w:rPr>
              <w:t xml:space="preserve"> members failed to make an updated </w:t>
            </w:r>
            <w:r w:rsidR="003F617D">
              <w:rPr>
                <w:rFonts w:ascii="Arial" w:hAnsi="Arial" w:cs="Arial"/>
                <w:sz w:val="20"/>
                <w:szCs w:val="20"/>
              </w:rPr>
              <w:t>disclosure</w:t>
            </w:r>
            <w:r w:rsidR="00A663AE" w:rsidRPr="00A663AE">
              <w:rPr>
                <w:rFonts w:ascii="Arial" w:hAnsi="Arial" w:cs="Arial"/>
                <w:sz w:val="20"/>
                <w:szCs w:val="20"/>
              </w:rPr>
              <w:t xml:space="preserve"> and return their annual </w:t>
            </w:r>
            <w:r w:rsidR="00A663AE">
              <w:rPr>
                <w:rFonts w:ascii="Arial" w:hAnsi="Arial" w:cs="Arial"/>
                <w:sz w:val="20"/>
                <w:szCs w:val="20"/>
              </w:rPr>
              <w:t xml:space="preserve">declarations of interest </w:t>
            </w:r>
          </w:p>
        </w:tc>
        <w:tc>
          <w:tcPr>
            <w:tcW w:w="3402" w:type="dxa"/>
          </w:tcPr>
          <w:p w14:paraId="00622A1C" w14:textId="5A5CA196" w:rsidR="00A663AE" w:rsidRPr="00D4726C" w:rsidRDefault="00A663AE" w:rsidP="00A663A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6951">
              <w:rPr>
                <w:rFonts w:ascii="Arial" w:hAnsi="Arial" w:cs="Arial"/>
                <w:sz w:val="20"/>
                <w:szCs w:val="20"/>
              </w:rPr>
              <w:t xml:space="preserve">Member informed of breach of the CCG’s Standard of Business Conduct and Conflict of Interest Policy. </w:t>
            </w:r>
          </w:p>
        </w:tc>
        <w:tc>
          <w:tcPr>
            <w:tcW w:w="3868" w:type="dxa"/>
          </w:tcPr>
          <w:p w14:paraId="454B8C66" w14:textId="12F23300" w:rsidR="001F6951" w:rsidRDefault="001F6951" w:rsidP="00A66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Reported to IG&amp;A Committee </w:t>
            </w:r>
          </w:p>
          <w:p w14:paraId="425FFD0A" w14:textId="5D9EA864" w:rsidR="001F6951" w:rsidRDefault="001F6951" w:rsidP="00A66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6240D" w14:textId="7E55F334" w:rsidR="00A663AE" w:rsidRPr="001F6951" w:rsidRDefault="00F93B4F" w:rsidP="00A663AE">
            <w:pPr>
              <w:rPr>
                <w:rFonts w:ascii="Arial" w:hAnsi="Arial" w:cs="Arial"/>
                <w:sz w:val="20"/>
                <w:szCs w:val="20"/>
              </w:rPr>
            </w:pPr>
            <w:r w:rsidRPr="001F6951">
              <w:rPr>
                <w:rFonts w:ascii="Arial" w:hAnsi="Arial" w:cs="Arial"/>
                <w:sz w:val="20"/>
                <w:szCs w:val="20"/>
              </w:rPr>
              <w:t>Exclusion</w:t>
            </w:r>
            <w:r w:rsidR="00A663AE" w:rsidRPr="001F6951">
              <w:rPr>
                <w:rFonts w:ascii="Arial" w:hAnsi="Arial" w:cs="Arial"/>
                <w:sz w:val="20"/>
                <w:szCs w:val="20"/>
              </w:rPr>
              <w:t xml:space="preserve"> (and by default the practice, they represent at </w:t>
            </w:r>
            <w:proofErr w:type="spellStart"/>
            <w:r w:rsidR="00A663AE" w:rsidRPr="001F6951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A663AE" w:rsidRPr="001F6951">
              <w:rPr>
                <w:rFonts w:ascii="Arial" w:hAnsi="Arial" w:cs="Arial"/>
                <w:sz w:val="20"/>
                <w:szCs w:val="20"/>
              </w:rPr>
              <w:t xml:space="preserve">) from any </w:t>
            </w:r>
            <w:proofErr w:type="spellStart"/>
            <w:r w:rsidR="00A663AE" w:rsidRPr="001F6951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A663AE" w:rsidRPr="001F6951">
              <w:rPr>
                <w:rFonts w:ascii="Arial" w:hAnsi="Arial" w:cs="Arial"/>
                <w:sz w:val="20"/>
                <w:szCs w:val="20"/>
              </w:rPr>
              <w:t xml:space="preserve"> meetings, until such time as a completed declaration has been received</w:t>
            </w:r>
          </w:p>
          <w:p w14:paraId="15402D1C" w14:textId="77777777" w:rsidR="00F93B4F" w:rsidRPr="001F6951" w:rsidRDefault="00F93B4F" w:rsidP="00F93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F46E3" w14:textId="26CB98F3" w:rsidR="00A663AE" w:rsidRPr="00D4726C" w:rsidRDefault="00A663AE" w:rsidP="00F93B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6951">
              <w:rPr>
                <w:rFonts w:ascii="Arial" w:hAnsi="Arial" w:cs="Arial"/>
                <w:sz w:val="20"/>
                <w:szCs w:val="20"/>
              </w:rPr>
              <w:t>Published on CCG website</w:t>
            </w:r>
            <w:r w:rsidR="00F93B4F" w:rsidRPr="001F695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F6951">
              <w:rPr>
                <w:rFonts w:ascii="Arial" w:hAnsi="Arial" w:cs="Arial"/>
                <w:sz w:val="20"/>
                <w:szCs w:val="20"/>
              </w:rPr>
              <w:t>via</w:t>
            </w:r>
            <w:r w:rsidR="00F93B4F" w:rsidRPr="001F6951">
              <w:rPr>
                <w:rFonts w:ascii="Arial" w:hAnsi="Arial" w:cs="Arial"/>
                <w:sz w:val="20"/>
                <w:szCs w:val="20"/>
              </w:rPr>
              <w:t xml:space="preserve"> this register)</w:t>
            </w:r>
          </w:p>
        </w:tc>
      </w:tr>
      <w:tr w:rsidR="00F93B4F" w14:paraId="4A7EABD5" w14:textId="77777777" w:rsidTr="00F40ADC">
        <w:tc>
          <w:tcPr>
            <w:tcW w:w="1696" w:type="dxa"/>
          </w:tcPr>
          <w:p w14:paraId="17DC3028" w14:textId="773BE896" w:rsidR="00F93B4F" w:rsidRDefault="00D4726C" w:rsidP="00F93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2020</w:t>
            </w:r>
            <w:r w:rsidR="00165B4F">
              <w:rPr>
                <w:rFonts w:ascii="Arial" w:hAnsi="Arial" w:cs="Arial"/>
                <w:sz w:val="20"/>
                <w:szCs w:val="20"/>
              </w:rPr>
              <w:t>/2021</w:t>
            </w:r>
          </w:p>
          <w:p w14:paraId="2B28CB2F" w14:textId="412E8B23" w:rsidR="00D4726C" w:rsidRPr="00F93B4F" w:rsidRDefault="00D4726C" w:rsidP="00F93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079B25" w14:textId="42B2FFA9" w:rsidR="00F93B4F" w:rsidRDefault="00F93B4F" w:rsidP="00F93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IG&amp;A Committee </w:t>
            </w:r>
            <w:r w:rsidR="001F6951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>
              <w:rPr>
                <w:rFonts w:ascii="Arial" w:hAnsi="Arial" w:cs="Arial"/>
                <w:sz w:val="20"/>
                <w:szCs w:val="20"/>
              </w:rPr>
              <w:t>(Conflict of interest Guardian)</w:t>
            </w:r>
          </w:p>
          <w:p w14:paraId="292CA4FE" w14:textId="0A7838FA" w:rsidR="00D4726C" w:rsidRDefault="00D4726C" w:rsidP="00F93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Finance Officer </w:t>
            </w:r>
          </w:p>
          <w:p w14:paraId="59D7C8CF" w14:textId="6806C0DF" w:rsidR="00F93B4F" w:rsidRDefault="00F93B4F" w:rsidP="00F93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C36AAA" w14:textId="0F11E44C" w:rsidR="00F93B4F" w:rsidRDefault="00D4726C" w:rsidP="00F93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x4 high level members </w:t>
            </w:r>
            <w:r w:rsidR="000719C6">
              <w:rPr>
                <w:rFonts w:ascii="Arial" w:hAnsi="Arial" w:cs="Arial"/>
                <w:sz w:val="20"/>
                <w:szCs w:val="20"/>
              </w:rPr>
              <w:t>are not compliant with their s</w:t>
            </w:r>
            <w:r>
              <w:rPr>
                <w:rFonts w:ascii="Arial" w:hAnsi="Arial" w:cs="Arial"/>
                <w:sz w:val="20"/>
                <w:szCs w:val="20"/>
              </w:rPr>
              <w:t>tatutory and mandatory annual Conflict of Interest training for 2020.</w:t>
            </w:r>
          </w:p>
          <w:p w14:paraId="5ACCA0D4" w14:textId="77777777" w:rsidR="00D4726C" w:rsidRDefault="00D4726C" w:rsidP="00F93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F9C65" w14:textId="4A1074D0" w:rsidR="00D4726C" w:rsidRPr="00F93B4F" w:rsidRDefault="00D4726C" w:rsidP="00F93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have yet to </w:t>
            </w:r>
            <w:r w:rsidR="000719C6">
              <w:rPr>
                <w:rFonts w:ascii="Arial" w:hAnsi="Arial" w:cs="Arial"/>
                <w:sz w:val="20"/>
                <w:szCs w:val="20"/>
              </w:rPr>
              <w:t xml:space="preserve">meet compliance of their training for 2021. </w:t>
            </w:r>
          </w:p>
        </w:tc>
        <w:tc>
          <w:tcPr>
            <w:tcW w:w="3402" w:type="dxa"/>
          </w:tcPr>
          <w:p w14:paraId="5882936F" w14:textId="77777777" w:rsidR="000719C6" w:rsidRDefault="00F93B4F" w:rsidP="00F93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="000719C6">
              <w:rPr>
                <w:rFonts w:ascii="Arial" w:hAnsi="Arial" w:cs="Arial"/>
                <w:sz w:val="20"/>
                <w:szCs w:val="20"/>
              </w:rPr>
              <w:t xml:space="preserve">s have been sent various reminders.  </w:t>
            </w:r>
          </w:p>
          <w:p w14:paraId="34CBE4F7" w14:textId="77777777" w:rsidR="000719C6" w:rsidRDefault="000719C6" w:rsidP="00F93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F9773" w14:textId="547A97C8" w:rsidR="00F93B4F" w:rsidRPr="00F93B4F" w:rsidRDefault="000719C6" w:rsidP="00F93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Non-compliance e</w:t>
            </w:r>
            <w:r w:rsidRPr="000719C6">
              <w:rPr>
                <w:rFonts w:ascii="Arial" w:hAnsi="Arial" w:cs="Arial"/>
                <w:sz w:val="20"/>
                <w:szCs w:val="20"/>
              </w:rPr>
              <w:t xml:space="preserve">scalated to the COI Guardian and the Chief Finance Officer.  </w:t>
            </w:r>
          </w:p>
        </w:tc>
        <w:tc>
          <w:tcPr>
            <w:tcW w:w="3868" w:type="dxa"/>
          </w:tcPr>
          <w:p w14:paraId="718F7E28" w14:textId="77777777" w:rsidR="000719C6" w:rsidRDefault="000719C6" w:rsidP="0085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Reported to IG&amp;A committee</w:t>
            </w:r>
          </w:p>
          <w:p w14:paraId="59DE7DBC" w14:textId="77777777" w:rsidR="000719C6" w:rsidRDefault="000719C6" w:rsidP="00857C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D891" w14:textId="0282C84B" w:rsidR="00F93B4F" w:rsidRDefault="001F6951" w:rsidP="00857CA9">
            <w:pPr>
              <w:rPr>
                <w:rFonts w:ascii="Arial" w:hAnsi="Arial" w:cs="Arial"/>
                <w:sz w:val="20"/>
                <w:szCs w:val="20"/>
              </w:rPr>
            </w:pPr>
            <w:r w:rsidRPr="001F6951">
              <w:rPr>
                <w:rFonts w:ascii="Arial" w:hAnsi="Arial" w:cs="Arial"/>
                <w:sz w:val="20"/>
                <w:szCs w:val="20"/>
              </w:rPr>
              <w:t>IG&amp;A Committee Chair (Conflict of interest Guardian)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address the non-compliance and remind the individuals of their responsibilities in management of conflict of interest.  </w:t>
            </w:r>
          </w:p>
          <w:p w14:paraId="6745DA75" w14:textId="77777777" w:rsidR="00857CA9" w:rsidRPr="00857CA9" w:rsidRDefault="00857CA9" w:rsidP="00857C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AB5D5" w14:textId="0D04A146" w:rsidR="00857CA9" w:rsidRPr="00F93B4F" w:rsidRDefault="00857CA9" w:rsidP="00857CA9">
            <w:pPr>
              <w:rPr>
                <w:rFonts w:ascii="Arial" w:hAnsi="Arial" w:cs="Arial"/>
                <w:sz w:val="20"/>
                <w:szCs w:val="20"/>
              </w:rPr>
            </w:pPr>
            <w:r w:rsidRPr="00857CA9">
              <w:rPr>
                <w:rFonts w:ascii="Arial" w:hAnsi="Arial" w:cs="Arial"/>
                <w:sz w:val="20"/>
                <w:szCs w:val="20"/>
              </w:rPr>
              <w:t>Published on CCG</w:t>
            </w:r>
            <w:r w:rsidR="00597C8B">
              <w:rPr>
                <w:rFonts w:ascii="Arial" w:hAnsi="Arial" w:cs="Arial"/>
                <w:sz w:val="20"/>
                <w:szCs w:val="20"/>
              </w:rPr>
              <w:t xml:space="preserve"> website (</w:t>
            </w:r>
            <w:r w:rsidR="001F6951">
              <w:rPr>
                <w:rFonts w:ascii="Arial" w:hAnsi="Arial" w:cs="Arial"/>
                <w:sz w:val="20"/>
                <w:szCs w:val="20"/>
              </w:rPr>
              <w:t>via</w:t>
            </w:r>
            <w:r w:rsidR="00597C8B">
              <w:rPr>
                <w:rFonts w:ascii="Arial" w:hAnsi="Arial" w:cs="Arial"/>
                <w:sz w:val="20"/>
                <w:szCs w:val="20"/>
              </w:rPr>
              <w:t xml:space="preserve"> this r</w:t>
            </w:r>
            <w:r w:rsidR="00CB0531">
              <w:rPr>
                <w:rFonts w:ascii="Arial" w:hAnsi="Arial" w:cs="Arial"/>
                <w:sz w:val="20"/>
                <w:szCs w:val="20"/>
              </w:rPr>
              <w:t>egister</w:t>
            </w:r>
          </w:p>
        </w:tc>
      </w:tr>
    </w:tbl>
    <w:p w14:paraId="7892E32A" w14:textId="77777777" w:rsidR="00A316D9" w:rsidRPr="00A316D9" w:rsidRDefault="00A316D9" w:rsidP="00F40ADC">
      <w:pPr>
        <w:rPr>
          <w:rFonts w:ascii="Arial" w:hAnsi="Arial" w:cs="Arial"/>
          <w:sz w:val="20"/>
          <w:szCs w:val="20"/>
        </w:rPr>
      </w:pPr>
    </w:p>
    <w:sectPr w:rsidR="00A316D9" w:rsidRPr="00A316D9" w:rsidSect="00F40ADC">
      <w:headerReference w:type="default" r:id="rId6"/>
      <w:pgSz w:w="16838" w:h="11906" w:orient="landscape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B43C" w14:textId="77777777" w:rsidR="00A316D9" w:rsidRDefault="00A316D9" w:rsidP="00A316D9">
      <w:pPr>
        <w:spacing w:after="0" w:line="240" w:lineRule="auto"/>
      </w:pPr>
      <w:r>
        <w:separator/>
      </w:r>
    </w:p>
  </w:endnote>
  <w:endnote w:type="continuationSeparator" w:id="0">
    <w:p w14:paraId="79D522F7" w14:textId="77777777" w:rsidR="00A316D9" w:rsidRDefault="00A316D9" w:rsidP="00A3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CBD4" w14:textId="77777777" w:rsidR="00A316D9" w:rsidRDefault="00A316D9" w:rsidP="00A316D9">
      <w:pPr>
        <w:spacing w:after="0" w:line="240" w:lineRule="auto"/>
      </w:pPr>
      <w:r>
        <w:separator/>
      </w:r>
    </w:p>
  </w:footnote>
  <w:footnote w:type="continuationSeparator" w:id="0">
    <w:p w14:paraId="7F530DDA" w14:textId="77777777" w:rsidR="00A316D9" w:rsidRDefault="00A316D9" w:rsidP="00A3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ACE2" w14:textId="77777777" w:rsidR="00A316D9" w:rsidRDefault="00A316D9" w:rsidP="00A316D9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3F5EC2" wp14:editId="2322FC10">
          <wp:extent cx="2149475" cy="876300"/>
          <wp:effectExtent l="0" t="0" r="3175" b="0"/>
          <wp:docPr id="9" name="Picture 9" title="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568" cy="88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/kzX/xvd4uDBgzxRT5Bc3vLOW8nlJtvCUtb5pHCVvCudRFxDLrs1agiCSNUDlf0JdkDiuQfCojEv8fVwJriJhQ==" w:salt="3rQgNOAm805pXAn9eWO3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D9"/>
    <w:rsid w:val="000719C6"/>
    <w:rsid w:val="00165B4F"/>
    <w:rsid w:val="001F6951"/>
    <w:rsid w:val="00326D59"/>
    <w:rsid w:val="0033385F"/>
    <w:rsid w:val="003F617D"/>
    <w:rsid w:val="004043C4"/>
    <w:rsid w:val="00597C8B"/>
    <w:rsid w:val="006443A3"/>
    <w:rsid w:val="00857CA9"/>
    <w:rsid w:val="008E73A9"/>
    <w:rsid w:val="009D2C06"/>
    <w:rsid w:val="00A316D9"/>
    <w:rsid w:val="00A663AE"/>
    <w:rsid w:val="00CB0531"/>
    <w:rsid w:val="00CE7593"/>
    <w:rsid w:val="00D4726C"/>
    <w:rsid w:val="00DB1448"/>
    <w:rsid w:val="00F40ADC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1E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D9"/>
  </w:style>
  <w:style w:type="paragraph" w:styleId="Footer">
    <w:name w:val="footer"/>
    <w:basedOn w:val="Normal"/>
    <w:link w:val="FooterChar"/>
    <w:uiPriority w:val="99"/>
    <w:unhideWhenUsed/>
    <w:rsid w:val="00A3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D9"/>
  </w:style>
  <w:style w:type="table" w:styleId="TableGrid">
    <w:name w:val="Table Grid"/>
    <w:basedOn w:val="TableNormal"/>
    <w:uiPriority w:val="39"/>
    <w:rsid w:val="00A3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2021-12-20T19:17:00Z</dcterms:created>
  <dcterms:modified xsi:type="dcterms:W3CDTF">2021-12-20T19:18:00Z</dcterms:modified>
</cp:coreProperties>
</file>